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icker"/>
      </w:pPr>
      <w:r>
        <w:t>SOURCE-GROUNDED INVESTIGATION AND UNIT-ECONOMIC MODEL</w:t>
      </w:r>
    </w:p>
    <w:p>
      <w:pPr>
        <w:pStyle w:val="Title"/>
      </w:pPr>
      <w:r>
        <w:t>Where Your Online Return Actually Goes</w:t>
      </w:r>
    </w:p>
    <w:p>
      <w:pPr>
        <w:pStyle w:val="Subtitle"/>
      </w:pPr>
      <w:r>
        <w:t>The reverse-logistics tax on online shopping</w:t>
      </w:r>
    </w:p>
    <w:p>
      <w:pPr>
        <w:pStyle w:val="Deck"/>
      </w:pPr>
      <w:r>
        <w:t>A product-level investigation of what survives after the refund: transportation, inspection, repair, liquidation, resale, fraud, ownership and environmental disposition.</w:t>
      </w:r>
    </w:p>
    <w:p>
      <w:pPr>
        <w:spacing w:before="160" w:after="280"/>
        <w:pBdr>
          <w:bottom w:val="single" w:sz="20" w:color="1C7C7D"/>
        </w:pBdr>
      </w:pPr>
      <w:r>
        <w:rPr>
          <w:sz w:val="2"/>
        </w:rPr>
        <w:t xml:space="preserve"> </w:t>
      </w:r>
    </w:p>
    <w:p>
      <w:pPr>
        <w:spacing w:after="60"/>
        <w:jc w:val="center"/>
      </w:pPr>
      <w:r>
        <w:drawing>
          <wp:inline xmlns:a="http://schemas.openxmlformats.org/drawingml/2006/main" xmlns:pic="http://schemas.openxmlformats.org/drawingml/2006/picture">
            <wp:extent cx="6035040" cy="3240773"/>
            <wp:docPr id="1" name="Picture 1"/>
            <wp:cNvGraphicFramePr>
              <a:graphicFrameLocks noChangeAspect="1"/>
            </wp:cNvGraphicFramePr>
            <a:graphic>
              <a:graphicData uri="http://schemas.openxmlformats.org/drawingml/2006/picture">
                <pic:pic>
                  <pic:nvPicPr>
                    <pic:cNvPr id="0" name="same_price_different_decision.png"/>
                    <pic:cNvPicPr/>
                  </pic:nvPicPr>
                  <pic:blipFill>
                    <a:blip r:embed="rId11"/>
                    <a:stretch>
                      <a:fillRect/>
                    </a:stretch>
                  </pic:blipFill>
                  <pic:spPr>
                    <a:xfrm>
                      <a:off x="0" y="0"/>
                      <a:ext cx="6035040" cy="3240773"/>
                    </a:xfrm>
                    <a:prstGeom prst="rect"/>
                  </pic:spPr>
                </pic:pic>
              </a:graphicData>
            </a:graphic>
          </wp:inline>
        </w:drawing>
      </w:r>
    </w:p>
    <w:p>
      <w:pPr>
        <w:pStyle w:val="SmallNote"/>
        <w:spacing w:before="160"/>
      </w:pPr>
      <w:r>
        <w:rPr>
          <w:b/>
        </w:rPr>
        <w:t>Prepared from the two supplied evidence documents and their cited source records. No new external research was added.</w:t>
        <w:br/>
      </w:r>
      <w:r>
        <w:t>Model date: July 22, 2026  |  Base currency: U.S. dollars  |  Retail prices modeled: $20, $100 and $500</w:t>
      </w:r>
    </w:p>
    <w:p>
      <w:r>
        <w:br w:type="page"/>
      </w:r>
    </w:p>
    <w:p>
      <w:pPr>
        <w:pStyle w:val="Heading1"/>
      </w:pPr>
      <w:r>
        <w:t>Contents</w:t>
      </w:r>
    </w:p>
    <w:p>
      <w:pPr>
        <w:spacing w:after="40"/>
        <w:ind w:left="0"/>
      </w:pPr>
      <w:r>
        <w:rPr>
          <w:b/>
          <w:color w:val="17324D"/>
        </w:rPr>
        <w:t>Executive analytical memo</w:t>
      </w:r>
    </w:p>
    <w:p>
      <w:pPr>
        <w:spacing w:after="40"/>
        <w:ind w:left="0"/>
      </w:pPr>
      <w:r>
        <w:rPr>
          <w:b/>
          <w:color w:val="17324D"/>
        </w:rPr>
        <w:t>Investigative article</w:t>
      </w:r>
    </w:p>
    <w:p>
      <w:pPr>
        <w:spacing w:after="40"/>
        <w:ind w:left="360"/>
      </w:pPr>
      <w:r>
        <w:rPr>
          <w:b w:val="0"/>
          <w:color w:val="111827"/>
        </w:rPr>
        <w:t>1. The refund does not tell you where the product went</w:t>
      </w:r>
    </w:p>
    <w:p>
      <w:pPr>
        <w:spacing w:after="40"/>
        <w:ind w:left="360"/>
      </w:pPr>
      <w:r>
        <w:rPr>
          <w:b w:val="0"/>
          <w:color w:val="111827"/>
        </w:rPr>
        <w:t>2. The return decision engine</w:t>
      </w:r>
    </w:p>
    <w:p>
      <w:pPr>
        <w:spacing w:after="40"/>
        <w:ind w:left="360"/>
      </w:pPr>
      <w:r>
        <w:rPr>
          <w:b w:val="0"/>
          <w:color w:val="111827"/>
        </w:rPr>
        <w:t>3. Inside the return center</w:t>
      </w:r>
    </w:p>
    <w:p>
      <w:pPr>
        <w:spacing w:after="40"/>
        <w:ind w:left="360"/>
      </w:pPr>
      <w:r>
        <w:rPr>
          <w:b w:val="0"/>
          <w:color w:val="111827"/>
        </w:rPr>
        <w:t>4. Six products, six different routes</w:t>
      </w:r>
    </w:p>
    <w:p>
      <w:pPr>
        <w:spacing w:after="40"/>
        <w:ind w:left="360"/>
      </w:pPr>
      <w:r>
        <w:rPr>
          <w:b w:val="0"/>
          <w:color w:val="111827"/>
        </w:rPr>
        <w:t>5. The market after the retailer</w:t>
      </w:r>
    </w:p>
    <w:p>
      <w:pPr>
        <w:spacing w:after="40"/>
        <w:ind w:left="360"/>
      </w:pPr>
      <w:r>
        <w:rPr>
          <w:b w:val="0"/>
          <w:color w:val="111827"/>
        </w:rPr>
        <w:t>6. How much value survives</w:t>
      </w:r>
    </w:p>
    <w:p>
      <w:pPr>
        <w:spacing w:after="40"/>
        <w:ind w:left="360"/>
      </w:pPr>
      <w:r>
        <w:rPr>
          <w:b w:val="0"/>
          <w:color w:val="111827"/>
        </w:rPr>
        <w:t>7. The $20, $100 and $500 return</w:t>
      </w:r>
    </w:p>
    <w:p>
      <w:pPr>
        <w:spacing w:after="40"/>
        <w:ind w:left="360"/>
      </w:pPr>
      <w:r>
        <w:rPr>
          <w:b w:val="0"/>
          <w:color w:val="111827"/>
        </w:rPr>
        <w:t>8. Fraud changes the decision</w:t>
      </w:r>
    </w:p>
    <w:p>
      <w:pPr>
        <w:spacing w:after="40"/>
        <w:ind w:left="360"/>
      </w:pPr>
      <w:r>
        <w:rPr>
          <w:b w:val="0"/>
          <w:color w:val="111827"/>
        </w:rPr>
        <w:t>9. Sustainability claims meet disposition economics</w:t>
      </w:r>
    </w:p>
    <w:p>
      <w:pPr>
        <w:spacing w:after="40"/>
        <w:ind w:left="360"/>
      </w:pPr>
      <w:r>
        <w:rPr>
          <w:b/>
          <w:color w:val="17324D"/>
        </w:rPr>
        <w:t>Detailed methodology</w:t>
      </w:r>
    </w:p>
    <w:p>
      <w:pPr>
        <w:spacing w:after="40"/>
        <w:ind w:left="360"/>
      </w:pPr>
      <w:r>
        <w:rPr>
          <w:b/>
          <w:color w:val="17324D"/>
        </w:rPr>
        <w:t>Unit-economic model and sensitivity</w:t>
      </w:r>
    </w:p>
    <w:p>
      <w:pPr>
        <w:spacing w:after="40"/>
        <w:ind w:left="360"/>
      </w:pPr>
      <w:r>
        <w:rPr>
          <w:b/>
          <w:color w:val="17324D"/>
        </w:rPr>
        <w:t>Auction analysis</w:t>
      </w:r>
    </w:p>
    <w:p>
      <w:pPr>
        <w:spacing w:after="40"/>
        <w:ind w:left="360"/>
      </w:pPr>
      <w:r>
        <w:rPr>
          <w:b/>
          <w:color w:val="17324D"/>
        </w:rPr>
        <w:t>Category and operating-model comparison</w:t>
      </w:r>
    </w:p>
    <w:p>
      <w:pPr>
        <w:spacing w:after="40"/>
        <w:ind w:left="360"/>
      </w:pPr>
      <w:r>
        <w:rPr>
          <w:b/>
          <w:color w:val="17324D"/>
        </w:rPr>
        <w:t>Calculation appendix</w:t>
      </w:r>
    </w:p>
    <w:p>
      <w:pPr>
        <w:spacing w:after="40"/>
        <w:ind w:left="360"/>
      </w:pPr>
      <w:r>
        <w:rPr>
          <w:b/>
          <w:color w:val="17324D"/>
        </w:rPr>
        <w:t>Assumption register</w:t>
      </w:r>
    </w:p>
    <w:p>
      <w:pPr>
        <w:spacing w:after="40"/>
        <w:ind w:left="360"/>
      </w:pPr>
      <w:r>
        <w:rPr>
          <w:b/>
          <w:color w:val="17324D"/>
        </w:rPr>
        <w:t>Research limitations</w:t>
      </w:r>
    </w:p>
    <w:p>
      <w:pPr>
        <w:spacing w:after="40"/>
        <w:ind w:left="360"/>
      </w:pPr>
      <w:r>
        <w:rPr>
          <w:b/>
          <w:color w:val="17324D"/>
        </w:rPr>
        <w:t>Fact-check checklist</w:t>
      </w:r>
    </w:p>
    <w:p>
      <w:pPr>
        <w:spacing w:after="40"/>
        <w:ind w:left="360"/>
      </w:pPr>
      <w:r>
        <w:rPr>
          <w:b/>
          <w:color w:val="17324D"/>
        </w:rPr>
        <w:t>Source ledger</w:t>
      </w:r>
    </w:p>
    <w:tbl>
      <w:tblPr>
        <w:tblW w:type="auto" w:w="0"/>
        <w:jc w:val="center"/>
        <w:tblLayout w:type="fixed"/>
        <w:tblLook w:firstColumn="1" w:firstRow="1" w:lastColumn="0" w:lastRow="0" w:noHBand="0" w:noVBand="1" w:val="04A0"/>
      </w:tblPr>
      <w:tblGrid>
        <w:gridCol w:w="9936"/>
      </w:tblGrid>
      <w:tr>
        <w:tc>
          <w:tcPr>
            <w:tcW w:type="dxa" w:w="9936"/>
            <w:shd w:fill="FFF3CD"/>
            <w:tcBorders>
              <w:top w:val="nil"/>
              <w:left w:val="single" w:sz="18" w:color="D9822B"/>
              <w:bottom w:val="nil"/>
              <w:right w:val="nil"/>
            </w:tcBorders>
          </w:tcPr>
          <w:p>
            <w:pPr>
              <w:spacing w:after="40"/>
            </w:pPr>
            <w:r/>
            <w:r>
              <w:rPr>
                <w:b/>
                <w:color w:val="D9822B"/>
                <w:sz w:val="20"/>
              </w:rPr>
              <w:t>Reading the figures</w:t>
            </w:r>
          </w:p>
          <w:p>
            <w:pPr>
              <w:spacing w:after="0"/>
            </w:pPr>
            <w:r>
              <w:t>All percentages labeled “modeled” are scenario outputs, not company disclosures. Source IDs in brackets map to the Source Ledger. The spreadsheet deliverable contains the full 1,701-row disposition engine and editable assumptions.</w:t>
            </w:r>
          </w:p>
        </w:tc>
      </w:tr>
    </w:tbl>
    <w:p>
      <w:pPr>
        <w:spacing w:after="0"/>
      </w:pPr>
    </w:p>
    <w:p>
      <w:pPr>
        <w:pStyle w:val="Heading1"/>
      </w:pPr>
      <w:r>
        <w:t>Executive analytical memo</w:t>
      </w:r>
    </w:p>
    <w:p>
      <w:r>
        <w:rPr>
          <w:b/>
        </w:rPr>
        <w:t xml:space="preserve">Decision statement. </w:t>
      </w:r>
      <w:r>
        <w:t>The economic value of a return is set by the cost of learning what the item is, the cost of moving it, and the set of resale channels still legally and commercially available. Retail price matters, but value density, condition, time, fraud and contract structure often matter more.</w:t>
      </w:r>
    </w:p>
    <w:p>
      <w:r>
        <w:rPr>
          <w:b/>
        </w:rPr>
        <w:t xml:space="preserve">The model’s original contribution is visible inside each price tier. </w:t>
      </w:r>
      <w:r>
        <w:t>At $20, the clothing item produces $2.11 of incremental retrieval value, while the beauty item is $-0.28 and the small household item is $-4.68. At $100, the same metric ranges from $4.22 for the appliance to $42.06 for footwear. At $500, the laptop/phone and premium accessory support recovery, but the weighted centralized furniture route is negative by $13.74; a local pickup route turns it positive. These are model results, not disclosed company averages.</w:t>
      </w:r>
    </w:p>
    <w:p>
      <w:pPr>
        <w:spacing w:after="60"/>
        <w:jc w:val="center"/>
      </w:pPr>
      <w:r>
        <w:drawing>
          <wp:inline xmlns:a="http://schemas.openxmlformats.org/drawingml/2006/main" xmlns:pic="http://schemas.openxmlformats.org/drawingml/2006/picture">
            <wp:extent cx="5989320" cy="3216221"/>
            <wp:docPr id="2" name="Picture 2"/>
            <wp:cNvGraphicFramePr>
              <a:graphicFrameLocks noChangeAspect="1"/>
            </wp:cNvGraphicFramePr>
            <a:graphic>
              <a:graphicData uri="http://schemas.openxmlformats.org/drawingml/2006/picture">
                <pic:pic>
                  <pic:nvPicPr>
                    <pic:cNvPr id="0" name="same_price_different_decision.png"/>
                    <pic:cNvPicPr/>
                  </pic:nvPicPr>
                  <pic:blipFill>
                    <a:blip r:embed="rId11"/>
                    <a:stretch>
                      <a:fillRect/>
                    </a:stretch>
                  </pic:blipFill>
                  <pic:spPr>
                    <a:xfrm>
                      <a:off x="0" y="0"/>
                      <a:ext cx="5989320" cy="3216221"/>
                    </a:xfrm>
                    <a:prstGeom prst="rect"/>
                  </pic:spPr>
                </pic:pic>
              </a:graphicData>
            </a:graphic>
          </wp:inline>
        </w:drawing>
      </w:r>
    </w:p>
    <w:p>
      <w:pPr>
        <w:pStyle w:val="Caption"/>
        <w:jc w:val="left"/>
      </w:pPr>
      <w:r>
        <w:rPr>
          <w:b/>
        </w:rPr>
        <w:t>Exhibit A. Same retail price, different retrieval decision</w:t>
      </w:r>
      <w:r>
        <w:rPr>
          <w:i/>
          <w:color w:val="6B7280"/>
        </w:rPr>
        <w:t xml:space="preserve">  Source: Model; assumptions in Appendix B</w:t>
      </w:r>
    </w:p>
    <w:tbl>
      <w:tblPr>
        <w:tblStyle w:val="TableGrid"/>
        <w:tblW w:type="auto" w:w="0"/>
        <w:jc w:val="center"/>
        <w:tblLayout w:type="fixed"/>
        <w:tblLook w:firstColumn="1" w:firstRow="1" w:lastColumn="0" w:lastRow="0" w:noHBand="0" w:noVBand="1" w:val="04A0"/>
      </w:tblPr>
      <w:tblGrid>
        <w:gridCol w:w="1104"/>
        <w:gridCol w:w="1104"/>
        <w:gridCol w:w="1104"/>
        <w:gridCol w:w="1104"/>
        <w:gridCol w:w="1104"/>
        <w:gridCol w:w="1104"/>
        <w:gridCol w:w="1104"/>
        <w:gridCol w:w="1104"/>
        <w:gridCol w:w="1104"/>
      </w:tblGrid>
      <w:tr>
        <w:trPr>
          <w:tblHeader w:val="true"/>
        </w:trPr>
        <w:tc>
          <w:tcPr>
            <w:tcW w:type="dxa" w:w="1800"/>
            <w:vAlign w:val="center"/>
            <w:shd w:fill="17324D"/>
            <w:tcBorders>
              <w:bottom w:val="single" w:sz="8" w:color="FFFFFF"/>
            </w:tcBorders>
          </w:tcPr>
          <w:p>
            <w:pPr>
              <w:spacing w:after="0" w:before="0" w:line="240" w:lineRule="auto"/>
              <w:jc w:val="left"/>
            </w:pPr>
            <w:r/>
            <w:r>
              <w:rPr>
                <w:rFonts w:ascii="Aptos" w:hAnsi="Aptos"/>
                <w:b/>
                <w:color w:val="FFFFFF"/>
                <w:sz w:val="13"/>
              </w:rPr>
              <w:t>Product</w:t>
            </w:r>
          </w:p>
        </w:tc>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3"/>
              </w:rPr>
              <w:t>Price</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3"/>
              </w:rPr>
              <w:t>E(net recovery)</w:t>
            </w:r>
          </w:p>
        </w:tc>
        <w:tc>
          <w:tcPr>
            <w:tcW w:type="dxa" w:w="864"/>
            <w:vAlign w:val="center"/>
            <w:shd w:fill="17324D"/>
            <w:tcBorders>
              <w:bottom w:val="single" w:sz="8" w:color="FFFFFF"/>
            </w:tcBorders>
          </w:tcPr>
          <w:p>
            <w:pPr>
              <w:spacing w:after="0" w:before="0" w:line="240" w:lineRule="auto"/>
              <w:jc w:val="left"/>
            </w:pPr>
            <w:r/>
            <w:r>
              <w:rPr>
                <w:rFonts w:ascii="Aptos" w:hAnsi="Aptos"/>
                <w:b/>
                <w:color w:val="FFFFFF"/>
                <w:sz w:val="13"/>
              </w:rPr>
              <w:t>Reverse freight</w:t>
            </w:r>
          </w:p>
        </w:tc>
        <w:tc>
          <w:tcPr>
            <w:tcW w:type="dxa" w:w="792"/>
            <w:vAlign w:val="center"/>
            <w:shd w:fill="17324D"/>
            <w:tcBorders>
              <w:bottom w:val="single" w:sz="8" w:color="FFFFFF"/>
            </w:tcBorders>
          </w:tcPr>
          <w:p>
            <w:pPr>
              <w:spacing w:after="0" w:before="0" w:line="240" w:lineRule="auto"/>
              <w:jc w:val="left"/>
            </w:pPr>
            <w:r/>
            <w:r>
              <w:rPr>
                <w:rFonts w:ascii="Aptos" w:hAnsi="Aptos"/>
                <w:b/>
                <w:color w:val="FFFFFF"/>
                <w:sz w:val="13"/>
              </w:rPr>
              <w:t>Inspection</w:t>
            </w:r>
          </w:p>
        </w:tc>
        <w:tc>
          <w:tcPr>
            <w:tcW w:type="dxa" w:w="864"/>
            <w:vAlign w:val="center"/>
            <w:shd w:fill="17324D"/>
            <w:tcBorders>
              <w:bottom w:val="single" w:sz="8" w:color="FFFFFF"/>
            </w:tcBorders>
          </w:tcPr>
          <w:p>
            <w:pPr>
              <w:spacing w:after="0" w:before="0" w:line="240" w:lineRule="auto"/>
              <w:jc w:val="left"/>
            </w:pPr>
            <w:r/>
            <w:r>
              <w:rPr>
                <w:rFonts w:ascii="Aptos" w:hAnsi="Aptos"/>
                <w:b/>
                <w:color w:val="FFFFFF"/>
                <w:sz w:val="13"/>
              </w:rPr>
              <w:t>Retrieve value</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3"/>
              </w:rPr>
              <w:t>Return tax / return</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3"/>
              </w:rPr>
              <w:t>Expected tax / order</w:t>
            </w:r>
          </w:p>
        </w:tc>
        <w:tc>
          <w:tcPr>
            <w:tcW w:type="dxa" w:w="1944"/>
            <w:vAlign w:val="center"/>
            <w:shd w:fill="17324D"/>
            <w:tcBorders>
              <w:bottom w:val="single" w:sz="8" w:color="FFFFFF"/>
            </w:tcBorders>
          </w:tcPr>
          <w:p>
            <w:pPr>
              <w:spacing w:after="0" w:before="0" w:line="240" w:lineRule="auto"/>
              <w:jc w:val="left"/>
            </w:pPr>
            <w:r/>
            <w:r>
              <w:rPr>
                <w:rFonts w:ascii="Aptos" w:hAnsi="Aptos"/>
                <w:b/>
                <w:color w:val="FFFFFF"/>
                <w:sz w:val="13"/>
              </w:rPr>
              <w:t>Base action</w:t>
            </w:r>
          </w:p>
        </w:tc>
      </w:tr>
      <w:tr>
        <w:tc>
          <w:tcPr>
            <w:tcW w:type="dxa" w:w="1800"/>
            <w:vAlign w:val="center"/>
          </w:tcPr>
          <w:p>
            <w:pPr>
              <w:spacing w:after="0" w:before="0" w:line="240" w:lineRule="auto"/>
            </w:pPr>
            <w:r/>
            <w:r>
              <w:rPr>
                <w:rFonts w:ascii="Aptos" w:hAnsi="Aptos"/>
                <w:b/>
                <w:color w:val="111827"/>
                <w:sz w:val="13"/>
              </w:rPr>
              <w:t>Basic clothing ($20)</w:t>
            </w:r>
          </w:p>
        </w:tc>
        <w:tc>
          <w:tcPr>
            <w:tcW w:type="dxa" w:w="648"/>
            <w:vAlign w:val="center"/>
          </w:tcPr>
          <w:p>
            <w:pPr>
              <w:spacing w:after="0" w:before="0" w:line="240" w:lineRule="auto"/>
            </w:pPr>
            <w:r/>
            <w:r>
              <w:rPr>
                <w:rFonts w:ascii="Aptos" w:hAnsi="Aptos"/>
                <w:b w:val="0"/>
                <w:color w:val="111827"/>
                <w:sz w:val="13"/>
              </w:rPr>
              <w:t>$20</w:t>
            </w:r>
          </w:p>
        </w:tc>
        <w:tc>
          <w:tcPr>
            <w:tcW w:type="dxa" w:w="936"/>
            <w:vAlign w:val="center"/>
          </w:tcPr>
          <w:p>
            <w:pPr>
              <w:spacing w:after="0" w:before="0" w:line="240" w:lineRule="auto"/>
            </w:pPr>
            <w:r/>
            <w:r>
              <w:rPr>
                <w:rFonts w:ascii="Aptos" w:hAnsi="Aptos"/>
                <w:b w:val="0"/>
                <w:color w:val="111827"/>
                <w:sz w:val="13"/>
              </w:rPr>
              <w:t>$6.90</w:t>
            </w:r>
          </w:p>
        </w:tc>
        <w:tc>
          <w:tcPr>
            <w:tcW w:type="dxa" w:w="864"/>
            <w:vAlign w:val="center"/>
          </w:tcPr>
          <w:p>
            <w:pPr>
              <w:spacing w:after="0" w:before="0" w:line="240" w:lineRule="auto"/>
            </w:pPr>
            <w:r/>
            <w:r>
              <w:rPr>
                <w:rFonts w:ascii="Aptos" w:hAnsi="Aptos"/>
                <w:b w:val="0"/>
                <w:color w:val="111827"/>
                <w:sz w:val="13"/>
              </w:rPr>
              <w:t>$3.62</w:t>
            </w:r>
          </w:p>
        </w:tc>
        <w:tc>
          <w:tcPr>
            <w:tcW w:type="dxa" w:w="792"/>
            <w:vAlign w:val="center"/>
          </w:tcPr>
          <w:p>
            <w:pPr>
              <w:spacing w:after="0" w:before="0" w:line="240" w:lineRule="auto"/>
            </w:pPr>
            <w:r/>
            <w:r>
              <w:rPr>
                <w:rFonts w:ascii="Aptos" w:hAnsi="Aptos"/>
                <w:b w:val="0"/>
                <w:color w:val="111827"/>
                <w:sz w:val="13"/>
              </w:rPr>
              <w:t>$1.17</w:t>
            </w:r>
          </w:p>
        </w:tc>
        <w:tc>
          <w:tcPr>
            <w:tcW w:type="dxa" w:w="864"/>
            <w:vAlign w:val="center"/>
          </w:tcPr>
          <w:p>
            <w:pPr>
              <w:spacing w:after="0" w:before="0" w:line="240" w:lineRule="auto"/>
            </w:pPr>
            <w:r/>
            <w:r>
              <w:rPr>
                <w:rFonts w:ascii="Aptos" w:hAnsi="Aptos"/>
                <w:b w:val="0"/>
                <w:color w:val="111827"/>
                <w:sz w:val="13"/>
              </w:rPr>
              <w:t>$2.11</w:t>
            </w:r>
          </w:p>
        </w:tc>
        <w:tc>
          <w:tcPr>
            <w:tcW w:type="dxa" w:w="936"/>
            <w:vAlign w:val="center"/>
          </w:tcPr>
          <w:p>
            <w:pPr>
              <w:spacing w:after="0" w:before="0" w:line="240" w:lineRule="auto"/>
            </w:pPr>
            <w:r/>
            <w:r>
              <w:rPr>
                <w:rFonts w:ascii="Aptos" w:hAnsi="Aptos"/>
                <w:b w:val="0"/>
                <w:color w:val="111827"/>
                <w:sz w:val="13"/>
              </w:rPr>
              <w:t>$17.97</w:t>
            </w:r>
          </w:p>
        </w:tc>
        <w:tc>
          <w:tcPr>
            <w:tcW w:type="dxa" w:w="936"/>
            <w:vAlign w:val="center"/>
          </w:tcPr>
          <w:p>
            <w:pPr>
              <w:spacing w:after="0" w:before="0" w:line="240" w:lineRule="auto"/>
            </w:pPr>
            <w:r/>
            <w:r>
              <w:rPr>
                <w:rFonts w:ascii="Aptos" w:hAnsi="Aptos"/>
                <w:b w:val="0"/>
                <w:color w:val="111827"/>
                <w:sz w:val="13"/>
              </w:rPr>
              <w:t>$4.49</w:t>
            </w:r>
          </w:p>
        </w:tc>
        <w:tc>
          <w:tcPr>
            <w:tcW w:type="dxa" w:w="1944"/>
            <w:vAlign w:val="center"/>
          </w:tcPr>
          <w:p>
            <w:pPr>
              <w:spacing w:after="0" w:before="0" w:line="240" w:lineRule="auto"/>
            </w:pPr>
            <w:r/>
            <w:r>
              <w:rPr>
                <w:rFonts w:ascii="Aptos" w:hAnsi="Aptos"/>
                <w:b w:val="0"/>
                <w:color w:val="111827"/>
                <w:sz w:val="13"/>
              </w:rPr>
              <w:t>Retrieve through store/drop-off; returnless for long parcel</w:t>
            </w:r>
          </w:p>
        </w:tc>
      </w:tr>
      <w:tr>
        <w:tc>
          <w:tcPr>
            <w:tcW w:type="dxa" w:w="1800"/>
            <w:vAlign w:val="center"/>
            <w:shd w:fill="F5F7FA"/>
          </w:tcPr>
          <w:p>
            <w:pPr>
              <w:spacing w:after="0" w:before="0" w:line="240" w:lineRule="auto"/>
            </w:pPr>
            <w:r/>
            <w:r>
              <w:rPr>
                <w:rFonts w:ascii="Aptos" w:hAnsi="Aptos"/>
                <w:b/>
                <w:color w:val="111827"/>
                <w:sz w:val="13"/>
              </w:rPr>
              <w:t>Cosmetic/personal-care ($20)</w:t>
            </w:r>
          </w:p>
        </w:tc>
        <w:tc>
          <w:tcPr>
            <w:tcW w:type="dxa" w:w="648"/>
            <w:vAlign w:val="center"/>
            <w:shd w:fill="F5F7FA"/>
          </w:tcPr>
          <w:p>
            <w:pPr>
              <w:spacing w:after="0" w:before="0" w:line="240" w:lineRule="auto"/>
            </w:pPr>
            <w:r/>
            <w:r>
              <w:rPr>
                <w:rFonts w:ascii="Aptos" w:hAnsi="Aptos"/>
                <w:b w:val="0"/>
                <w:color w:val="111827"/>
                <w:sz w:val="13"/>
              </w:rPr>
              <w:t>$20</w:t>
            </w:r>
          </w:p>
        </w:tc>
        <w:tc>
          <w:tcPr>
            <w:tcW w:type="dxa" w:w="936"/>
            <w:vAlign w:val="center"/>
            <w:shd w:fill="F5F7FA"/>
          </w:tcPr>
          <w:p>
            <w:pPr>
              <w:spacing w:after="0" w:before="0" w:line="240" w:lineRule="auto"/>
            </w:pPr>
            <w:r/>
            <w:r>
              <w:rPr>
                <w:rFonts w:ascii="Aptos" w:hAnsi="Aptos"/>
                <w:b w:val="0"/>
                <w:color w:val="111827"/>
                <w:sz w:val="13"/>
              </w:rPr>
              <w:t>$3.64</w:t>
            </w:r>
          </w:p>
        </w:tc>
        <w:tc>
          <w:tcPr>
            <w:tcW w:type="dxa" w:w="864"/>
            <w:vAlign w:val="center"/>
            <w:shd w:fill="F5F7FA"/>
          </w:tcPr>
          <w:p>
            <w:pPr>
              <w:spacing w:after="0" w:before="0" w:line="240" w:lineRule="auto"/>
            </w:pPr>
            <w:r/>
            <w:r>
              <w:rPr>
                <w:rFonts w:ascii="Aptos" w:hAnsi="Aptos"/>
                <w:b w:val="0"/>
                <w:color w:val="111827"/>
                <w:sz w:val="13"/>
              </w:rPr>
              <w:t>$3.23</w:t>
            </w:r>
          </w:p>
        </w:tc>
        <w:tc>
          <w:tcPr>
            <w:tcW w:type="dxa" w:w="792"/>
            <w:vAlign w:val="center"/>
            <w:shd w:fill="F5F7FA"/>
          </w:tcPr>
          <w:p>
            <w:pPr>
              <w:spacing w:after="0" w:before="0" w:line="240" w:lineRule="auto"/>
            </w:pPr>
            <w:r/>
            <w:r>
              <w:rPr>
                <w:rFonts w:ascii="Aptos" w:hAnsi="Aptos"/>
                <w:b w:val="0"/>
                <w:color w:val="111827"/>
                <w:sz w:val="13"/>
              </w:rPr>
              <w:t>$0.70</w:t>
            </w:r>
          </w:p>
        </w:tc>
        <w:tc>
          <w:tcPr>
            <w:tcW w:type="dxa" w:w="864"/>
            <w:vAlign w:val="center"/>
            <w:shd w:fill="F5F7FA"/>
          </w:tcPr>
          <w:p>
            <w:pPr>
              <w:spacing w:after="0" w:before="0" w:line="240" w:lineRule="auto"/>
            </w:pPr>
            <w:r/>
            <w:r>
              <w:rPr>
                <w:rFonts w:ascii="Aptos" w:hAnsi="Aptos"/>
                <w:b w:val="0"/>
                <w:color w:val="111827"/>
                <w:sz w:val="13"/>
              </w:rPr>
              <w:t>$-0.28</w:t>
            </w:r>
          </w:p>
        </w:tc>
        <w:tc>
          <w:tcPr>
            <w:tcW w:type="dxa" w:w="936"/>
            <w:vAlign w:val="center"/>
            <w:shd w:fill="F5F7FA"/>
          </w:tcPr>
          <w:p>
            <w:pPr>
              <w:spacing w:after="0" w:before="0" w:line="240" w:lineRule="auto"/>
            </w:pPr>
            <w:r/>
            <w:r>
              <w:rPr>
                <w:rFonts w:ascii="Aptos" w:hAnsi="Aptos"/>
                <w:b w:val="0"/>
                <w:color w:val="111827"/>
                <w:sz w:val="13"/>
              </w:rPr>
              <w:t>$20.31</w:t>
            </w:r>
          </w:p>
        </w:tc>
        <w:tc>
          <w:tcPr>
            <w:tcW w:type="dxa" w:w="936"/>
            <w:vAlign w:val="center"/>
            <w:shd w:fill="F5F7FA"/>
          </w:tcPr>
          <w:p>
            <w:pPr>
              <w:spacing w:after="0" w:before="0" w:line="240" w:lineRule="auto"/>
            </w:pPr>
            <w:r/>
            <w:r>
              <w:rPr>
                <w:rFonts w:ascii="Aptos" w:hAnsi="Aptos"/>
                <w:b w:val="0"/>
                <w:color w:val="111827"/>
                <w:sz w:val="13"/>
              </w:rPr>
              <w:t>$2.03</w:t>
            </w:r>
          </w:p>
        </w:tc>
        <w:tc>
          <w:tcPr>
            <w:tcW w:type="dxa" w:w="1944"/>
            <w:vAlign w:val="center"/>
            <w:shd w:fill="F5F7FA"/>
          </w:tcPr>
          <w:p>
            <w:pPr>
              <w:spacing w:after="0" w:before="0" w:line="240" w:lineRule="auto"/>
            </w:pPr>
            <w:r/>
            <w:r>
              <w:rPr>
                <w:rFonts w:ascii="Aptos" w:hAnsi="Aptos"/>
                <w:b w:val="0"/>
                <w:color w:val="111827"/>
                <w:sz w:val="13"/>
              </w:rPr>
              <w:t>Returnless for parcel; retrieve via store return</w:t>
            </w:r>
          </w:p>
        </w:tc>
      </w:tr>
      <w:tr>
        <w:tc>
          <w:tcPr>
            <w:tcW w:type="dxa" w:w="1800"/>
            <w:vAlign w:val="center"/>
          </w:tcPr>
          <w:p>
            <w:pPr>
              <w:spacing w:after="0" w:before="0" w:line="240" w:lineRule="auto"/>
            </w:pPr>
            <w:r/>
            <w:r>
              <w:rPr>
                <w:rFonts w:ascii="Aptos" w:hAnsi="Aptos"/>
                <w:b/>
                <w:color w:val="111827"/>
                <w:sz w:val="13"/>
              </w:rPr>
              <w:t>Small household ($20)</w:t>
            </w:r>
          </w:p>
        </w:tc>
        <w:tc>
          <w:tcPr>
            <w:tcW w:type="dxa" w:w="648"/>
            <w:vAlign w:val="center"/>
          </w:tcPr>
          <w:p>
            <w:pPr>
              <w:spacing w:after="0" w:before="0" w:line="240" w:lineRule="auto"/>
            </w:pPr>
            <w:r/>
            <w:r>
              <w:rPr>
                <w:rFonts w:ascii="Aptos" w:hAnsi="Aptos"/>
                <w:b w:val="0"/>
                <w:color w:val="111827"/>
                <w:sz w:val="13"/>
              </w:rPr>
              <w:t>$20</w:t>
            </w:r>
          </w:p>
        </w:tc>
        <w:tc>
          <w:tcPr>
            <w:tcW w:type="dxa" w:w="936"/>
            <w:vAlign w:val="center"/>
          </w:tcPr>
          <w:p>
            <w:pPr>
              <w:spacing w:after="0" w:before="0" w:line="240" w:lineRule="auto"/>
            </w:pPr>
            <w:r/>
            <w:r>
              <w:rPr>
                <w:rFonts w:ascii="Aptos" w:hAnsi="Aptos"/>
                <w:b w:val="0"/>
                <w:color w:val="111827"/>
                <w:sz w:val="13"/>
              </w:rPr>
              <w:t>$3.42</w:t>
            </w:r>
          </w:p>
        </w:tc>
        <w:tc>
          <w:tcPr>
            <w:tcW w:type="dxa" w:w="864"/>
            <w:vAlign w:val="center"/>
          </w:tcPr>
          <w:p>
            <w:pPr>
              <w:spacing w:after="0" w:before="0" w:line="240" w:lineRule="auto"/>
            </w:pPr>
            <w:r/>
            <w:r>
              <w:rPr>
                <w:rFonts w:ascii="Aptos" w:hAnsi="Aptos"/>
                <w:b w:val="0"/>
                <w:color w:val="111827"/>
                <w:sz w:val="13"/>
              </w:rPr>
              <w:t>$7.16</w:t>
            </w:r>
          </w:p>
        </w:tc>
        <w:tc>
          <w:tcPr>
            <w:tcW w:type="dxa" w:w="792"/>
            <w:vAlign w:val="center"/>
          </w:tcPr>
          <w:p>
            <w:pPr>
              <w:spacing w:after="0" w:before="0" w:line="240" w:lineRule="auto"/>
            </w:pPr>
            <w:r/>
            <w:r>
              <w:rPr>
                <w:rFonts w:ascii="Aptos" w:hAnsi="Aptos"/>
                <w:b w:val="0"/>
                <w:color w:val="111827"/>
                <w:sz w:val="13"/>
              </w:rPr>
              <w:t>$0.93</w:t>
            </w:r>
          </w:p>
        </w:tc>
        <w:tc>
          <w:tcPr>
            <w:tcW w:type="dxa" w:w="864"/>
            <w:vAlign w:val="center"/>
          </w:tcPr>
          <w:p>
            <w:pPr>
              <w:spacing w:after="0" w:before="0" w:line="240" w:lineRule="auto"/>
            </w:pPr>
            <w:r/>
            <w:r>
              <w:rPr>
                <w:rFonts w:ascii="Aptos" w:hAnsi="Aptos"/>
                <w:b w:val="0"/>
                <w:color w:val="111827"/>
                <w:sz w:val="13"/>
              </w:rPr>
              <w:t>$-4.68</w:t>
            </w:r>
          </w:p>
        </w:tc>
        <w:tc>
          <w:tcPr>
            <w:tcW w:type="dxa" w:w="936"/>
            <w:vAlign w:val="center"/>
          </w:tcPr>
          <w:p>
            <w:pPr>
              <w:spacing w:after="0" w:before="0" w:line="240" w:lineRule="auto"/>
            </w:pPr>
            <w:r/>
            <w:r>
              <w:rPr>
                <w:rFonts w:ascii="Aptos" w:hAnsi="Aptos"/>
                <w:b w:val="0"/>
                <w:color w:val="111827"/>
                <w:sz w:val="13"/>
              </w:rPr>
              <w:t>$24.71</w:t>
            </w:r>
          </w:p>
        </w:tc>
        <w:tc>
          <w:tcPr>
            <w:tcW w:type="dxa" w:w="936"/>
            <w:vAlign w:val="center"/>
          </w:tcPr>
          <w:p>
            <w:pPr>
              <w:spacing w:after="0" w:before="0" w:line="240" w:lineRule="auto"/>
            </w:pPr>
            <w:r/>
            <w:r>
              <w:rPr>
                <w:rFonts w:ascii="Aptos" w:hAnsi="Aptos"/>
                <w:b w:val="0"/>
                <w:color w:val="111827"/>
                <w:sz w:val="13"/>
              </w:rPr>
              <w:t>$2.97</w:t>
            </w:r>
          </w:p>
        </w:tc>
        <w:tc>
          <w:tcPr>
            <w:tcW w:type="dxa" w:w="1944"/>
            <w:vAlign w:val="center"/>
          </w:tcPr>
          <w:p>
            <w:pPr>
              <w:spacing w:after="0" w:before="0" w:line="240" w:lineRule="auto"/>
            </w:pPr>
            <w:r/>
            <w:r>
              <w:rPr>
                <w:rFonts w:ascii="Aptos" w:hAnsi="Aptos"/>
                <w:b w:val="0"/>
                <w:color w:val="111827"/>
                <w:sz w:val="13"/>
              </w:rPr>
              <w:t>Returnless for parcel; retrieve via store return</w:t>
            </w:r>
          </w:p>
        </w:tc>
      </w:tr>
      <w:tr>
        <w:tc>
          <w:tcPr>
            <w:tcW w:type="dxa" w:w="1800"/>
            <w:vAlign w:val="center"/>
            <w:shd w:fill="F5F7FA"/>
          </w:tcPr>
          <w:p>
            <w:pPr>
              <w:spacing w:after="0" w:before="0" w:line="240" w:lineRule="auto"/>
            </w:pPr>
            <w:r/>
            <w:r>
              <w:rPr>
                <w:rFonts w:ascii="Aptos" w:hAnsi="Aptos"/>
                <w:b/>
                <w:color w:val="111827"/>
                <w:sz w:val="13"/>
              </w:rPr>
              <w:t>Footwear/premium apparel ($100)</w:t>
            </w:r>
          </w:p>
        </w:tc>
        <w:tc>
          <w:tcPr>
            <w:tcW w:type="dxa" w:w="648"/>
            <w:vAlign w:val="center"/>
            <w:shd w:fill="F5F7FA"/>
          </w:tcPr>
          <w:p>
            <w:pPr>
              <w:spacing w:after="0" w:before="0" w:line="240" w:lineRule="auto"/>
            </w:pPr>
            <w:r/>
            <w:r>
              <w:rPr>
                <w:rFonts w:ascii="Aptos" w:hAnsi="Aptos"/>
                <w:b w:val="0"/>
                <w:color w:val="111827"/>
                <w:sz w:val="13"/>
              </w:rPr>
              <w:t>$100</w:t>
            </w:r>
          </w:p>
        </w:tc>
        <w:tc>
          <w:tcPr>
            <w:tcW w:type="dxa" w:w="936"/>
            <w:vAlign w:val="center"/>
            <w:shd w:fill="F5F7FA"/>
          </w:tcPr>
          <w:p>
            <w:pPr>
              <w:spacing w:after="0" w:before="0" w:line="240" w:lineRule="auto"/>
            </w:pPr>
            <w:r/>
            <w:r>
              <w:rPr>
                <w:rFonts w:ascii="Aptos" w:hAnsi="Aptos"/>
                <w:b w:val="0"/>
                <w:color w:val="111827"/>
                <w:sz w:val="13"/>
              </w:rPr>
              <w:t>$49.07</w:t>
            </w:r>
          </w:p>
        </w:tc>
        <w:tc>
          <w:tcPr>
            <w:tcW w:type="dxa" w:w="864"/>
            <w:vAlign w:val="center"/>
            <w:shd w:fill="F5F7FA"/>
          </w:tcPr>
          <w:p>
            <w:pPr>
              <w:spacing w:after="0" w:before="0" w:line="240" w:lineRule="auto"/>
            </w:pPr>
            <w:r/>
            <w:r>
              <w:rPr>
                <w:rFonts w:ascii="Aptos" w:hAnsi="Aptos"/>
                <w:b w:val="0"/>
                <w:color w:val="111827"/>
                <w:sz w:val="13"/>
              </w:rPr>
              <w:t>$5.14</w:t>
            </w:r>
          </w:p>
        </w:tc>
        <w:tc>
          <w:tcPr>
            <w:tcW w:type="dxa" w:w="792"/>
            <w:vAlign w:val="center"/>
            <w:shd w:fill="F5F7FA"/>
          </w:tcPr>
          <w:p>
            <w:pPr>
              <w:spacing w:after="0" w:before="0" w:line="240" w:lineRule="auto"/>
            </w:pPr>
            <w:r/>
            <w:r>
              <w:rPr>
                <w:rFonts w:ascii="Aptos" w:hAnsi="Aptos"/>
                <w:b w:val="0"/>
                <w:color w:val="111827"/>
                <w:sz w:val="13"/>
              </w:rPr>
              <w:t>$1.87</w:t>
            </w:r>
          </w:p>
        </w:tc>
        <w:tc>
          <w:tcPr>
            <w:tcW w:type="dxa" w:w="864"/>
            <w:vAlign w:val="center"/>
            <w:shd w:fill="F5F7FA"/>
          </w:tcPr>
          <w:p>
            <w:pPr>
              <w:spacing w:after="0" w:before="0" w:line="240" w:lineRule="auto"/>
            </w:pPr>
            <w:r/>
            <w:r>
              <w:rPr>
                <w:rFonts w:ascii="Aptos" w:hAnsi="Aptos"/>
                <w:b w:val="0"/>
                <w:color w:val="111827"/>
                <w:sz w:val="13"/>
              </w:rPr>
              <w:t>$42.06</w:t>
            </w:r>
          </w:p>
        </w:tc>
        <w:tc>
          <w:tcPr>
            <w:tcW w:type="dxa" w:w="936"/>
            <w:vAlign w:val="center"/>
            <w:shd w:fill="F5F7FA"/>
          </w:tcPr>
          <w:p>
            <w:pPr>
              <w:spacing w:after="0" w:before="0" w:line="240" w:lineRule="auto"/>
            </w:pPr>
            <w:r/>
            <w:r>
              <w:rPr>
                <w:rFonts w:ascii="Aptos" w:hAnsi="Aptos"/>
                <w:b w:val="0"/>
                <w:color w:val="111827"/>
                <w:sz w:val="13"/>
              </w:rPr>
              <w:t>$58.30</w:t>
            </w:r>
          </w:p>
        </w:tc>
        <w:tc>
          <w:tcPr>
            <w:tcW w:type="dxa" w:w="936"/>
            <w:vAlign w:val="center"/>
            <w:shd w:fill="F5F7FA"/>
          </w:tcPr>
          <w:p>
            <w:pPr>
              <w:spacing w:after="0" w:before="0" w:line="240" w:lineRule="auto"/>
            </w:pPr>
            <w:r/>
            <w:r>
              <w:rPr>
                <w:rFonts w:ascii="Aptos" w:hAnsi="Aptos"/>
                <w:b w:val="0"/>
                <w:color w:val="111827"/>
                <w:sz w:val="13"/>
              </w:rPr>
              <w:t>$17.49</w:t>
            </w:r>
          </w:p>
        </w:tc>
        <w:tc>
          <w:tcPr>
            <w:tcW w:type="dxa" w:w="1944"/>
            <w:vAlign w:val="center"/>
            <w:shd w:fill="F5F7FA"/>
          </w:tcPr>
          <w:p>
            <w:pPr>
              <w:spacing w:after="0" w:before="0" w:line="240" w:lineRule="auto"/>
            </w:pPr>
            <w:r/>
            <w:r>
              <w:rPr>
                <w:rFonts w:ascii="Aptos" w:hAnsi="Aptos"/>
                <w:b w:val="0"/>
                <w:color w:val="111827"/>
                <w:sz w:val="13"/>
              </w:rPr>
              <w:t>Retrieve</w:t>
            </w:r>
          </w:p>
        </w:tc>
      </w:tr>
      <w:tr>
        <w:tc>
          <w:tcPr>
            <w:tcW w:type="dxa" w:w="1800"/>
            <w:vAlign w:val="center"/>
          </w:tcPr>
          <w:p>
            <w:pPr>
              <w:spacing w:after="0" w:before="0" w:line="240" w:lineRule="auto"/>
            </w:pPr>
            <w:r/>
            <w:r>
              <w:rPr>
                <w:rFonts w:ascii="Aptos" w:hAnsi="Aptos"/>
                <w:b/>
                <w:color w:val="111827"/>
                <w:sz w:val="13"/>
              </w:rPr>
              <w:t>Headphones/small electronics ($100)</w:t>
            </w:r>
          </w:p>
        </w:tc>
        <w:tc>
          <w:tcPr>
            <w:tcW w:type="dxa" w:w="648"/>
            <w:vAlign w:val="center"/>
          </w:tcPr>
          <w:p>
            <w:pPr>
              <w:spacing w:after="0" w:before="0" w:line="240" w:lineRule="auto"/>
            </w:pPr>
            <w:r/>
            <w:r>
              <w:rPr>
                <w:rFonts w:ascii="Aptos" w:hAnsi="Aptos"/>
                <w:b w:val="0"/>
                <w:color w:val="111827"/>
                <w:sz w:val="13"/>
              </w:rPr>
              <w:t>$100</w:t>
            </w:r>
          </w:p>
        </w:tc>
        <w:tc>
          <w:tcPr>
            <w:tcW w:type="dxa" w:w="936"/>
            <w:vAlign w:val="center"/>
          </w:tcPr>
          <w:p>
            <w:pPr>
              <w:spacing w:after="0" w:before="0" w:line="240" w:lineRule="auto"/>
            </w:pPr>
            <w:r/>
            <w:r>
              <w:rPr>
                <w:rFonts w:ascii="Aptos" w:hAnsi="Aptos"/>
                <w:b w:val="0"/>
                <w:color w:val="111827"/>
                <w:sz w:val="13"/>
              </w:rPr>
              <w:t>$33.37</w:t>
            </w:r>
          </w:p>
        </w:tc>
        <w:tc>
          <w:tcPr>
            <w:tcW w:type="dxa" w:w="864"/>
            <w:vAlign w:val="center"/>
          </w:tcPr>
          <w:p>
            <w:pPr>
              <w:spacing w:after="0" w:before="0" w:line="240" w:lineRule="auto"/>
            </w:pPr>
            <w:r/>
            <w:r>
              <w:rPr>
                <w:rFonts w:ascii="Aptos" w:hAnsi="Aptos"/>
                <w:b w:val="0"/>
                <w:color w:val="111827"/>
                <w:sz w:val="13"/>
              </w:rPr>
              <w:t>$5.91</w:t>
            </w:r>
          </w:p>
        </w:tc>
        <w:tc>
          <w:tcPr>
            <w:tcW w:type="dxa" w:w="792"/>
            <w:vAlign w:val="center"/>
          </w:tcPr>
          <w:p>
            <w:pPr>
              <w:spacing w:after="0" w:before="0" w:line="240" w:lineRule="auto"/>
            </w:pPr>
            <w:r/>
            <w:r>
              <w:rPr>
                <w:rFonts w:ascii="Aptos" w:hAnsi="Aptos"/>
                <w:b w:val="0"/>
                <w:color w:val="111827"/>
                <w:sz w:val="13"/>
              </w:rPr>
              <w:t>$4.00</w:t>
            </w:r>
          </w:p>
        </w:tc>
        <w:tc>
          <w:tcPr>
            <w:tcW w:type="dxa" w:w="864"/>
            <w:vAlign w:val="center"/>
          </w:tcPr>
          <w:p>
            <w:pPr>
              <w:spacing w:after="0" w:before="0" w:line="240" w:lineRule="auto"/>
            </w:pPr>
            <w:r/>
            <w:r>
              <w:rPr>
                <w:rFonts w:ascii="Aptos" w:hAnsi="Aptos"/>
                <w:b w:val="0"/>
                <w:color w:val="111827"/>
                <w:sz w:val="13"/>
              </w:rPr>
              <w:t>$23.46</w:t>
            </w:r>
          </w:p>
        </w:tc>
        <w:tc>
          <w:tcPr>
            <w:tcW w:type="dxa" w:w="936"/>
            <w:vAlign w:val="center"/>
          </w:tcPr>
          <w:p>
            <w:pPr>
              <w:spacing w:after="0" w:before="0" w:line="240" w:lineRule="auto"/>
            </w:pPr>
            <w:r/>
            <w:r>
              <w:rPr>
                <w:rFonts w:ascii="Aptos" w:hAnsi="Aptos"/>
                <w:b w:val="0"/>
                <w:color w:val="111827"/>
                <w:sz w:val="13"/>
              </w:rPr>
              <w:t>$77.44</w:t>
            </w:r>
          </w:p>
        </w:tc>
        <w:tc>
          <w:tcPr>
            <w:tcW w:type="dxa" w:w="936"/>
            <w:vAlign w:val="center"/>
          </w:tcPr>
          <w:p>
            <w:pPr>
              <w:spacing w:after="0" w:before="0" w:line="240" w:lineRule="auto"/>
            </w:pPr>
            <w:r/>
            <w:r>
              <w:rPr>
                <w:rFonts w:ascii="Aptos" w:hAnsi="Aptos"/>
                <w:b w:val="0"/>
                <w:color w:val="111827"/>
                <w:sz w:val="13"/>
              </w:rPr>
              <w:t>$9.29</w:t>
            </w:r>
          </w:p>
        </w:tc>
        <w:tc>
          <w:tcPr>
            <w:tcW w:type="dxa" w:w="1944"/>
            <w:vAlign w:val="center"/>
          </w:tcPr>
          <w:p>
            <w:pPr>
              <w:spacing w:after="0" w:before="0" w:line="240" w:lineRule="auto"/>
            </w:pPr>
            <w:r/>
            <w:r>
              <w:rPr>
                <w:rFonts w:ascii="Aptos" w:hAnsi="Aptos"/>
                <w:b w:val="0"/>
                <w:color w:val="111827"/>
                <w:sz w:val="13"/>
              </w:rPr>
              <w:t>Retrieve</w:t>
            </w:r>
          </w:p>
        </w:tc>
      </w:tr>
      <w:tr>
        <w:tc>
          <w:tcPr>
            <w:tcW w:type="dxa" w:w="1800"/>
            <w:vAlign w:val="center"/>
            <w:shd w:fill="F5F7FA"/>
          </w:tcPr>
          <w:p>
            <w:pPr>
              <w:spacing w:after="0" w:before="0" w:line="240" w:lineRule="auto"/>
            </w:pPr>
            <w:r/>
            <w:r>
              <w:rPr>
                <w:rFonts w:ascii="Aptos" w:hAnsi="Aptos"/>
                <w:b/>
                <w:color w:val="111827"/>
                <w:sz w:val="13"/>
              </w:rPr>
              <w:t>Small appliance ($100)</w:t>
            </w:r>
          </w:p>
        </w:tc>
        <w:tc>
          <w:tcPr>
            <w:tcW w:type="dxa" w:w="648"/>
            <w:vAlign w:val="center"/>
            <w:shd w:fill="F5F7FA"/>
          </w:tcPr>
          <w:p>
            <w:pPr>
              <w:spacing w:after="0" w:before="0" w:line="240" w:lineRule="auto"/>
            </w:pPr>
            <w:r/>
            <w:r>
              <w:rPr>
                <w:rFonts w:ascii="Aptos" w:hAnsi="Aptos"/>
                <w:b w:val="0"/>
                <w:color w:val="111827"/>
                <w:sz w:val="13"/>
              </w:rPr>
              <w:t>$100</w:t>
            </w:r>
          </w:p>
        </w:tc>
        <w:tc>
          <w:tcPr>
            <w:tcW w:type="dxa" w:w="936"/>
            <w:vAlign w:val="center"/>
            <w:shd w:fill="F5F7FA"/>
          </w:tcPr>
          <w:p>
            <w:pPr>
              <w:spacing w:after="0" w:before="0" w:line="240" w:lineRule="auto"/>
            </w:pPr>
            <w:r/>
            <w:r>
              <w:rPr>
                <w:rFonts w:ascii="Aptos" w:hAnsi="Aptos"/>
                <w:b w:val="0"/>
                <w:color w:val="111827"/>
                <w:sz w:val="13"/>
              </w:rPr>
              <w:t>$22.34</w:t>
            </w:r>
          </w:p>
        </w:tc>
        <w:tc>
          <w:tcPr>
            <w:tcW w:type="dxa" w:w="864"/>
            <w:vAlign w:val="center"/>
            <w:shd w:fill="F5F7FA"/>
          </w:tcPr>
          <w:p>
            <w:pPr>
              <w:spacing w:after="0" w:before="0" w:line="240" w:lineRule="auto"/>
            </w:pPr>
            <w:r/>
            <w:r>
              <w:rPr>
                <w:rFonts w:ascii="Aptos" w:hAnsi="Aptos"/>
                <w:b w:val="0"/>
                <w:color w:val="111827"/>
                <w:sz w:val="13"/>
              </w:rPr>
              <w:t>$13.12</w:t>
            </w:r>
          </w:p>
        </w:tc>
        <w:tc>
          <w:tcPr>
            <w:tcW w:type="dxa" w:w="792"/>
            <w:vAlign w:val="center"/>
            <w:shd w:fill="F5F7FA"/>
          </w:tcPr>
          <w:p>
            <w:pPr>
              <w:spacing w:after="0" w:before="0" w:line="240" w:lineRule="auto"/>
            </w:pPr>
            <w:r/>
            <w:r>
              <w:rPr>
                <w:rFonts w:ascii="Aptos" w:hAnsi="Aptos"/>
                <w:b w:val="0"/>
                <w:color w:val="111827"/>
                <w:sz w:val="13"/>
              </w:rPr>
              <w:t>$5.00</w:t>
            </w:r>
          </w:p>
        </w:tc>
        <w:tc>
          <w:tcPr>
            <w:tcW w:type="dxa" w:w="864"/>
            <w:vAlign w:val="center"/>
            <w:shd w:fill="F5F7FA"/>
          </w:tcPr>
          <w:p>
            <w:pPr>
              <w:spacing w:after="0" w:before="0" w:line="240" w:lineRule="auto"/>
            </w:pPr>
            <w:r/>
            <w:r>
              <w:rPr>
                <w:rFonts w:ascii="Aptos" w:hAnsi="Aptos"/>
                <w:b w:val="0"/>
                <w:color w:val="111827"/>
                <w:sz w:val="13"/>
              </w:rPr>
              <w:t>$4.22</w:t>
            </w:r>
          </w:p>
        </w:tc>
        <w:tc>
          <w:tcPr>
            <w:tcW w:type="dxa" w:w="936"/>
            <w:vAlign w:val="center"/>
            <w:shd w:fill="F5F7FA"/>
          </w:tcPr>
          <w:p>
            <w:pPr>
              <w:spacing w:after="0" w:before="0" w:line="240" w:lineRule="auto"/>
            </w:pPr>
            <w:r/>
            <w:r>
              <w:rPr>
                <w:rFonts w:ascii="Aptos" w:hAnsi="Aptos"/>
                <w:b w:val="0"/>
                <w:color w:val="111827"/>
                <w:sz w:val="13"/>
              </w:rPr>
              <w:t>$96.23</w:t>
            </w:r>
          </w:p>
        </w:tc>
        <w:tc>
          <w:tcPr>
            <w:tcW w:type="dxa" w:w="936"/>
            <w:vAlign w:val="center"/>
            <w:shd w:fill="F5F7FA"/>
          </w:tcPr>
          <w:p>
            <w:pPr>
              <w:spacing w:after="0" w:before="0" w:line="240" w:lineRule="auto"/>
            </w:pPr>
            <w:r/>
            <w:r>
              <w:rPr>
                <w:rFonts w:ascii="Aptos" w:hAnsi="Aptos"/>
                <w:b w:val="0"/>
                <w:color w:val="111827"/>
                <w:sz w:val="13"/>
              </w:rPr>
              <w:t>$14.44</w:t>
            </w:r>
          </w:p>
        </w:tc>
        <w:tc>
          <w:tcPr>
            <w:tcW w:type="dxa" w:w="1944"/>
            <w:vAlign w:val="center"/>
            <w:shd w:fill="F5F7FA"/>
          </w:tcPr>
          <w:p>
            <w:pPr>
              <w:spacing w:after="0" w:before="0" w:line="240" w:lineRule="auto"/>
            </w:pPr>
            <w:r/>
            <w:r>
              <w:rPr>
                <w:rFonts w:ascii="Aptos" w:hAnsi="Aptos"/>
                <w:b w:val="0"/>
                <w:color w:val="111827"/>
                <w:sz w:val="13"/>
              </w:rPr>
              <w:t>Retrieve</w:t>
            </w:r>
          </w:p>
        </w:tc>
      </w:tr>
      <w:tr>
        <w:tc>
          <w:tcPr>
            <w:tcW w:type="dxa" w:w="1800"/>
            <w:vAlign w:val="center"/>
          </w:tcPr>
          <w:p>
            <w:pPr>
              <w:spacing w:after="0" w:before="0" w:line="240" w:lineRule="auto"/>
            </w:pPr>
            <w:r/>
            <w:r>
              <w:rPr>
                <w:rFonts w:ascii="Aptos" w:hAnsi="Aptos"/>
                <w:b/>
                <w:color w:val="111827"/>
                <w:sz w:val="13"/>
              </w:rPr>
              <w:t>Laptop/phone premium electronics ($500)</w:t>
            </w:r>
          </w:p>
        </w:tc>
        <w:tc>
          <w:tcPr>
            <w:tcW w:type="dxa" w:w="648"/>
            <w:vAlign w:val="center"/>
          </w:tcPr>
          <w:p>
            <w:pPr>
              <w:spacing w:after="0" w:before="0" w:line="240" w:lineRule="auto"/>
            </w:pPr>
            <w:r/>
            <w:r>
              <w:rPr>
                <w:rFonts w:ascii="Aptos" w:hAnsi="Aptos"/>
                <w:b w:val="0"/>
                <w:color w:val="111827"/>
                <w:sz w:val="13"/>
              </w:rPr>
              <w:t>$500</w:t>
            </w:r>
          </w:p>
        </w:tc>
        <w:tc>
          <w:tcPr>
            <w:tcW w:type="dxa" w:w="936"/>
            <w:vAlign w:val="center"/>
          </w:tcPr>
          <w:p>
            <w:pPr>
              <w:spacing w:after="0" w:before="0" w:line="240" w:lineRule="auto"/>
            </w:pPr>
            <w:r/>
            <w:r>
              <w:rPr>
                <w:rFonts w:ascii="Aptos" w:hAnsi="Aptos"/>
                <w:b w:val="0"/>
                <w:color w:val="111827"/>
                <w:sz w:val="13"/>
              </w:rPr>
              <w:t>$200.58</w:t>
            </w:r>
          </w:p>
        </w:tc>
        <w:tc>
          <w:tcPr>
            <w:tcW w:type="dxa" w:w="864"/>
            <w:vAlign w:val="center"/>
          </w:tcPr>
          <w:p>
            <w:pPr>
              <w:spacing w:after="0" w:before="0" w:line="240" w:lineRule="auto"/>
            </w:pPr>
            <w:r/>
            <w:r>
              <w:rPr>
                <w:rFonts w:ascii="Aptos" w:hAnsi="Aptos"/>
                <w:b w:val="0"/>
                <w:color w:val="111827"/>
                <w:sz w:val="13"/>
              </w:rPr>
              <w:t>$8.20</w:t>
            </w:r>
          </w:p>
        </w:tc>
        <w:tc>
          <w:tcPr>
            <w:tcW w:type="dxa" w:w="792"/>
            <w:vAlign w:val="center"/>
          </w:tcPr>
          <w:p>
            <w:pPr>
              <w:spacing w:after="0" w:before="0" w:line="240" w:lineRule="auto"/>
            </w:pPr>
            <w:r/>
            <w:r>
              <w:rPr>
                <w:rFonts w:ascii="Aptos" w:hAnsi="Aptos"/>
                <w:b w:val="0"/>
                <w:color w:val="111827"/>
                <w:sz w:val="13"/>
              </w:rPr>
              <w:t>$10.20</w:t>
            </w:r>
          </w:p>
        </w:tc>
        <w:tc>
          <w:tcPr>
            <w:tcW w:type="dxa" w:w="864"/>
            <w:vAlign w:val="center"/>
          </w:tcPr>
          <w:p>
            <w:pPr>
              <w:spacing w:after="0" w:before="0" w:line="240" w:lineRule="auto"/>
            </w:pPr>
            <w:r/>
            <w:r>
              <w:rPr>
                <w:rFonts w:ascii="Aptos" w:hAnsi="Aptos"/>
                <w:b w:val="0"/>
                <w:color w:val="111827"/>
                <w:sz w:val="13"/>
              </w:rPr>
              <w:t>$182.18</w:t>
            </w:r>
          </w:p>
        </w:tc>
        <w:tc>
          <w:tcPr>
            <w:tcW w:type="dxa" w:w="936"/>
            <w:vAlign w:val="center"/>
          </w:tcPr>
          <w:p>
            <w:pPr>
              <w:spacing w:after="0" w:before="0" w:line="240" w:lineRule="auto"/>
            </w:pPr>
            <w:r/>
            <w:r>
              <w:rPr>
                <w:rFonts w:ascii="Aptos" w:hAnsi="Aptos"/>
                <w:b w:val="0"/>
                <w:color w:val="111827"/>
                <w:sz w:val="13"/>
              </w:rPr>
              <w:t>$322.72</w:t>
            </w:r>
          </w:p>
        </w:tc>
        <w:tc>
          <w:tcPr>
            <w:tcW w:type="dxa" w:w="936"/>
            <w:vAlign w:val="center"/>
          </w:tcPr>
          <w:p>
            <w:pPr>
              <w:spacing w:after="0" w:before="0" w:line="240" w:lineRule="auto"/>
            </w:pPr>
            <w:r/>
            <w:r>
              <w:rPr>
                <w:rFonts w:ascii="Aptos" w:hAnsi="Aptos"/>
                <w:b w:val="0"/>
                <w:color w:val="111827"/>
                <w:sz w:val="13"/>
              </w:rPr>
              <w:t>$32.27</w:t>
            </w:r>
          </w:p>
        </w:tc>
        <w:tc>
          <w:tcPr>
            <w:tcW w:type="dxa" w:w="1944"/>
            <w:vAlign w:val="center"/>
          </w:tcPr>
          <w:p>
            <w:pPr>
              <w:spacing w:after="0" w:before="0" w:line="240" w:lineRule="auto"/>
            </w:pPr>
            <w:r/>
            <w:r>
              <w:rPr>
                <w:rFonts w:ascii="Aptos" w:hAnsi="Aptos"/>
                <w:b w:val="0"/>
                <w:color w:val="111827"/>
                <w:sz w:val="13"/>
              </w:rPr>
              <w:t>Retrieve</w:t>
            </w:r>
          </w:p>
        </w:tc>
      </w:tr>
      <w:tr>
        <w:tc>
          <w:tcPr>
            <w:tcW w:type="dxa" w:w="1800"/>
            <w:vAlign w:val="center"/>
            <w:shd w:fill="F5F7FA"/>
          </w:tcPr>
          <w:p>
            <w:pPr>
              <w:spacing w:after="0" w:before="0" w:line="240" w:lineRule="auto"/>
            </w:pPr>
            <w:r/>
            <w:r>
              <w:rPr>
                <w:rFonts w:ascii="Aptos" w:hAnsi="Aptos"/>
                <w:b/>
                <w:color w:val="111827"/>
                <w:sz w:val="13"/>
              </w:rPr>
              <w:t>Furniture ($500)</w:t>
            </w:r>
          </w:p>
        </w:tc>
        <w:tc>
          <w:tcPr>
            <w:tcW w:type="dxa" w:w="648"/>
            <w:vAlign w:val="center"/>
            <w:shd w:fill="F5F7FA"/>
          </w:tcPr>
          <w:p>
            <w:pPr>
              <w:spacing w:after="0" w:before="0" w:line="240" w:lineRule="auto"/>
            </w:pPr>
            <w:r/>
            <w:r>
              <w:rPr>
                <w:rFonts w:ascii="Aptos" w:hAnsi="Aptos"/>
                <w:b w:val="0"/>
                <w:color w:val="111827"/>
                <w:sz w:val="13"/>
              </w:rPr>
              <w:t>$500</w:t>
            </w:r>
          </w:p>
        </w:tc>
        <w:tc>
          <w:tcPr>
            <w:tcW w:type="dxa" w:w="936"/>
            <w:vAlign w:val="center"/>
            <w:shd w:fill="F5F7FA"/>
          </w:tcPr>
          <w:p>
            <w:pPr>
              <w:spacing w:after="0" w:before="0" w:line="240" w:lineRule="auto"/>
            </w:pPr>
            <w:r/>
            <w:r>
              <w:rPr>
                <w:rFonts w:ascii="Aptos" w:hAnsi="Aptos"/>
                <w:b w:val="0"/>
                <w:color w:val="111827"/>
                <w:sz w:val="13"/>
              </w:rPr>
              <w:t>$95.16</w:t>
            </w:r>
          </w:p>
        </w:tc>
        <w:tc>
          <w:tcPr>
            <w:tcW w:type="dxa" w:w="864"/>
            <w:vAlign w:val="center"/>
            <w:shd w:fill="F5F7FA"/>
          </w:tcPr>
          <w:p>
            <w:pPr>
              <w:spacing w:after="0" w:before="0" w:line="240" w:lineRule="auto"/>
            </w:pPr>
            <w:r/>
            <w:r>
              <w:rPr>
                <w:rFonts w:ascii="Aptos" w:hAnsi="Aptos"/>
                <w:b w:val="0"/>
                <w:color w:val="111827"/>
                <w:sz w:val="13"/>
              </w:rPr>
              <w:t>$98.90</w:t>
            </w:r>
          </w:p>
        </w:tc>
        <w:tc>
          <w:tcPr>
            <w:tcW w:type="dxa" w:w="792"/>
            <w:vAlign w:val="center"/>
            <w:shd w:fill="F5F7FA"/>
          </w:tcPr>
          <w:p>
            <w:pPr>
              <w:spacing w:after="0" w:before="0" w:line="240" w:lineRule="auto"/>
            </w:pPr>
            <w:r/>
            <w:r>
              <w:rPr>
                <w:rFonts w:ascii="Aptos" w:hAnsi="Aptos"/>
                <w:b w:val="0"/>
                <w:color w:val="111827"/>
                <w:sz w:val="13"/>
              </w:rPr>
              <w:t>$10.00</w:t>
            </w:r>
          </w:p>
        </w:tc>
        <w:tc>
          <w:tcPr>
            <w:tcW w:type="dxa" w:w="864"/>
            <w:vAlign w:val="center"/>
            <w:shd w:fill="F5F7FA"/>
          </w:tcPr>
          <w:p>
            <w:pPr>
              <w:spacing w:after="0" w:before="0" w:line="240" w:lineRule="auto"/>
            </w:pPr>
            <w:r/>
            <w:r>
              <w:rPr>
                <w:rFonts w:ascii="Aptos" w:hAnsi="Aptos"/>
                <w:b w:val="0"/>
                <w:color w:val="111827"/>
                <w:sz w:val="13"/>
              </w:rPr>
              <w:t>$-13.74</w:t>
            </w:r>
          </w:p>
        </w:tc>
        <w:tc>
          <w:tcPr>
            <w:tcW w:type="dxa" w:w="936"/>
            <w:vAlign w:val="center"/>
            <w:shd w:fill="F5F7FA"/>
          </w:tcPr>
          <w:p>
            <w:pPr>
              <w:spacing w:after="0" w:before="0" w:line="240" w:lineRule="auto"/>
            </w:pPr>
            <w:r/>
            <w:r>
              <w:rPr>
                <w:rFonts w:ascii="Aptos" w:hAnsi="Aptos"/>
                <w:b w:val="0"/>
                <w:color w:val="111827"/>
                <w:sz w:val="13"/>
              </w:rPr>
              <w:t>$514.04</w:t>
            </w:r>
          </w:p>
        </w:tc>
        <w:tc>
          <w:tcPr>
            <w:tcW w:type="dxa" w:w="936"/>
            <w:vAlign w:val="center"/>
            <w:shd w:fill="F5F7FA"/>
          </w:tcPr>
          <w:p>
            <w:pPr>
              <w:spacing w:after="0" w:before="0" w:line="240" w:lineRule="auto"/>
            </w:pPr>
            <w:r/>
            <w:r>
              <w:rPr>
                <w:rFonts w:ascii="Aptos" w:hAnsi="Aptos"/>
                <w:b w:val="0"/>
                <w:color w:val="111827"/>
                <w:sz w:val="13"/>
              </w:rPr>
              <w:t>$92.53</w:t>
            </w:r>
          </w:p>
        </w:tc>
        <w:tc>
          <w:tcPr>
            <w:tcW w:type="dxa" w:w="1944"/>
            <w:vAlign w:val="center"/>
            <w:shd w:fill="F5F7FA"/>
          </w:tcPr>
          <w:p>
            <w:pPr>
              <w:spacing w:after="0" w:before="0" w:line="240" w:lineRule="auto"/>
            </w:pPr>
            <w:r/>
            <w:r>
              <w:rPr>
                <w:rFonts w:ascii="Aptos" w:hAnsi="Aptos"/>
                <w:b w:val="0"/>
                <w:color w:val="111827"/>
                <w:sz w:val="13"/>
              </w:rPr>
              <w:t>Route locally (store/local pickup); avoid long-haul/oversize</w:t>
            </w:r>
          </w:p>
        </w:tc>
      </w:tr>
      <w:tr>
        <w:tc>
          <w:tcPr>
            <w:tcW w:type="dxa" w:w="1800"/>
            <w:vAlign w:val="center"/>
          </w:tcPr>
          <w:p>
            <w:pPr>
              <w:spacing w:after="0" w:before="0" w:line="240" w:lineRule="auto"/>
            </w:pPr>
            <w:r/>
            <w:r>
              <w:rPr>
                <w:rFonts w:ascii="Aptos" w:hAnsi="Aptos"/>
                <w:b/>
                <w:color w:val="111827"/>
                <w:sz w:val="13"/>
              </w:rPr>
              <w:t>Premium apparel/accessory ($500)</w:t>
            </w:r>
          </w:p>
        </w:tc>
        <w:tc>
          <w:tcPr>
            <w:tcW w:type="dxa" w:w="648"/>
            <w:vAlign w:val="center"/>
          </w:tcPr>
          <w:p>
            <w:pPr>
              <w:spacing w:after="0" w:before="0" w:line="240" w:lineRule="auto"/>
            </w:pPr>
            <w:r/>
            <w:r>
              <w:rPr>
                <w:rFonts w:ascii="Aptos" w:hAnsi="Aptos"/>
                <w:b w:val="0"/>
                <w:color w:val="111827"/>
                <w:sz w:val="13"/>
              </w:rPr>
              <w:t>$500</w:t>
            </w:r>
          </w:p>
        </w:tc>
        <w:tc>
          <w:tcPr>
            <w:tcW w:type="dxa" w:w="936"/>
            <w:vAlign w:val="center"/>
          </w:tcPr>
          <w:p>
            <w:pPr>
              <w:spacing w:after="0" w:before="0" w:line="240" w:lineRule="auto"/>
            </w:pPr>
            <w:r/>
            <w:r>
              <w:rPr>
                <w:rFonts w:ascii="Aptos" w:hAnsi="Aptos"/>
                <w:b w:val="0"/>
                <w:color w:val="111827"/>
                <w:sz w:val="13"/>
              </w:rPr>
              <w:t>$269.18</w:t>
            </w:r>
          </w:p>
        </w:tc>
        <w:tc>
          <w:tcPr>
            <w:tcW w:type="dxa" w:w="864"/>
            <w:vAlign w:val="center"/>
          </w:tcPr>
          <w:p>
            <w:pPr>
              <w:spacing w:after="0" w:before="0" w:line="240" w:lineRule="auto"/>
            </w:pPr>
            <w:r/>
            <w:r>
              <w:rPr>
                <w:rFonts w:ascii="Aptos" w:hAnsi="Aptos"/>
                <w:b w:val="0"/>
                <w:color w:val="111827"/>
                <w:sz w:val="13"/>
              </w:rPr>
              <w:t>$7.90</w:t>
            </w:r>
          </w:p>
        </w:tc>
        <w:tc>
          <w:tcPr>
            <w:tcW w:type="dxa" w:w="792"/>
            <w:vAlign w:val="center"/>
          </w:tcPr>
          <w:p>
            <w:pPr>
              <w:spacing w:after="0" w:before="0" w:line="240" w:lineRule="auto"/>
            </w:pPr>
            <w:r/>
            <w:r>
              <w:rPr>
                <w:rFonts w:ascii="Aptos" w:hAnsi="Aptos"/>
                <w:b w:val="0"/>
                <w:color w:val="111827"/>
                <w:sz w:val="13"/>
              </w:rPr>
              <w:t>$6.00</w:t>
            </w:r>
          </w:p>
        </w:tc>
        <w:tc>
          <w:tcPr>
            <w:tcW w:type="dxa" w:w="864"/>
            <w:vAlign w:val="center"/>
          </w:tcPr>
          <w:p>
            <w:pPr>
              <w:spacing w:after="0" w:before="0" w:line="240" w:lineRule="auto"/>
            </w:pPr>
            <w:r/>
            <w:r>
              <w:rPr>
                <w:rFonts w:ascii="Aptos" w:hAnsi="Aptos"/>
                <w:b w:val="0"/>
                <w:color w:val="111827"/>
                <w:sz w:val="13"/>
              </w:rPr>
              <w:t>$255.28</w:t>
            </w:r>
          </w:p>
        </w:tc>
        <w:tc>
          <w:tcPr>
            <w:tcW w:type="dxa" w:w="936"/>
            <w:vAlign w:val="center"/>
          </w:tcPr>
          <w:p>
            <w:pPr>
              <w:spacing w:after="0" w:before="0" w:line="240" w:lineRule="auto"/>
            </w:pPr>
            <w:r/>
            <w:r>
              <w:rPr>
                <w:rFonts w:ascii="Aptos" w:hAnsi="Aptos"/>
                <w:b w:val="0"/>
                <w:color w:val="111827"/>
                <w:sz w:val="13"/>
              </w:rPr>
              <w:t>$248.57</w:t>
            </w:r>
          </w:p>
        </w:tc>
        <w:tc>
          <w:tcPr>
            <w:tcW w:type="dxa" w:w="936"/>
            <w:vAlign w:val="center"/>
          </w:tcPr>
          <w:p>
            <w:pPr>
              <w:spacing w:after="0" w:before="0" w:line="240" w:lineRule="auto"/>
            </w:pPr>
            <w:r/>
            <w:r>
              <w:rPr>
                <w:rFonts w:ascii="Aptos" w:hAnsi="Aptos"/>
                <w:b w:val="0"/>
                <w:color w:val="111827"/>
                <w:sz w:val="13"/>
              </w:rPr>
              <w:t>$49.71</w:t>
            </w:r>
          </w:p>
        </w:tc>
        <w:tc>
          <w:tcPr>
            <w:tcW w:type="dxa" w:w="1944"/>
            <w:vAlign w:val="center"/>
          </w:tcPr>
          <w:p>
            <w:pPr>
              <w:spacing w:after="0" w:before="0" w:line="240" w:lineRule="auto"/>
            </w:pPr>
            <w:r/>
            <w:r>
              <w:rPr>
                <w:rFonts w:ascii="Aptos" w:hAnsi="Aptos"/>
                <w:b w:val="0"/>
                <w:color w:val="111827"/>
                <w:sz w:val="13"/>
              </w:rPr>
              <w:t>Retrieve</w:t>
            </w:r>
          </w:p>
        </w:tc>
      </w:tr>
    </w:tbl>
    <w:p>
      <w:pPr>
        <w:spacing w:after="0"/>
      </w:pPr>
    </w:p>
    <w:p>
      <w:pPr>
        <w:pStyle w:val="Caption"/>
        <w:jc w:val="left"/>
      </w:pPr>
      <w:r>
        <w:rPr>
          <w:b/>
        </w:rPr>
        <w:t>Table 1. Base-case unit economics for nine product archetypes</w:t>
      </w:r>
      <w:r>
        <w:rPr>
          <w:i/>
          <w:color w:val="6B7280"/>
        </w:rPr>
        <w:t xml:space="preserve">  Source: Model. Price and product definitions are assignment inputs; remaining values use the Assumption Register.</w:t>
      </w:r>
    </w:p>
    <w:tbl>
      <w:tblPr>
        <w:tblW w:type="auto" w:w="0"/>
        <w:jc w:val="center"/>
        <w:tblLayout w:type="fixed"/>
        <w:tblLook w:firstColumn="1" w:firstRow="1" w:lastColumn="0" w:lastRow="0" w:noHBand="0" w:noVBand="1" w:val="04A0"/>
      </w:tblPr>
      <w:tblGrid>
        <w:gridCol w:w="9936"/>
      </w:tblGrid>
      <w:tr>
        <w:tc>
          <w:tcPr>
            <w:tcW w:type="dxa" w:w="9936"/>
            <w:shd w:fill="E8EEF3"/>
            <w:tcBorders>
              <w:top w:val="nil"/>
              <w:left w:val="single" w:sz="18" w:color="1C7C7D"/>
              <w:bottom w:val="nil"/>
              <w:right w:val="nil"/>
            </w:tcBorders>
          </w:tcPr>
          <w:p>
            <w:pPr>
              <w:spacing w:after="40"/>
            </w:pPr>
            <w:r/>
            <w:r>
              <w:rPr>
                <w:b/>
                <w:color w:val="1C7C7D"/>
                <w:sz w:val="20"/>
              </w:rPr>
              <w:t>What the model says about margin</w:t>
            </w:r>
          </w:p>
          <w:p>
            <w:pPr>
              <w:spacing w:after="0"/>
            </w:pPr>
            <w:r>
              <w:t>Under the required definition, product cost C, original fulfillment Fo and original payment cost P cancel from the dollar return tax because both the kept-sale and returned-sale cases bear them. They still determine post-return loss and the percentage of kept-sale contribution consumed by the return. A lower-margin product therefore experiences the same incremental dollar tax but a much larger percentage hit.</w:t>
            </w:r>
          </w:p>
        </w:tc>
      </w:tr>
    </w:tbl>
    <w:p>
      <w:pPr>
        <w:spacing w:after="0"/>
      </w:pPr>
    </w:p>
    <w:p>
      <w:pPr>
        <w:pStyle w:val="Heading2"/>
      </w:pPr>
      <w:r>
        <w:t>Eight findings</w:t>
      </w:r>
    </w:p>
    <w:p>
      <w:pPr>
        <w:pStyle w:val="ListBullet"/>
      </w:pPr>
      <w:r>
        <w:t>A refund and a physical return are separate events. Amazon reports a refund liability and a distinct recovery asset; marketplace policies allow cash settlement before final physical disposition. [S01, S02, S05]</w:t>
      </w:r>
    </w:p>
    <w:p>
      <w:pPr>
        <w:pStyle w:val="ListBullet"/>
      </w:pPr>
      <w:r>
        <w:t>Returnless refunds are economically rational when expected recovery does not cover reverse freight and inspection. In the base model, mailed beauty and low-value household returns fail that test; store return can still work because the logistics cost collapses. [S02, S07; Model]</w:t>
      </w:r>
    </w:p>
    <w:p>
      <w:pPr>
        <w:pStyle w:val="ListBullet"/>
      </w:pPr>
      <w:r>
        <w:t>Value density explains the furniture result. The modeled $500 furniture item carries only about $3.60 of retail value per billable pound, versus more than $71 for the $500 laptop/phone. A weighted reverse-freight burden of $98.90 exceeds the furniture item’s maximum economical freight of $85.16. [S17, S21-S24; Model]</w:t>
      </w:r>
    </w:p>
    <w:p>
      <w:pPr>
        <w:pStyle w:val="ListBullet"/>
      </w:pPr>
      <w:r>
        <w:t>Inspection is an investment in information. The $100 headphones can support roughly 55 minutes of inspection at the modeled labor rate before retrieval turns negative; the $20 household item cannot support the two-minute base inspection under its weighted parcel route. [Model]</w:t>
      </w:r>
    </w:p>
    <w:p>
      <w:pPr>
        <w:pStyle w:val="ListBullet"/>
      </w:pPr>
      <w:r>
        <w:t>Liquidation recovery and consumer resale price are different layers. The two public lots produce inferred bids of 14.6% and 19.6% of stated retail; consumer-facing refurbished electronics can sell far higher because a downstream operator has absorbed freight, testing, repair, warranty, listing and failed-unit risk. [S32, S33, S35-S37, P02]</w:t>
      </w:r>
    </w:p>
    <w:p>
      <w:pPr>
        <w:pStyle w:val="ListBullet"/>
      </w:pPr>
      <w:r>
        <w:t>Buyer delivered cost is not retailer recovery. With explicit assumptions for buyer premium and freight, the two observed lots rise to 26.7% and 49.4% of stated retail at the buyer’s dock, while estimated retailer net recovery after seller-side fees and prep falls near 10%-12%. [S36, S37, S49; Model]</w:t>
      </w:r>
    </w:p>
    <w:p>
      <w:pPr>
        <w:pStyle w:val="ListBullet"/>
      </w:pPr>
      <w:r>
        <w:t>Fraud control clears a higher hurdle on premium goods. In the illustrative control scenario, extra inspection and false-positive costs are not justified for $100 footwear or headphones, but they are positive for the $500 electronics and accessory because loss given substitution is much larger. [S31; Model assumption]</w:t>
      </w:r>
    </w:p>
    <w:p>
      <w:pPr>
        <w:pStyle w:val="ListBullet"/>
      </w:pPr>
      <w:r>
        <w:t>Sustainability claims are usually numerators without the denominator needed to calculate a customer-return disposition rate. Liquidation proves title transfer, not reuse; 'proper disposal' proves a policy outcome, not landfill, recycling or energy-recovery shares. [S04, S08, S30, P01, P02]</w:t>
      </w:r>
    </w:p>
    <w:p>
      <w:pPr>
        <w:pStyle w:val="Heading1"/>
      </w:pPr>
      <w:r>
        <w:t>Investigative article</w:t>
      </w:r>
    </w:p>
    <w:p>
      <w:pPr>
        <w:pStyle w:val="Kicker"/>
      </w:pPr>
      <w:r>
        <w:t>OPENING</w:t>
      </w:r>
    </w:p>
    <w:p>
      <w:r>
        <w:rPr>
          <w:b/>
        </w:rPr>
        <w:t xml:space="preserve">A $100 pair of headphones is dropped at a nearby return counter. </w:t>
      </w:r>
      <w:r>
        <w:t>The customer’s refund can post before the product reaches a return center. The item is consolidated with other returns, moved to a facility, opened, matched to a serial number and tested. That sequence is not clerical overhead. It is a bet: spend roughly $5.91 on reverse movement and $4.00 on intake and inspection in the base model, then decide whether the item can support open-box or refurbished proceeds.</w:t>
      </w:r>
    </w:p>
    <w:p>
      <w:r>
        <w:t>The expected net disposition recovery is $33.37. Retrieval therefore adds $23.46 before the model’s separate fraud-administration cost. But the original sale would have generated $46.20 of contribution; after the refund and recovery chain, the returned order lands at $-31.24. The return tax is $77.44. A successful recovery does not make the return profitable. It makes the loss smaller.</w:t>
      </w:r>
    </w:p>
    <w:p>
      <w:r>
        <w:rPr>
          <w:b/>
        </w:rPr>
        <w:t xml:space="preserve">The same price does not produce the same decision. </w:t>
      </w:r>
      <w:r>
        <w:t>A $100 small appliance has only $4.22 of retrieval headroom because its package and testing costs are heavier. A $100 footwear return has $42.06, because it can move cheaply and often re-enter a controlled restock or outlet channel. Price is one input. The route is the outcome of a chain.</w:t>
      </w:r>
    </w:p>
    <w:p>
      <w:pPr>
        <w:pStyle w:val="Heading2"/>
      </w:pPr>
      <w:r>
        <w:t>1. The refund does not tell you where the product went</w:t>
      </w:r>
    </w:p>
    <w:p>
      <w:r>
        <w:rPr>
          <w:b/>
        </w:rPr>
        <w:t xml:space="preserve">The consumer sees money move. The merchandise can remain still. </w:t>
      </w:r>
      <w:r>
        <w:t>Walmart sellers can establish Keep It rules when return shipping is uneconomic. Amazon seller programs include returnless resolutions. eBay can require or enforce a refund through seller settlement while the seller remains the economic owner. These programs make the separation explicit: a platform can settle the customer claim without creating a recoverable product asset. [S02, S05, S07]</w:t>
      </w:r>
    </w:p>
    <w:p>
      <w:r>
        <w:rPr>
          <w:b/>
        </w:rPr>
        <w:t xml:space="preserve">The accounting makes the split visible. </w:t>
      </w:r>
      <w:r>
        <w:t>Amazon reports return-allowance liabilities and a separate asset for rights to recover products from customers. Nike reports a sales-returns reserve separately from its inventory reserve. The refund obligation and the expected value of returned goods do not move one-for-one. [S01, S20]</w:t>
      </w:r>
    </w:p>
    <w:tbl>
      <w:tblPr>
        <w:tblW w:type="auto" w:w="0"/>
        <w:jc w:val="center"/>
        <w:tblLayout w:type="fixed"/>
        <w:tblLook w:firstColumn="1" w:firstRow="1" w:lastColumn="0" w:lastRow="0" w:noHBand="0" w:noVBand="1" w:val="04A0"/>
      </w:tblPr>
      <w:tblGrid>
        <w:gridCol w:w="9936"/>
      </w:tblGrid>
      <w:tr>
        <w:tc>
          <w:tcPr>
            <w:tcW w:type="dxa" w:w="9936"/>
            <w:shd w:fill="E8EEF3"/>
            <w:tcBorders>
              <w:top w:val="nil"/>
              <w:left w:val="single" w:sz="18" w:color="1C7C7D"/>
              <w:bottom w:val="nil"/>
              <w:right w:val="nil"/>
            </w:tcBorders>
          </w:tcPr>
          <w:p>
            <w:pPr>
              <w:spacing w:after="40"/>
            </w:pPr>
            <w:r/>
            <w:r>
              <w:rPr>
                <w:b/>
                <w:color w:val="1C7C7D"/>
                <w:sz w:val="20"/>
              </w:rPr>
              <w:t>Four measures that cannot be substituted for one another</w:t>
            </w:r>
          </w:p>
          <w:p>
            <w:pPr>
              <w:spacing w:after="0"/>
            </w:pPr>
            <w:r>
              <w:t>Customer refund is R-K. Retailer exposure is the returned-order contribution after all original and reverse costs. Physical recovery describes whether usable product or material comes back. Environmental disposition describes resale, transfer, donation, recycling or disposal. A full refund can coexist with high physical recovery, low financial recovery, or an unknown final environmental endpoint.</w:t>
            </w:r>
          </w:p>
        </w:tc>
      </w:tr>
    </w:tbl>
    <w:p>
      <w:pPr>
        <w:spacing w:after="0"/>
      </w:pPr>
    </w:p>
    <w:p>
      <w:pPr>
        <w:spacing w:after="60"/>
        <w:jc w:val="center"/>
      </w:pPr>
      <w:r>
        <w:drawing>
          <wp:inline xmlns:a="http://schemas.openxmlformats.org/drawingml/2006/main" xmlns:pic="http://schemas.openxmlformats.org/drawingml/2006/picture">
            <wp:extent cx="5989320" cy="846317"/>
            <wp:docPr id="3" name="Picture 3"/>
            <wp:cNvGraphicFramePr>
              <a:graphicFrameLocks noChangeAspect="1"/>
            </wp:cNvGraphicFramePr>
            <a:graphic>
              <a:graphicData uri="http://schemas.openxmlformats.org/drawingml/2006/picture">
                <pic:pic>
                  <pic:nvPicPr>
                    <pic:cNvPr id="0" name="exhibit_01_return_flow.png"/>
                    <pic:cNvPicPr/>
                  </pic:nvPicPr>
                  <pic:blipFill>
                    <a:blip r:embed="rId12"/>
                    <a:stretch>
                      <a:fillRect/>
                    </a:stretch>
                  </pic:blipFill>
                  <pic:spPr>
                    <a:xfrm>
                      <a:off x="0" y="0"/>
                      <a:ext cx="5989320" cy="846317"/>
                    </a:xfrm>
                    <a:prstGeom prst="rect"/>
                  </pic:spPr>
                </pic:pic>
              </a:graphicData>
            </a:graphic>
          </wp:inline>
        </w:drawing>
      </w:r>
    </w:p>
    <w:p>
      <w:pPr>
        <w:pStyle w:val="Caption"/>
        <w:jc w:val="left"/>
      </w:pPr>
      <w:r>
        <w:rPr>
          <w:b/>
        </w:rPr>
        <w:t>Exhibit 1. End-to-end return flow</w:t>
      </w:r>
      <w:r>
        <w:rPr>
          <w:i/>
          <w:color w:val="6B7280"/>
        </w:rPr>
        <w:t xml:space="preserve">  Source: P01; S02-S07; S21</w:t>
      </w:r>
    </w:p>
    <w:p>
      <w:pPr>
        <w:pStyle w:val="Heading2"/>
      </w:pPr>
      <w:r>
        <w:t>2. The return decision engine</w:t>
      </w:r>
    </w:p>
    <w:p>
      <w:r>
        <w:rPr>
          <w:b/>
        </w:rPr>
        <w:t xml:space="preserve">The retrieval decision is an expected-value calculation. </w:t>
      </w:r>
      <w:r>
        <w:t>The retailer does not need the product’s full future value. It needs the probability-weighted, time-adjusted recovery after cleaning, testing, storage, selling fees, secondary transport and disposal to exceed reverse freight and the cost of learning the item’s condition. The simplified rule is:</w:t>
      </w: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Immediate retrieval rule</w:t>
              <w:br/>
            </w:r>
            <w:r>
              <w:rPr>
                <w:rFonts w:ascii="Aptos Mono" w:hAnsi="Aptos Mono"/>
                <w:sz w:val="20"/>
              </w:rPr>
              <w:t>E(Recovery if retrieved) - F_r - H &gt; 0</w:t>
            </w:r>
          </w:p>
          <w:p>
            <w:r>
              <w:rPr>
                <w:i/>
                <w:color w:val="6B7280"/>
                <w:sz w:val="16"/>
              </w:rPr>
              <w:t>Strategic value can override the immediate result: fraud deterrence, serial control, safety, evidence, vendor reimbursement, warranty and customer-account policy.</w:t>
            </w:r>
          </w:p>
        </w:tc>
      </w:tr>
    </w:tbl>
    <w:p>
      <w:pPr>
        <w:spacing w:after="0"/>
      </w:pPr>
    </w:p>
    <w:p>
      <w:r>
        <w:rPr>
          <w:b/>
        </w:rPr>
        <w:t xml:space="preserve">The condition probability matters twice. </w:t>
      </w:r>
      <w:r>
        <w:t>First, it changes expected proceeds. Second, it changes which route is eligible. An unopened product can support primary restock. A lightly used device may justify refurbishment. An opened cosmetic can retain physical material while losing commercial resale eligibility. A substituted laptop can have almost no legitimate recovery but high evidentiary value. [S08, S11, S16, S29; Model]</w:t>
      </w:r>
    </w:p>
    <w:p>
      <w:pPr>
        <w:spacing w:after="60"/>
        <w:jc w:val="center"/>
      </w:pPr>
      <w:r>
        <w:drawing>
          <wp:inline xmlns:a="http://schemas.openxmlformats.org/drawingml/2006/main" xmlns:pic="http://schemas.openxmlformats.org/drawingml/2006/picture">
            <wp:extent cx="5212080" cy="2629518"/>
            <wp:docPr id="4" name="Picture 4"/>
            <wp:cNvGraphicFramePr>
              <a:graphicFrameLocks noChangeAspect="1"/>
            </wp:cNvGraphicFramePr>
            <a:graphic>
              <a:graphicData uri="http://schemas.openxmlformats.org/drawingml/2006/picture">
                <pic:pic>
                  <pic:nvPicPr>
                    <pic:cNvPr id="0" name="exhibit_03_returnless_tree.png"/>
                    <pic:cNvPicPr/>
                  </pic:nvPicPr>
                  <pic:blipFill>
                    <a:blip r:embed="rId13"/>
                    <a:stretch>
                      <a:fillRect/>
                    </a:stretch>
                  </pic:blipFill>
                  <pic:spPr>
                    <a:xfrm>
                      <a:off x="0" y="0"/>
                      <a:ext cx="5212080" cy="2629518"/>
                    </a:xfrm>
                    <a:prstGeom prst="rect"/>
                  </pic:spPr>
                </pic:pic>
              </a:graphicData>
            </a:graphic>
          </wp:inline>
        </w:drawing>
      </w:r>
    </w:p>
    <w:p>
      <w:pPr>
        <w:pStyle w:val="Caption"/>
        <w:jc w:val="left"/>
      </w:pPr>
      <w:r>
        <w:rPr>
          <w:b/>
        </w:rPr>
        <w:t>Exhibit 3. Returnless-refund decision tree</w:t>
      </w:r>
      <w:r>
        <w:rPr>
          <w:i/>
          <w:color w:val="6B7280"/>
        </w:rPr>
        <w:t xml:space="preserve">  Source: S02; S07; P01; Model</w:t>
      </w:r>
    </w:p>
    <w:p>
      <w:r>
        <w:rPr>
          <w:b/>
        </w:rPr>
        <w:t xml:space="preserve">The model’s break-even thresholds expose why retail price is not enough. </w:t>
      </w:r>
      <w:r>
        <w:t>The $20 clothing item needs about $9.18 of gross recovery conditional on receiving the correct item. The $20 household product needs $12.49, more than 62% of retail, because its parcel cost is so high. The $500 laptop/phone needs only about 11% of retail on the same measure. [Model]</w:t>
      </w:r>
    </w:p>
    <w:p>
      <w:pPr>
        <w:pStyle w:val="Heading2"/>
      </w:pPr>
      <w:r>
        <w:t>3. Inside the return center</w:t>
      </w:r>
    </w:p>
    <w:p>
      <w:r>
        <w:rPr>
          <w:b/>
        </w:rPr>
        <w:t xml:space="preserve">A return center manufactures information. </w:t>
      </w:r>
      <w:r>
        <w:t>Consolidation reduces transportation and per-unit receiving cost, but it can delay resale. Happy Returns markets five-day arrival and faster restocking, though those figures are vendor claims. Target’s reverse-logistics role lists central return centers, donation, salvage, electronics recycling, vendor credits and inventory removals. Those materials prove the tasks and routes exist; they do not reveal throughput or route shares. [S04, S27]</w:t>
      </w:r>
    </w:p>
    <w:p>
      <w:r>
        <w:rPr>
          <w:b/>
        </w:rPr>
        <w:t xml:space="preserve">Inspection is not one uniform step. </w:t>
      </w:r>
      <w:r>
        <w:t>Apparel can require tags, odor, wear, size and season checks. Electronics add serial identity, activation, battery health, function, accessories and data risk. Furniture adds structural condition, missing hardware, assembly state and packaging damage. Beauty turns on seal and integrity. The labor can be shorter than the transport, yet still exceed the product’s net recovery on low-value goods. [S08, S11, S12, S16, P01]</w:t>
      </w:r>
    </w:p>
    <w:p>
      <w:r>
        <w:rPr>
          <w:b/>
        </w:rPr>
        <w:t xml:space="preserve">The disposition decision is another expected-value problem. </w:t>
      </w:r>
      <w:r>
        <w:t>After safety and identity filters, the inventory owner compares only eligible routes and chooses the highest present-value net proceeds. Brand rules, channel capacity, contractual restrictions and labor queues can remove the apparent top option. [S06-S08, S11, S29; Model]</w:t>
      </w:r>
    </w:p>
    <w:p>
      <w:pPr>
        <w:spacing w:after="60"/>
        <w:jc w:val="center"/>
      </w:pPr>
      <w:r>
        <w:drawing>
          <wp:inline xmlns:a="http://schemas.openxmlformats.org/drawingml/2006/main" xmlns:pic="http://schemas.openxmlformats.org/drawingml/2006/picture">
            <wp:extent cx="5394960" cy="3843510"/>
            <wp:docPr id="5" name="Picture 5"/>
            <wp:cNvGraphicFramePr>
              <a:graphicFrameLocks noChangeAspect="1"/>
            </wp:cNvGraphicFramePr>
            <a:graphic>
              <a:graphicData uri="http://schemas.openxmlformats.org/drawingml/2006/picture">
                <pic:pic>
                  <pic:nvPicPr>
                    <pic:cNvPr id="0" name="exhibit_04_disposition_tree.png"/>
                    <pic:cNvPicPr/>
                  </pic:nvPicPr>
                  <pic:blipFill>
                    <a:blip r:embed="rId14"/>
                    <a:stretch>
                      <a:fillRect/>
                    </a:stretch>
                  </pic:blipFill>
                  <pic:spPr>
                    <a:xfrm>
                      <a:off x="0" y="0"/>
                      <a:ext cx="5394960" cy="3843510"/>
                    </a:xfrm>
                    <a:prstGeom prst="rect"/>
                  </pic:spPr>
                </pic:pic>
              </a:graphicData>
            </a:graphic>
          </wp:inline>
        </w:drawing>
      </w:r>
    </w:p>
    <w:p>
      <w:pPr>
        <w:pStyle w:val="Caption"/>
        <w:jc w:val="left"/>
      </w:pPr>
      <w:r>
        <w:rPr>
          <w:b/>
        </w:rPr>
        <w:t>Exhibit 4. Disposition decision tree</w:t>
      </w:r>
      <w:r>
        <w:rPr>
          <w:i/>
          <w:color w:val="6B7280"/>
        </w:rPr>
        <w:t xml:space="preserve">  Source: S06-S08; S11; S16; S29; Model</w:t>
      </w:r>
    </w:p>
    <w:p>
      <w:pPr>
        <w:pStyle w:val="Heading2"/>
      </w:pPr>
      <w:r>
        <w:t>4. Six products, six different routes</w:t>
      </w:r>
    </w:p>
    <w:p>
      <w:pPr>
        <w:pStyle w:val="Heading3"/>
      </w:pPr>
      <w:r>
        <w:t>$20 clothing: cheap to ship, costly to sort</w:t>
      </w:r>
    </w:p>
    <w:p>
      <w:r>
        <w:rPr>
          <w:b/>
        </w:rPr>
        <w:t xml:space="preserve">The modeled clothing item can be recovered when it comes back through a store or consolidated drop-off. </w:t>
      </w:r>
      <w:r>
        <w:t>Its base expected recovery is $6.90, against $3.62 of weighted reverse freight and $1.17 of inspection. The same item is barely uneconomic through a short parcel and clearly uneconomic through a long parcel. The model sends unopened and clean opened units back to stock, lightly used units to outlet, and damaged units to liquidation. Apparel auction evidence in the package sits in the low-to-mid teens of retail, while store return networks can preserve more value by avoiding parcel freight and delay. [S15, S18, S32; Model]</w:t>
      </w:r>
    </w:p>
    <w:p>
      <w:pPr>
        <w:spacing w:after="60"/>
        <w:jc w:val="center"/>
      </w:pPr>
      <w:r>
        <w:drawing>
          <wp:inline xmlns:a="http://schemas.openxmlformats.org/drawingml/2006/main" xmlns:pic="http://schemas.openxmlformats.org/drawingml/2006/picture">
            <wp:extent cx="5852160" cy="2803252"/>
            <wp:docPr id="6" name="Picture 6"/>
            <wp:cNvGraphicFramePr>
              <a:graphicFrameLocks noChangeAspect="1"/>
            </wp:cNvGraphicFramePr>
            <a:graphic>
              <a:graphicData uri="http://schemas.openxmlformats.org/drawingml/2006/picture">
                <pic:pic>
                  <pic:nvPicPr>
                    <pic:cNvPr id="0" name="waterfall_apparel.png"/>
                    <pic:cNvPicPr/>
                  </pic:nvPicPr>
                  <pic:blipFill>
                    <a:blip r:embed="rId15"/>
                    <a:stretch>
                      <a:fillRect/>
                    </a:stretch>
                  </pic:blipFill>
                  <pic:spPr>
                    <a:xfrm>
                      <a:off x="0" y="0"/>
                      <a:ext cx="5852160" cy="2803252"/>
                    </a:xfrm>
                    <a:prstGeom prst="rect"/>
                  </pic:spPr>
                </pic:pic>
              </a:graphicData>
            </a:graphic>
          </wp:inline>
        </w:drawing>
      </w:r>
    </w:p>
    <w:p>
      <w:pPr>
        <w:pStyle w:val="Caption"/>
        <w:jc w:val="left"/>
      </w:pPr>
      <w:r>
        <w:rPr>
          <w:b/>
        </w:rPr>
        <w:t>Apparel value waterfall</w:t>
      </w:r>
      <w:r>
        <w:rPr>
          <w:i/>
          <w:color w:val="6B7280"/>
        </w:rPr>
        <w:t xml:space="preserve">  Source: S15; S18; S32; Model</w:t>
      </w:r>
    </w:p>
    <w:p>
      <w:pPr>
        <w:pStyle w:val="Heading3"/>
      </w:pPr>
      <w:r>
        <w:t>$20 beauty: physical value without commercial value</w:t>
      </w:r>
    </w:p>
    <w:p>
      <w:r>
        <w:rPr>
          <w:b/>
        </w:rPr>
        <w:t xml:space="preserve">An opened cosmetic can still contain almost all of the original material. </w:t>
      </w:r>
      <w:r>
        <w:t>That does not mean a retailer can sell it. Ulta states that used, damaged or expired returned products are not resold and are disposed of. FDA rules set a safety and labeling floor, but a retailer can adopt a stricter commercial standard. In the base model, only the 32% unopened share returns to stock; the balance is disposed or lost to a fraud/missing outcome. [S08, S16, S41; Model]</w:t>
      </w:r>
    </w:p>
    <w:p>
      <w:r>
        <w:t>Under the weighted return route, retrieval value is $-0.28. Store intake remains positive, but a parcel return does not. The immediate economic answer is a returnless refund unless safety, evidence or abuse controls require possession. The environmental answer is not known from the phrase 'properly disposed.'</w:t>
      </w:r>
    </w:p>
    <w:p>
      <w:pPr>
        <w:pStyle w:val="Heading3"/>
      </w:pPr>
      <w:r>
        <w:t>$100 headphones: testing buys a higher-value channel</w:t>
      </w:r>
    </w:p>
    <w:p>
      <w:r>
        <w:rPr>
          <w:b/>
        </w:rPr>
        <w:t xml:space="preserve">Electronics justify a deeper look because the resale spread is larger. </w:t>
      </w:r>
      <w:r>
        <w:t>The modeled headphones allocate 47% of units to open-box resale, 13% to refurbishment and 12% to recycling, with 5% assigned to substitution or missing-return risk. A damaged but repairable unit supports up to $18.20 of refurbishment cost before liquidation becomes preferable; the model uses $12. [S11, S39; Model]</w:t>
      </w:r>
    </w:p>
    <w:p>
      <w:pPr>
        <w:spacing w:after="60"/>
        <w:jc w:val="center"/>
      </w:pPr>
      <w:r>
        <w:drawing>
          <wp:inline xmlns:a="http://schemas.openxmlformats.org/drawingml/2006/main" xmlns:pic="http://schemas.openxmlformats.org/drawingml/2006/picture">
            <wp:extent cx="5852160" cy="2803252"/>
            <wp:docPr id="7" name="Picture 7"/>
            <wp:cNvGraphicFramePr>
              <a:graphicFrameLocks noChangeAspect="1"/>
            </wp:cNvGraphicFramePr>
            <a:graphic>
              <a:graphicData uri="http://schemas.openxmlformats.org/drawingml/2006/picture">
                <pic:pic>
                  <pic:nvPicPr>
                    <pic:cNvPr id="0" name="exhibit_06_waterfall_100.png"/>
                    <pic:cNvPicPr/>
                  </pic:nvPicPr>
                  <pic:blipFill>
                    <a:blip r:embed="rId16"/>
                    <a:stretch>
                      <a:fillRect/>
                    </a:stretch>
                  </pic:blipFill>
                  <pic:spPr>
                    <a:xfrm>
                      <a:off x="0" y="0"/>
                      <a:ext cx="5852160" cy="2803252"/>
                    </a:xfrm>
                    <a:prstGeom prst="rect"/>
                  </pic:spPr>
                </pic:pic>
              </a:graphicData>
            </a:graphic>
          </wp:inline>
        </w:drawing>
      </w:r>
    </w:p>
    <w:p>
      <w:pPr>
        <w:pStyle w:val="Caption"/>
        <w:jc w:val="left"/>
      </w:pPr>
      <w:r>
        <w:rPr>
          <w:b/>
        </w:rPr>
        <w:t>Exhibit 6. $100 headphones recovery waterfall</w:t>
      </w:r>
      <w:r>
        <w:rPr>
          <w:i/>
          <w:color w:val="6B7280"/>
        </w:rPr>
        <w:t xml:space="preserve">  Source: S11; S39; Model</w:t>
      </w:r>
    </w:p>
    <w:p>
      <w:pPr>
        <w:pStyle w:val="Heading3"/>
      </w:pPr>
      <w:r>
        <w:t>$100 small appliance: a narrow retrieval margin</w:t>
      </w:r>
    </w:p>
    <w:p>
      <w:r>
        <w:rPr>
          <w:b/>
        </w:rPr>
        <w:t xml:space="preserve">The appliance is the fragile case inside the $100 tier. </w:t>
      </w:r>
      <w:r>
        <w:t>Its expected net recovery is $22.34, but weighted reverse freight and inspection consume $18.12. Retrieval remains positive by only $4.22. In the low-recovery scenario it turns negative. The damaged-condition repair budget is lower than the modeled repair cost, so liquidation wins even when every eligible route produces a weak result. The public microwave lot reinforces the low-recovery channel: its inferred winning bid was 14.6% of stated retail before buyer fees and freight. [S37; Model]</w:t>
      </w:r>
    </w:p>
    <w:p>
      <w:pPr>
        <w:pStyle w:val="Heading3"/>
      </w:pPr>
      <w:r>
        <w:t>$500 laptop or phone: high value density funds control</w:t>
      </w:r>
    </w:p>
    <w:p>
      <w:r>
        <w:rPr>
          <w:b/>
        </w:rPr>
        <w:t xml:space="preserve">The premium device is expensive to lose and cheap to move relative to its value. </w:t>
      </w:r>
      <w:r>
        <w:t>The model produces $182.18 of retrieval value after reverse freight and inspection. Damaged units route to refurbishment; the maximum economical refurbishment cost is $102.70, versus a $45 model input. Delay matters because the model depreciates premium electronics at 3.5% per month. The same economics make serial checks and fraud controls more defensible. [S11, S33, S35, S39; Model]</w:t>
      </w:r>
    </w:p>
    <w:p>
      <w:pPr>
        <w:spacing w:after="60"/>
        <w:jc w:val="center"/>
      </w:pPr>
      <w:r>
        <w:drawing>
          <wp:inline xmlns:a="http://schemas.openxmlformats.org/drawingml/2006/main" xmlns:pic="http://schemas.openxmlformats.org/drawingml/2006/picture">
            <wp:extent cx="5852160" cy="2803252"/>
            <wp:docPr id="8" name="Picture 8"/>
            <wp:cNvGraphicFramePr>
              <a:graphicFrameLocks noChangeAspect="1"/>
            </wp:cNvGraphicFramePr>
            <a:graphic>
              <a:graphicData uri="http://schemas.openxmlformats.org/drawingml/2006/picture">
                <pic:pic>
                  <pic:nvPicPr>
                    <pic:cNvPr id="0" name="waterfall_electronics_500.png"/>
                    <pic:cNvPicPr/>
                  </pic:nvPicPr>
                  <pic:blipFill>
                    <a:blip r:embed="rId17"/>
                    <a:stretch>
                      <a:fillRect/>
                    </a:stretch>
                  </pic:blipFill>
                  <pic:spPr>
                    <a:xfrm>
                      <a:off x="0" y="0"/>
                      <a:ext cx="5852160" cy="2803252"/>
                    </a:xfrm>
                    <a:prstGeom prst="rect"/>
                  </pic:spPr>
                </pic:pic>
              </a:graphicData>
            </a:graphic>
          </wp:inline>
        </w:drawing>
      </w:r>
    </w:p>
    <w:p>
      <w:pPr>
        <w:pStyle w:val="Caption"/>
        <w:jc w:val="left"/>
      </w:pPr>
      <w:r>
        <w:rPr>
          <w:b/>
        </w:rPr>
        <w:t>Premium electronics value waterfall</w:t>
      </w:r>
      <w:r>
        <w:rPr>
          <w:i/>
          <w:color w:val="6B7280"/>
        </w:rPr>
        <w:t xml:space="preserve">  Source: S11; S33; S35; S39; Model</w:t>
      </w:r>
    </w:p>
    <w:p>
      <w:pPr>
        <w:pStyle w:val="Heading3"/>
      </w:pPr>
      <w:r>
        <w:t>$500 furniture: consumer value, negative centralized recovery value</w:t>
      </w:r>
    </w:p>
    <w:p>
      <w:r>
        <w:rPr>
          <w:b/>
        </w:rPr>
        <w:t xml:space="preserve">Furniture demonstrates why ticket price can mislead. </w:t>
      </w:r>
      <w:r>
        <w:t>Wayfair discloses that many products need special handling and can be damaged in transit. WFS lists a big-and-bulky return-processing fee of $155 plus $0.80 per pound over 90 pounds, while UPS and FedEx tariffs expose additional-handling and large-package surcharges. The model’s 48 x 20 x 20 inch package has a 138-pound DIM weight before rounding. [S12, S17, S21-S24]</w:t>
      </w:r>
    </w:p>
    <w:p>
      <w:r>
        <w:t>The weighted reverse-freight assumption is $98.90, above the $85.16 maximum economical freight. The result is $-13.74. Store intake, short-distance routing and local pickup remain positive; long-distance parcel and oversize routes do not. Under a $25 fixed plus $1.25 per-mile local-routing proxy, the break-even distance is about 48 miles. [Model]</w:t>
      </w:r>
    </w:p>
    <w:p>
      <w:pPr>
        <w:spacing w:after="60"/>
        <w:jc w:val="center"/>
      </w:pPr>
      <w:r>
        <w:drawing>
          <wp:inline xmlns:a="http://schemas.openxmlformats.org/drawingml/2006/main" xmlns:pic="http://schemas.openxmlformats.org/drawingml/2006/picture">
            <wp:extent cx="5852160" cy="2803252"/>
            <wp:docPr id="9" name="Picture 9"/>
            <wp:cNvGraphicFramePr>
              <a:graphicFrameLocks noChangeAspect="1"/>
            </wp:cNvGraphicFramePr>
            <a:graphic>
              <a:graphicData uri="http://schemas.openxmlformats.org/drawingml/2006/picture">
                <pic:pic>
                  <pic:nvPicPr>
                    <pic:cNvPr id="0" name="exhibit_07_waterfall_500.png"/>
                    <pic:cNvPicPr/>
                  </pic:nvPicPr>
                  <pic:blipFill>
                    <a:blip r:embed="rId18"/>
                    <a:stretch>
                      <a:fillRect/>
                    </a:stretch>
                  </pic:blipFill>
                  <pic:spPr>
                    <a:xfrm>
                      <a:off x="0" y="0"/>
                      <a:ext cx="5852160" cy="2803252"/>
                    </a:xfrm>
                    <a:prstGeom prst="rect"/>
                  </pic:spPr>
                </pic:pic>
              </a:graphicData>
            </a:graphic>
          </wp:inline>
        </w:drawing>
      </w:r>
    </w:p>
    <w:p>
      <w:pPr>
        <w:pStyle w:val="Caption"/>
        <w:jc w:val="left"/>
      </w:pPr>
      <w:r>
        <w:rPr>
          <w:b/>
        </w:rPr>
        <w:t>Exhibit 7. $500 furniture recovery waterfall</w:t>
      </w:r>
      <w:r>
        <w:rPr>
          <w:i/>
          <w:color w:val="6B7280"/>
        </w:rPr>
        <w:t xml:space="preserve">  Source: S12; S17; S21-S24; S40; Model</w:t>
      </w:r>
    </w:p>
    <w:p>
      <w:pPr>
        <w:pStyle w:val="Heading2"/>
      </w:pPr>
      <w:r>
        <w:t>5. The market after the retailer</w:t>
      </w:r>
    </w:p>
    <w:p>
      <w:r>
        <w:rPr>
          <w:b/>
        </w:rPr>
        <w:t xml:space="preserve">Liquidation is not one final market. </w:t>
      </w:r>
      <w:r>
        <w:t>National auction platforms sell pallets and truckloads. Regional wholesalers, bin stores, local auctions, repair shops, eBay sellers, social-commerce sellers, exporters, parts harvesters and scrap buyers take the next steps. B-Stock says it runs programs for major retailers; Liquidation.com combines returns with overstock, shelf pulls, salvage and other conditions. The inventory labels are not standardized enough to assume every lot is a pure customer-return sample. [S19, S28, S38, S42]</w:t>
      </w:r>
    </w:p>
    <w:p>
      <w:r>
        <w:rPr>
          <w:b/>
        </w:rPr>
        <w:t xml:space="preserve">The downstream spread is payment for work and risk. </w:t>
      </w:r>
      <w:r>
        <w:t>The winning bid is not the buyer’s cost. Buyer premium, freight, liftgate, residential delivery, unloading, inspection, repair, storage, failed units and resale-channel fees sit between the auction and the final consumer sale. Liquidation.com terms compress the window for description disputes, transferring manifest and quality risk to the buyer. B-Stock reseller case studies show that skilled operators can rebuild value, but they are survivor stories, not a random sample of buyer returns. [S44, S45, S47, S49]</w:t>
      </w:r>
    </w:p>
    <w:p>
      <w:pPr>
        <w:spacing w:after="60"/>
        <w:jc w:val="center"/>
      </w:pPr>
      <w:r>
        <w:drawing>
          <wp:inline xmlns:a="http://schemas.openxmlformats.org/drawingml/2006/main" xmlns:pic="http://schemas.openxmlformats.org/drawingml/2006/picture">
            <wp:extent cx="5806440" cy="465446"/>
            <wp:docPr id="10" name="Picture 10"/>
            <wp:cNvGraphicFramePr>
              <a:graphicFrameLocks noChangeAspect="1"/>
            </wp:cNvGraphicFramePr>
            <a:graphic>
              <a:graphicData uri="http://schemas.openxmlformats.org/drawingml/2006/picture">
                <pic:pic>
                  <pic:nvPicPr>
                    <pic:cNvPr id="0" name="exhibit_02_ownership_loss.png"/>
                    <pic:cNvPicPr/>
                  </pic:nvPicPr>
                  <pic:blipFill>
                    <a:blip r:embed="rId19"/>
                    <a:stretch>
                      <a:fillRect/>
                    </a:stretch>
                  </pic:blipFill>
                  <pic:spPr>
                    <a:xfrm>
                      <a:off x="0" y="0"/>
                      <a:ext cx="5806440" cy="465446"/>
                    </a:xfrm>
                    <a:prstGeom prst="rect"/>
                  </pic:spPr>
                </pic:pic>
              </a:graphicData>
            </a:graphic>
          </wp:inline>
        </w:drawing>
      </w:r>
    </w:p>
    <w:p>
      <w:pPr>
        <w:pStyle w:val="Caption"/>
        <w:jc w:val="left"/>
      </w:pPr>
      <w:r>
        <w:rPr>
          <w:b/>
        </w:rPr>
        <w:t>Exhibit 2. Ownership and loss allocation</w:t>
      </w:r>
      <w:r>
        <w:rPr>
          <w:i/>
          <w:color w:val="6B7280"/>
        </w:rPr>
        <w:t xml:space="preserve">  Source: P01; S01-S07; S21; S45</w:t>
      </w:r>
    </w:p>
    <w:p>
      <w:pPr>
        <w:pStyle w:val="Heading2"/>
      </w:pPr>
      <w:r>
        <w:t>6. How much value survives</w:t>
      </w:r>
    </w:p>
    <w:p>
      <w:r>
        <w:rPr>
          <w:b/>
        </w:rPr>
        <w:t xml:space="preserve">The public auction sample is too small to carry a market claim. </w:t>
      </w:r>
      <w:r>
        <w:t>It contains two completed Walmart/B-Stock lots. The microwave lot shows $7,004 of stated retail value, 102 units and an inferred final bid near $1,020, or 14.6%. The eBike lot shows $3,058 of stated retail value, 12 units and an inferred final bid near $600, or 19.6%. The exact conditions, buyer premium, seller settlement and freight were not public. [S36, S37]</w:t>
      </w:r>
    </w:p>
    <w:p>
      <w:r>
        <w:rPr>
          <w:b/>
        </w:rPr>
        <w:t xml:space="preserve">The broader anchors are directionally consistent but not interchangeable. </w:t>
      </w:r>
      <w:r>
        <w:t>An apparel field study covering 11,879 auctions found 13.11% recovery for private label and 16.339% for national brands. Amazon’s FBA Liquidations guidance says sellers typically recover 5%-10% of average selling price within that program. An industry review places mixed customer returns around 10%-30% of MSRP. Each denominator and inventory population differs. [S32, S35, S42]</w:t>
      </w:r>
    </w:p>
    <w:p>
      <w:pPr>
        <w:spacing w:after="60"/>
        <w:jc w:val="center"/>
      </w:pPr>
      <w:r>
        <w:drawing>
          <wp:inline xmlns:a="http://schemas.openxmlformats.org/drawingml/2006/main" xmlns:pic="http://schemas.openxmlformats.org/drawingml/2006/picture">
            <wp:extent cx="5715000" cy="3470355"/>
            <wp:docPr id="11" name="Picture 11"/>
            <wp:cNvGraphicFramePr>
              <a:graphicFrameLocks noChangeAspect="1"/>
            </wp:cNvGraphicFramePr>
            <a:graphic>
              <a:graphicData uri="http://schemas.openxmlformats.org/drawingml/2006/picture">
                <pic:pic>
                  <pic:nvPicPr>
                    <pic:cNvPr id="0" name="exhibit_09_auction_distribution.png"/>
                    <pic:cNvPicPr/>
                  </pic:nvPicPr>
                  <pic:blipFill>
                    <a:blip r:embed="rId20"/>
                    <a:stretch>
                      <a:fillRect/>
                    </a:stretch>
                  </pic:blipFill>
                  <pic:spPr>
                    <a:xfrm>
                      <a:off x="0" y="0"/>
                      <a:ext cx="5715000" cy="3470355"/>
                    </a:xfrm>
                    <a:prstGeom prst="rect"/>
                  </pic:spPr>
                </pic:pic>
              </a:graphicData>
            </a:graphic>
          </wp:inline>
        </w:drawing>
      </w:r>
    </w:p>
    <w:p>
      <w:pPr>
        <w:pStyle w:val="Caption"/>
        <w:jc w:val="left"/>
      </w:pPr>
      <w:r>
        <w:rPr>
          <w:b/>
        </w:rPr>
        <w:t>Exhibit 9. Auction recovery distribution</w:t>
      </w:r>
      <w:r>
        <w:rPr>
          <w:i/>
          <w:color w:val="6B7280"/>
        </w:rPr>
        <w:t xml:space="preserve">  Source: S32; S35-S37; S42; model assumptions for delivered cost</w:t>
      </w:r>
    </w:p>
    <w:p>
      <w:r>
        <w:rPr>
          <w:b/>
        </w:rPr>
        <w:t xml:space="preserve">The buyer-cost adjustment is large. </w:t>
      </w:r>
      <w:r>
        <w:t>With a 10% buyer-premium assumption and modeled freight, the microwave lot’s delivered cost is 26.7% of stated retail; the eBike lot reaches 49.4%. On an adjusted current-retail denominator equal to 80% of stated retail, the figures rise to 33.4% and 61.7%. Those are acquisition costs, not retailer recovery or reseller profit.</w:t>
      </w:r>
    </w:p>
    <w:p>
      <w:pPr>
        <w:spacing w:after="60"/>
        <w:jc w:val="center"/>
      </w:pPr>
      <w:r>
        <w:drawing>
          <wp:inline xmlns:a="http://schemas.openxmlformats.org/drawingml/2006/main" xmlns:pic="http://schemas.openxmlformats.org/drawingml/2006/picture">
            <wp:extent cx="5897880" cy="3017213"/>
            <wp:docPr id="12" name="Picture 12"/>
            <wp:cNvGraphicFramePr>
              <a:graphicFrameLocks noChangeAspect="1"/>
            </wp:cNvGraphicFramePr>
            <a:graphic>
              <a:graphicData uri="http://schemas.openxmlformats.org/drawingml/2006/picture">
                <pic:pic>
                  <pic:nvPicPr>
                    <pic:cNvPr id="0" name="exhibit_11_retailer_reseller_waterfall.png"/>
                    <pic:cNvPicPr/>
                  </pic:nvPicPr>
                  <pic:blipFill>
                    <a:blip r:embed="rId21"/>
                    <a:stretch>
                      <a:fillRect/>
                    </a:stretch>
                  </pic:blipFill>
                  <pic:spPr>
                    <a:xfrm>
                      <a:off x="0" y="0"/>
                      <a:ext cx="5897880" cy="3017213"/>
                    </a:xfrm>
                    <a:prstGeom prst="rect"/>
                  </pic:spPr>
                </pic:pic>
              </a:graphicData>
            </a:graphic>
          </wp:inline>
        </w:drawing>
      </w:r>
    </w:p>
    <w:p>
      <w:pPr>
        <w:pStyle w:val="Caption"/>
        <w:jc w:val="left"/>
      </w:pPr>
      <w:r>
        <w:rPr>
          <w:b/>
        </w:rPr>
        <w:t>Exhibit 11. Retailer-to-reseller value waterfall</w:t>
      </w:r>
      <w:r>
        <w:rPr>
          <w:i/>
          <w:color w:val="6B7280"/>
        </w:rPr>
        <w:t xml:space="preserve">  Source: S37; S45; S49; model assumptions</w:t>
      </w:r>
    </w:p>
    <w:p>
      <w:pPr>
        <w:pStyle w:val="Heading2"/>
      </w:pPr>
      <w:r>
        <w:t>7. The $20, $100 and $500 return</w:t>
      </w:r>
    </w:p>
    <w:p>
      <w:r>
        <w:rPr>
          <w:b/>
        </w:rPr>
        <w:t xml:space="preserve">The nine-product grid isolates price from recoverability. </w:t>
      </w:r>
      <w:r>
        <w:t>Within each price tier, logistics, condition and channel change the retrieval decision more than price. The table reports the return tax as dollars per returned order and the expected tax across all orders using the modeled return rate.</w:t>
      </w:r>
    </w:p>
    <w:tbl>
      <w:tblPr>
        <w:tblStyle w:val="TableGrid"/>
        <w:tblW w:type="auto" w:w="0"/>
        <w:jc w:val="center"/>
        <w:tblLayout w:type="fixed"/>
        <w:tblLook w:firstColumn="1" w:firstRow="1" w:lastColumn="0" w:lastRow="0" w:noHBand="0" w:noVBand="1" w:val="04A0"/>
      </w:tblPr>
      <w:tblGrid>
        <w:gridCol w:w="994"/>
        <w:gridCol w:w="994"/>
        <w:gridCol w:w="994"/>
        <w:gridCol w:w="994"/>
        <w:gridCol w:w="994"/>
        <w:gridCol w:w="994"/>
        <w:gridCol w:w="994"/>
        <w:gridCol w:w="994"/>
        <w:gridCol w:w="994"/>
        <w:gridCol w:w="994"/>
      </w:tblGrid>
      <w:tr>
        <w:trPr>
          <w:tblHeader w:val="true"/>
        </w:trPr>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2"/>
              </w:rPr>
              <w:t>Price</w:t>
            </w:r>
          </w:p>
        </w:tc>
        <w:tc>
          <w:tcPr>
            <w:tcW w:type="dxa" w:w="1944"/>
            <w:vAlign w:val="center"/>
            <w:shd w:fill="17324D"/>
            <w:tcBorders>
              <w:bottom w:val="single" w:sz="8" w:color="FFFFFF"/>
            </w:tcBorders>
          </w:tcPr>
          <w:p>
            <w:pPr>
              <w:spacing w:after="0" w:before="0" w:line="240" w:lineRule="auto"/>
              <w:jc w:val="left"/>
            </w:pPr>
            <w:r/>
            <w:r>
              <w:rPr>
                <w:rFonts w:ascii="Aptos" w:hAnsi="Aptos"/>
                <w:b/>
                <w:color w:val="FFFFFF"/>
                <w:sz w:val="12"/>
              </w:rPr>
              <w:t>Product</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Kept-sale contribution</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Post-return contribution</w:t>
            </w:r>
          </w:p>
        </w:tc>
        <w:tc>
          <w:tcPr>
            <w:tcW w:type="dxa" w:w="1080"/>
            <w:vAlign w:val="center"/>
            <w:shd w:fill="17324D"/>
            <w:tcBorders>
              <w:bottom w:val="single" w:sz="8" w:color="FFFFFF"/>
            </w:tcBorders>
          </w:tcPr>
          <w:p>
            <w:pPr>
              <w:spacing w:after="0" w:before="0" w:line="240" w:lineRule="auto"/>
              <w:jc w:val="left"/>
            </w:pPr>
            <w:r/>
            <w:r>
              <w:rPr>
                <w:rFonts w:ascii="Aptos" w:hAnsi="Aptos"/>
                <w:b/>
                <w:color w:val="FFFFFF"/>
                <w:sz w:val="12"/>
              </w:rPr>
              <w:t>Return tax / returned order</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2"/>
              </w:rPr>
              <w:t>% of retail</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 of kept contribution</w:t>
            </w:r>
          </w:p>
        </w:tc>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2"/>
              </w:rPr>
              <w:t>Return rate</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Expected tax / order</w:t>
            </w:r>
          </w:p>
        </w:tc>
        <w:tc>
          <w:tcPr>
            <w:tcW w:type="dxa" w:w="792"/>
            <w:vAlign w:val="center"/>
            <w:shd w:fill="17324D"/>
            <w:tcBorders>
              <w:bottom w:val="single" w:sz="8" w:color="FFFFFF"/>
            </w:tcBorders>
          </w:tcPr>
          <w:p>
            <w:pPr>
              <w:spacing w:after="0" w:before="0" w:line="240" w:lineRule="auto"/>
              <w:jc w:val="left"/>
            </w:pPr>
            <w:r/>
            <w:r>
              <w:rPr>
                <w:rFonts w:ascii="Aptos" w:hAnsi="Aptos"/>
                <w:b/>
                <w:color w:val="FFFFFF"/>
                <w:sz w:val="12"/>
              </w:rPr>
              <w:t>bps of sales</w:t>
            </w:r>
          </w:p>
        </w:tc>
      </w:tr>
      <w:tr>
        <w:tc>
          <w:tcPr>
            <w:tcW w:type="dxa" w:w="648"/>
            <w:vAlign w:val="center"/>
          </w:tcPr>
          <w:p>
            <w:pPr>
              <w:spacing w:after="0" w:before="0" w:line="240" w:lineRule="auto"/>
            </w:pPr>
            <w:r/>
            <w:r>
              <w:rPr>
                <w:rFonts w:ascii="Aptos" w:hAnsi="Aptos"/>
                <w:b/>
                <w:color w:val="111827"/>
                <w:sz w:val="12"/>
              </w:rPr>
              <w:t>$20</w:t>
            </w:r>
          </w:p>
        </w:tc>
        <w:tc>
          <w:tcPr>
            <w:tcW w:type="dxa" w:w="1944"/>
            <w:vAlign w:val="center"/>
          </w:tcPr>
          <w:p>
            <w:pPr>
              <w:spacing w:after="0" w:before="0" w:line="240" w:lineRule="auto"/>
            </w:pPr>
            <w:r/>
            <w:r>
              <w:rPr>
                <w:rFonts w:ascii="Aptos" w:hAnsi="Aptos"/>
                <w:b w:val="0"/>
                <w:color w:val="111827"/>
                <w:sz w:val="12"/>
              </w:rPr>
              <w:t>Basic clothing item ($20)</w:t>
            </w:r>
          </w:p>
        </w:tc>
        <w:tc>
          <w:tcPr>
            <w:tcW w:type="dxa" w:w="936"/>
            <w:vAlign w:val="center"/>
          </w:tcPr>
          <w:p>
            <w:pPr>
              <w:spacing w:after="0" w:before="0" w:line="240" w:lineRule="auto"/>
            </w:pPr>
            <w:r/>
            <w:r>
              <w:rPr>
                <w:rFonts w:ascii="Aptos" w:hAnsi="Aptos"/>
                <w:b w:val="0"/>
                <w:color w:val="111827"/>
                <w:sz w:val="12"/>
              </w:rPr>
              <w:t>$8.70</w:t>
            </w:r>
          </w:p>
        </w:tc>
        <w:tc>
          <w:tcPr>
            <w:tcW w:type="dxa" w:w="936"/>
            <w:vAlign w:val="center"/>
          </w:tcPr>
          <w:p>
            <w:pPr>
              <w:spacing w:after="0" w:before="0" w:line="240" w:lineRule="auto"/>
            </w:pPr>
            <w:r/>
            <w:r>
              <w:rPr>
                <w:rFonts w:ascii="Aptos" w:hAnsi="Aptos"/>
                <w:b w:val="0"/>
                <w:color w:val="111827"/>
                <w:sz w:val="12"/>
              </w:rPr>
              <w:t>$-9.27</w:t>
            </w:r>
          </w:p>
        </w:tc>
        <w:tc>
          <w:tcPr>
            <w:tcW w:type="dxa" w:w="1080"/>
            <w:vAlign w:val="center"/>
          </w:tcPr>
          <w:p>
            <w:pPr>
              <w:spacing w:after="0" w:before="0" w:line="240" w:lineRule="auto"/>
            </w:pPr>
            <w:r/>
            <w:r>
              <w:rPr>
                <w:rFonts w:ascii="Aptos" w:hAnsi="Aptos"/>
                <w:b w:val="0"/>
                <w:color w:val="111827"/>
                <w:sz w:val="12"/>
              </w:rPr>
              <w:t>$17.97</w:t>
            </w:r>
          </w:p>
        </w:tc>
        <w:tc>
          <w:tcPr>
            <w:tcW w:type="dxa" w:w="720"/>
            <w:vAlign w:val="center"/>
          </w:tcPr>
          <w:p>
            <w:pPr>
              <w:spacing w:after="0" w:before="0" w:line="240" w:lineRule="auto"/>
            </w:pPr>
            <w:r/>
            <w:r>
              <w:rPr>
                <w:rFonts w:ascii="Aptos" w:hAnsi="Aptos"/>
                <w:b w:val="0"/>
                <w:color w:val="111827"/>
                <w:sz w:val="12"/>
              </w:rPr>
              <w:t>89.9%</w:t>
            </w:r>
          </w:p>
        </w:tc>
        <w:tc>
          <w:tcPr>
            <w:tcW w:type="dxa" w:w="936"/>
            <w:vAlign w:val="center"/>
          </w:tcPr>
          <w:p>
            <w:pPr>
              <w:spacing w:after="0" w:before="0" w:line="240" w:lineRule="auto"/>
            </w:pPr>
            <w:r/>
            <w:r>
              <w:rPr>
                <w:rFonts w:ascii="Aptos" w:hAnsi="Aptos"/>
                <w:b w:val="0"/>
                <w:color w:val="111827"/>
                <w:sz w:val="12"/>
              </w:rPr>
              <w:t>206.6%</w:t>
            </w:r>
          </w:p>
        </w:tc>
        <w:tc>
          <w:tcPr>
            <w:tcW w:type="dxa" w:w="648"/>
            <w:vAlign w:val="center"/>
          </w:tcPr>
          <w:p>
            <w:pPr>
              <w:spacing w:after="0" w:before="0" w:line="240" w:lineRule="auto"/>
            </w:pPr>
            <w:r/>
            <w:r>
              <w:rPr>
                <w:rFonts w:ascii="Aptos" w:hAnsi="Aptos"/>
                <w:b w:val="0"/>
                <w:color w:val="111827"/>
                <w:sz w:val="12"/>
              </w:rPr>
              <w:t>25.0%</w:t>
            </w:r>
          </w:p>
        </w:tc>
        <w:tc>
          <w:tcPr>
            <w:tcW w:type="dxa" w:w="936"/>
            <w:vAlign w:val="center"/>
          </w:tcPr>
          <w:p>
            <w:pPr>
              <w:spacing w:after="0" w:before="0" w:line="240" w:lineRule="auto"/>
            </w:pPr>
            <w:r/>
            <w:r>
              <w:rPr>
                <w:rFonts w:ascii="Aptos" w:hAnsi="Aptos"/>
                <w:b w:val="0"/>
                <w:color w:val="111827"/>
                <w:sz w:val="12"/>
              </w:rPr>
              <w:t>$4.49</w:t>
            </w:r>
          </w:p>
        </w:tc>
        <w:tc>
          <w:tcPr>
            <w:tcW w:type="dxa" w:w="792"/>
            <w:vAlign w:val="center"/>
          </w:tcPr>
          <w:p>
            <w:pPr>
              <w:spacing w:after="0" w:before="0" w:line="240" w:lineRule="auto"/>
            </w:pPr>
            <w:r/>
            <w:r>
              <w:rPr>
                <w:rFonts w:ascii="Aptos" w:hAnsi="Aptos"/>
                <w:b w:val="0"/>
                <w:color w:val="111827"/>
                <w:sz w:val="12"/>
              </w:rPr>
              <w:t>2,246 bps</w:t>
            </w:r>
          </w:p>
        </w:tc>
      </w:tr>
      <w:tr>
        <w:tc>
          <w:tcPr>
            <w:tcW w:type="dxa" w:w="648"/>
            <w:vAlign w:val="center"/>
            <w:shd w:fill="F5F7FA"/>
          </w:tcPr>
          <w:p>
            <w:pPr>
              <w:spacing w:after="0" w:before="0" w:line="240" w:lineRule="auto"/>
            </w:pPr>
            <w:r/>
            <w:r>
              <w:rPr>
                <w:rFonts w:ascii="Aptos" w:hAnsi="Aptos"/>
                <w:b/>
                <w:color w:val="111827"/>
                <w:sz w:val="12"/>
              </w:rPr>
              <w:t>$20</w:t>
            </w:r>
          </w:p>
        </w:tc>
        <w:tc>
          <w:tcPr>
            <w:tcW w:type="dxa" w:w="1944"/>
            <w:vAlign w:val="center"/>
            <w:shd w:fill="F5F7FA"/>
          </w:tcPr>
          <w:p>
            <w:pPr>
              <w:spacing w:after="0" w:before="0" w:line="240" w:lineRule="auto"/>
            </w:pPr>
            <w:r/>
            <w:r>
              <w:rPr>
                <w:rFonts w:ascii="Aptos" w:hAnsi="Aptos"/>
                <w:b w:val="0"/>
                <w:color w:val="111827"/>
                <w:sz w:val="12"/>
              </w:rPr>
              <w:t>Cosmetic/personal-care item ($20)</w:t>
            </w:r>
          </w:p>
        </w:tc>
        <w:tc>
          <w:tcPr>
            <w:tcW w:type="dxa" w:w="936"/>
            <w:vAlign w:val="center"/>
            <w:shd w:fill="F5F7FA"/>
          </w:tcPr>
          <w:p>
            <w:pPr>
              <w:spacing w:after="0" w:before="0" w:line="240" w:lineRule="auto"/>
            </w:pPr>
            <w:r/>
            <w:r>
              <w:rPr>
                <w:rFonts w:ascii="Aptos" w:hAnsi="Aptos"/>
                <w:b w:val="0"/>
                <w:color w:val="111827"/>
                <w:sz w:val="12"/>
              </w:rPr>
              <w:t>$10.20</w:t>
            </w:r>
          </w:p>
        </w:tc>
        <w:tc>
          <w:tcPr>
            <w:tcW w:type="dxa" w:w="936"/>
            <w:vAlign w:val="center"/>
            <w:shd w:fill="F5F7FA"/>
          </w:tcPr>
          <w:p>
            <w:pPr>
              <w:spacing w:after="0" w:before="0" w:line="240" w:lineRule="auto"/>
            </w:pPr>
            <w:r/>
            <w:r>
              <w:rPr>
                <w:rFonts w:ascii="Aptos" w:hAnsi="Aptos"/>
                <w:b w:val="0"/>
                <w:color w:val="111827"/>
                <w:sz w:val="12"/>
              </w:rPr>
              <w:t>$-10.11</w:t>
            </w:r>
          </w:p>
        </w:tc>
        <w:tc>
          <w:tcPr>
            <w:tcW w:type="dxa" w:w="1080"/>
            <w:vAlign w:val="center"/>
            <w:shd w:fill="F5F7FA"/>
          </w:tcPr>
          <w:p>
            <w:pPr>
              <w:spacing w:after="0" w:before="0" w:line="240" w:lineRule="auto"/>
            </w:pPr>
            <w:r/>
            <w:r>
              <w:rPr>
                <w:rFonts w:ascii="Aptos" w:hAnsi="Aptos"/>
                <w:b w:val="0"/>
                <w:color w:val="111827"/>
                <w:sz w:val="12"/>
              </w:rPr>
              <w:t>$20.31</w:t>
            </w:r>
          </w:p>
        </w:tc>
        <w:tc>
          <w:tcPr>
            <w:tcW w:type="dxa" w:w="720"/>
            <w:vAlign w:val="center"/>
            <w:shd w:fill="F5F7FA"/>
          </w:tcPr>
          <w:p>
            <w:pPr>
              <w:spacing w:after="0" w:before="0" w:line="240" w:lineRule="auto"/>
            </w:pPr>
            <w:r/>
            <w:r>
              <w:rPr>
                <w:rFonts w:ascii="Aptos" w:hAnsi="Aptos"/>
                <w:b w:val="0"/>
                <w:color w:val="111827"/>
                <w:sz w:val="12"/>
              </w:rPr>
              <w:t>101.6%</w:t>
            </w:r>
          </w:p>
        </w:tc>
        <w:tc>
          <w:tcPr>
            <w:tcW w:type="dxa" w:w="936"/>
            <w:vAlign w:val="center"/>
            <w:shd w:fill="F5F7FA"/>
          </w:tcPr>
          <w:p>
            <w:pPr>
              <w:spacing w:after="0" w:before="0" w:line="240" w:lineRule="auto"/>
            </w:pPr>
            <w:r/>
            <w:r>
              <w:rPr>
                <w:rFonts w:ascii="Aptos" w:hAnsi="Aptos"/>
                <w:b w:val="0"/>
                <w:color w:val="111827"/>
                <w:sz w:val="12"/>
              </w:rPr>
              <w:t>199.1%</w:t>
            </w:r>
          </w:p>
        </w:tc>
        <w:tc>
          <w:tcPr>
            <w:tcW w:type="dxa" w:w="648"/>
            <w:vAlign w:val="center"/>
            <w:shd w:fill="F5F7FA"/>
          </w:tcPr>
          <w:p>
            <w:pPr>
              <w:spacing w:after="0" w:before="0" w:line="240" w:lineRule="auto"/>
            </w:pPr>
            <w:r/>
            <w:r>
              <w:rPr>
                <w:rFonts w:ascii="Aptos" w:hAnsi="Aptos"/>
                <w:b w:val="0"/>
                <w:color w:val="111827"/>
                <w:sz w:val="12"/>
              </w:rPr>
              <w:t>10.0%</w:t>
            </w:r>
          </w:p>
        </w:tc>
        <w:tc>
          <w:tcPr>
            <w:tcW w:type="dxa" w:w="936"/>
            <w:vAlign w:val="center"/>
            <w:shd w:fill="F5F7FA"/>
          </w:tcPr>
          <w:p>
            <w:pPr>
              <w:spacing w:after="0" w:before="0" w:line="240" w:lineRule="auto"/>
            </w:pPr>
            <w:r/>
            <w:r>
              <w:rPr>
                <w:rFonts w:ascii="Aptos" w:hAnsi="Aptos"/>
                <w:b w:val="0"/>
                <w:color w:val="111827"/>
                <w:sz w:val="12"/>
              </w:rPr>
              <w:t>$2.03</w:t>
            </w:r>
          </w:p>
        </w:tc>
        <w:tc>
          <w:tcPr>
            <w:tcW w:type="dxa" w:w="792"/>
            <w:vAlign w:val="center"/>
            <w:shd w:fill="F5F7FA"/>
          </w:tcPr>
          <w:p>
            <w:pPr>
              <w:spacing w:after="0" w:before="0" w:line="240" w:lineRule="auto"/>
            </w:pPr>
            <w:r/>
            <w:r>
              <w:rPr>
                <w:rFonts w:ascii="Aptos" w:hAnsi="Aptos"/>
                <w:b w:val="0"/>
                <w:color w:val="111827"/>
                <w:sz w:val="12"/>
              </w:rPr>
              <w:t>1,016 bps</w:t>
            </w:r>
          </w:p>
        </w:tc>
      </w:tr>
      <w:tr>
        <w:tc>
          <w:tcPr>
            <w:tcW w:type="dxa" w:w="648"/>
            <w:vAlign w:val="center"/>
          </w:tcPr>
          <w:p>
            <w:pPr>
              <w:spacing w:after="0" w:before="0" w:line="240" w:lineRule="auto"/>
            </w:pPr>
            <w:r/>
            <w:r>
              <w:rPr>
                <w:rFonts w:ascii="Aptos" w:hAnsi="Aptos"/>
                <w:b/>
                <w:color w:val="111827"/>
                <w:sz w:val="12"/>
              </w:rPr>
              <w:t>$20</w:t>
            </w:r>
          </w:p>
        </w:tc>
        <w:tc>
          <w:tcPr>
            <w:tcW w:type="dxa" w:w="1944"/>
            <w:vAlign w:val="center"/>
          </w:tcPr>
          <w:p>
            <w:pPr>
              <w:spacing w:after="0" w:before="0" w:line="240" w:lineRule="auto"/>
            </w:pPr>
            <w:r/>
            <w:r>
              <w:rPr>
                <w:rFonts w:ascii="Aptos" w:hAnsi="Aptos"/>
                <w:b w:val="0"/>
                <w:color w:val="111827"/>
                <w:sz w:val="12"/>
              </w:rPr>
              <w:t>Small household product ($20)</w:t>
            </w:r>
          </w:p>
        </w:tc>
        <w:tc>
          <w:tcPr>
            <w:tcW w:type="dxa" w:w="936"/>
            <w:vAlign w:val="center"/>
          </w:tcPr>
          <w:p>
            <w:pPr>
              <w:spacing w:after="0" w:before="0" w:line="240" w:lineRule="auto"/>
            </w:pPr>
            <w:r/>
            <w:r>
              <w:rPr>
                <w:rFonts w:ascii="Aptos" w:hAnsi="Aptos"/>
                <w:b w:val="0"/>
                <w:color w:val="111827"/>
                <w:sz w:val="12"/>
              </w:rPr>
              <w:t>$6.70</w:t>
            </w:r>
          </w:p>
        </w:tc>
        <w:tc>
          <w:tcPr>
            <w:tcW w:type="dxa" w:w="936"/>
            <w:vAlign w:val="center"/>
          </w:tcPr>
          <w:p>
            <w:pPr>
              <w:spacing w:after="0" w:before="0" w:line="240" w:lineRule="auto"/>
            </w:pPr>
            <w:r/>
            <w:r>
              <w:rPr>
                <w:rFonts w:ascii="Aptos" w:hAnsi="Aptos"/>
                <w:b w:val="0"/>
                <w:color w:val="111827"/>
                <w:sz w:val="12"/>
              </w:rPr>
              <w:t>$-18.01</w:t>
            </w:r>
          </w:p>
        </w:tc>
        <w:tc>
          <w:tcPr>
            <w:tcW w:type="dxa" w:w="1080"/>
            <w:vAlign w:val="center"/>
          </w:tcPr>
          <w:p>
            <w:pPr>
              <w:spacing w:after="0" w:before="0" w:line="240" w:lineRule="auto"/>
            </w:pPr>
            <w:r/>
            <w:r>
              <w:rPr>
                <w:rFonts w:ascii="Aptos" w:hAnsi="Aptos"/>
                <w:b w:val="0"/>
                <w:color w:val="111827"/>
                <w:sz w:val="12"/>
              </w:rPr>
              <w:t>$24.71</w:t>
            </w:r>
          </w:p>
        </w:tc>
        <w:tc>
          <w:tcPr>
            <w:tcW w:type="dxa" w:w="720"/>
            <w:vAlign w:val="center"/>
          </w:tcPr>
          <w:p>
            <w:pPr>
              <w:spacing w:after="0" w:before="0" w:line="240" w:lineRule="auto"/>
            </w:pPr>
            <w:r/>
            <w:r>
              <w:rPr>
                <w:rFonts w:ascii="Aptos" w:hAnsi="Aptos"/>
                <w:b w:val="0"/>
                <w:color w:val="111827"/>
                <w:sz w:val="12"/>
              </w:rPr>
              <w:t>123.6%</w:t>
            </w:r>
          </w:p>
        </w:tc>
        <w:tc>
          <w:tcPr>
            <w:tcW w:type="dxa" w:w="936"/>
            <w:vAlign w:val="center"/>
          </w:tcPr>
          <w:p>
            <w:pPr>
              <w:spacing w:after="0" w:before="0" w:line="240" w:lineRule="auto"/>
            </w:pPr>
            <w:r/>
            <w:r>
              <w:rPr>
                <w:rFonts w:ascii="Aptos" w:hAnsi="Aptos"/>
                <w:b w:val="0"/>
                <w:color w:val="111827"/>
                <w:sz w:val="12"/>
              </w:rPr>
              <w:t>368.8%</w:t>
            </w:r>
          </w:p>
        </w:tc>
        <w:tc>
          <w:tcPr>
            <w:tcW w:type="dxa" w:w="648"/>
            <w:vAlign w:val="center"/>
          </w:tcPr>
          <w:p>
            <w:pPr>
              <w:spacing w:after="0" w:before="0" w:line="240" w:lineRule="auto"/>
            </w:pPr>
            <w:r/>
            <w:r>
              <w:rPr>
                <w:rFonts w:ascii="Aptos" w:hAnsi="Aptos"/>
                <w:b w:val="0"/>
                <w:color w:val="111827"/>
                <w:sz w:val="12"/>
              </w:rPr>
              <w:t>12.0%</w:t>
            </w:r>
          </w:p>
        </w:tc>
        <w:tc>
          <w:tcPr>
            <w:tcW w:type="dxa" w:w="936"/>
            <w:vAlign w:val="center"/>
          </w:tcPr>
          <w:p>
            <w:pPr>
              <w:spacing w:after="0" w:before="0" w:line="240" w:lineRule="auto"/>
            </w:pPr>
            <w:r/>
            <w:r>
              <w:rPr>
                <w:rFonts w:ascii="Aptos" w:hAnsi="Aptos"/>
                <w:b w:val="0"/>
                <w:color w:val="111827"/>
                <w:sz w:val="12"/>
              </w:rPr>
              <w:t>$2.97</w:t>
            </w:r>
          </w:p>
        </w:tc>
        <w:tc>
          <w:tcPr>
            <w:tcW w:type="dxa" w:w="792"/>
            <w:vAlign w:val="center"/>
          </w:tcPr>
          <w:p>
            <w:pPr>
              <w:spacing w:after="0" w:before="0" w:line="240" w:lineRule="auto"/>
            </w:pPr>
            <w:r/>
            <w:r>
              <w:rPr>
                <w:rFonts w:ascii="Aptos" w:hAnsi="Aptos"/>
                <w:b w:val="0"/>
                <w:color w:val="111827"/>
                <w:sz w:val="12"/>
              </w:rPr>
              <w:t>1,483 bps</w:t>
            </w:r>
          </w:p>
        </w:tc>
      </w:tr>
      <w:tr>
        <w:tc>
          <w:tcPr>
            <w:tcW w:type="dxa" w:w="648"/>
            <w:vAlign w:val="center"/>
            <w:shd w:fill="F5F7FA"/>
          </w:tcPr>
          <w:p>
            <w:pPr>
              <w:spacing w:after="0" w:before="0" w:line="240" w:lineRule="auto"/>
            </w:pPr>
            <w:r/>
            <w:r>
              <w:rPr>
                <w:rFonts w:ascii="Aptos" w:hAnsi="Aptos"/>
                <w:b/>
                <w:color w:val="111827"/>
                <w:sz w:val="12"/>
              </w:rPr>
              <w:t>$100</w:t>
            </w:r>
          </w:p>
        </w:tc>
        <w:tc>
          <w:tcPr>
            <w:tcW w:type="dxa" w:w="1944"/>
            <w:vAlign w:val="center"/>
            <w:shd w:fill="F5F7FA"/>
          </w:tcPr>
          <w:p>
            <w:pPr>
              <w:spacing w:after="0" w:before="0" w:line="240" w:lineRule="auto"/>
            </w:pPr>
            <w:r/>
            <w:r>
              <w:rPr>
                <w:rFonts w:ascii="Aptos" w:hAnsi="Aptos"/>
                <w:b w:val="0"/>
                <w:color w:val="111827"/>
                <w:sz w:val="12"/>
              </w:rPr>
              <w:t>Footwear/premium apparel ($100)</w:t>
            </w:r>
          </w:p>
        </w:tc>
        <w:tc>
          <w:tcPr>
            <w:tcW w:type="dxa" w:w="936"/>
            <w:vAlign w:val="center"/>
            <w:shd w:fill="F5F7FA"/>
          </w:tcPr>
          <w:p>
            <w:pPr>
              <w:spacing w:after="0" w:before="0" w:line="240" w:lineRule="auto"/>
            </w:pPr>
            <w:r/>
            <w:r>
              <w:rPr>
                <w:rFonts w:ascii="Aptos" w:hAnsi="Aptos"/>
                <w:b w:val="0"/>
                <w:color w:val="111827"/>
                <w:sz w:val="12"/>
              </w:rPr>
              <w:t>$55.20</w:t>
            </w:r>
          </w:p>
        </w:tc>
        <w:tc>
          <w:tcPr>
            <w:tcW w:type="dxa" w:w="936"/>
            <w:vAlign w:val="center"/>
            <w:shd w:fill="F5F7FA"/>
          </w:tcPr>
          <w:p>
            <w:pPr>
              <w:spacing w:after="0" w:before="0" w:line="240" w:lineRule="auto"/>
            </w:pPr>
            <w:r/>
            <w:r>
              <w:rPr>
                <w:rFonts w:ascii="Aptos" w:hAnsi="Aptos"/>
                <w:b w:val="0"/>
                <w:color w:val="111827"/>
                <w:sz w:val="12"/>
              </w:rPr>
              <w:t>$-3.10</w:t>
            </w:r>
          </w:p>
        </w:tc>
        <w:tc>
          <w:tcPr>
            <w:tcW w:type="dxa" w:w="1080"/>
            <w:vAlign w:val="center"/>
            <w:shd w:fill="F5F7FA"/>
          </w:tcPr>
          <w:p>
            <w:pPr>
              <w:spacing w:after="0" w:before="0" w:line="240" w:lineRule="auto"/>
            </w:pPr>
            <w:r/>
            <w:r>
              <w:rPr>
                <w:rFonts w:ascii="Aptos" w:hAnsi="Aptos"/>
                <w:b w:val="0"/>
                <w:color w:val="111827"/>
                <w:sz w:val="12"/>
              </w:rPr>
              <w:t>$58.30</w:t>
            </w:r>
          </w:p>
        </w:tc>
        <w:tc>
          <w:tcPr>
            <w:tcW w:type="dxa" w:w="720"/>
            <w:vAlign w:val="center"/>
            <w:shd w:fill="F5F7FA"/>
          </w:tcPr>
          <w:p>
            <w:pPr>
              <w:spacing w:after="0" w:before="0" w:line="240" w:lineRule="auto"/>
            </w:pPr>
            <w:r/>
            <w:r>
              <w:rPr>
                <w:rFonts w:ascii="Aptos" w:hAnsi="Aptos"/>
                <w:b w:val="0"/>
                <w:color w:val="111827"/>
                <w:sz w:val="12"/>
              </w:rPr>
              <w:t>58.3%</w:t>
            </w:r>
          </w:p>
        </w:tc>
        <w:tc>
          <w:tcPr>
            <w:tcW w:type="dxa" w:w="936"/>
            <w:vAlign w:val="center"/>
            <w:shd w:fill="F5F7FA"/>
          </w:tcPr>
          <w:p>
            <w:pPr>
              <w:spacing w:after="0" w:before="0" w:line="240" w:lineRule="auto"/>
            </w:pPr>
            <w:r/>
            <w:r>
              <w:rPr>
                <w:rFonts w:ascii="Aptos" w:hAnsi="Aptos"/>
                <w:b w:val="0"/>
                <w:color w:val="111827"/>
                <w:sz w:val="12"/>
              </w:rPr>
              <w:t>105.6%</w:t>
            </w:r>
          </w:p>
        </w:tc>
        <w:tc>
          <w:tcPr>
            <w:tcW w:type="dxa" w:w="648"/>
            <w:vAlign w:val="center"/>
            <w:shd w:fill="F5F7FA"/>
          </w:tcPr>
          <w:p>
            <w:pPr>
              <w:spacing w:after="0" w:before="0" w:line="240" w:lineRule="auto"/>
            </w:pPr>
            <w:r/>
            <w:r>
              <w:rPr>
                <w:rFonts w:ascii="Aptos" w:hAnsi="Aptos"/>
                <w:b w:val="0"/>
                <w:color w:val="111827"/>
                <w:sz w:val="12"/>
              </w:rPr>
              <w:t>30.0%</w:t>
            </w:r>
          </w:p>
        </w:tc>
        <w:tc>
          <w:tcPr>
            <w:tcW w:type="dxa" w:w="936"/>
            <w:vAlign w:val="center"/>
            <w:shd w:fill="F5F7FA"/>
          </w:tcPr>
          <w:p>
            <w:pPr>
              <w:spacing w:after="0" w:before="0" w:line="240" w:lineRule="auto"/>
            </w:pPr>
            <w:r/>
            <w:r>
              <w:rPr>
                <w:rFonts w:ascii="Aptos" w:hAnsi="Aptos"/>
                <w:b w:val="0"/>
                <w:color w:val="111827"/>
                <w:sz w:val="12"/>
              </w:rPr>
              <w:t>$17.49</w:t>
            </w:r>
          </w:p>
        </w:tc>
        <w:tc>
          <w:tcPr>
            <w:tcW w:type="dxa" w:w="792"/>
            <w:vAlign w:val="center"/>
            <w:shd w:fill="F5F7FA"/>
          </w:tcPr>
          <w:p>
            <w:pPr>
              <w:spacing w:after="0" w:before="0" w:line="240" w:lineRule="auto"/>
            </w:pPr>
            <w:r/>
            <w:r>
              <w:rPr>
                <w:rFonts w:ascii="Aptos" w:hAnsi="Aptos"/>
                <w:b w:val="0"/>
                <w:color w:val="111827"/>
                <w:sz w:val="12"/>
              </w:rPr>
              <w:t>1,749 bps</w:t>
            </w:r>
          </w:p>
        </w:tc>
      </w:tr>
      <w:tr>
        <w:tc>
          <w:tcPr>
            <w:tcW w:type="dxa" w:w="648"/>
            <w:vAlign w:val="center"/>
          </w:tcPr>
          <w:p>
            <w:pPr>
              <w:spacing w:after="0" w:before="0" w:line="240" w:lineRule="auto"/>
            </w:pPr>
            <w:r/>
            <w:r>
              <w:rPr>
                <w:rFonts w:ascii="Aptos" w:hAnsi="Aptos"/>
                <w:b/>
                <w:color w:val="111827"/>
                <w:sz w:val="12"/>
              </w:rPr>
              <w:t>$100</w:t>
            </w:r>
          </w:p>
        </w:tc>
        <w:tc>
          <w:tcPr>
            <w:tcW w:type="dxa" w:w="1944"/>
            <w:vAlign w:val="center"/>
          </w:tcPr>
          <w:p>
            <w:pPr>
              <w:spacing w:after="0" w:before="0" w:line="240" w:lineRule="auto"/>
            </w:pPr>
            <w:r/>
            <w:r>
              <w:rPr>
                <w:rFonts w:ascii="Aptos" w:hAnsi="Aptos"/>
                <w:b w:val="0"/>
                <w:color w:val="111827"/>
                <w:sz w:val="12"/>
              </w:rPr>
              <w:t>Headphones/small electronics ($100)</w:t>
            </w:r>
          </w:p>
        </w:tc>
        <w:tc>
          <w:tcPr>
            <w:tcW w:type="dxa" w:w="936"/>
            <w:vAlign w:val="center"/>
          </w:tcPr>
          <w:p>
            <w:pPr>
              <w:spacing w:after="0" w:before="0" w:line="240" w:lineRule="auto"/>
            </w:pPr>
            <w:r/>
            <w:r>
              <w:rPr>
                <w:rFonts w:ascii="Aptos" w:hAnsi="Aptos"/>
                <w:b w:val="0"/>
                <w:color w:val="111827"/>
                <w:sz w:val="12"/>
              </w:rPr>
              <w:t>$46.20</w:t>
            </w:r>
          </w:p>
        </w:tc>
        <w:tc>
          <w:tcPr>
            <w:tcW w:type="dxa" w:w="936"/>
            <w:vAlign w:val="center"/>
          </w:tcPr>
          <w:p>
            <w:pPr>
              <w:spacing w:after="0" w:before="0" w:line="240" w:lineRule="auto"/>
            </w:pPr>
            <w:r/>
            <w:r>
              <w:rPr>
                <w:rFonts w:ascii="Aptos" w:hAnsi="Aptos"/>
                <w:b w:val="0"/>
                <w:color w:val="111827"/>
                <w:sz w:val="12"/>
              </w:rPr>
              <w:t>$-31.24</w:t>
            </w:r>
          </w:p>
        </w:tc>
        <w:tc>
          <w:tcPr>
            <w:tcW w:type="dxa" w:w="1080"/>
            <w:vAlign w:val="center"/>
          </w:tcPr>
          <w:p>
            <w:pPr>
              <w:spacing w:after="0" w:before="0" w:line="240" w:lineRule="auto"/>
            </w:pPr>
            <w:r/>
            <w:r>
              <w:rPr>
                <w:rFonts w:ascii="Aptos" w:hAnsi="Aptos"/>
                <w:b w:val="0"/>
                <w:color w:val="111827"/>
                <w:sz w:val="12"/>
              </w:rPr>
              <w:t>$77.44</w:t>
            </w:r>
          </w:p>
        </w:tc>
        <w:tc>
          <w:tcPr>
            <w:tcW w:type="dxa" w:w="720"/>
            <w:vAlign w:val="center"/>
          </w:tcPr>
          <w:p>
            <w:pPr>
              <w:spacing w:after="0" w:before="0" w:line="240" w:lineRule="auto"/>
            </w:pPr>
            <w:r/>
            <w:r>
              <w:rPr>
                <w:rFonts w:ascii="Aptos" w:hAnsi="Aptos"/>
                <w:b w:val="0"/>
                <w:color w:val="111827"/>
                <w:sz w:val="12"/>
              </w:rPr>
              <w:t>77.4%</w:t>
            </w:r>
          </w:p>
        </w:tc>
        <w:tc>
          <w:tcPr>
            <w:tcW w:type="dxa" w:w="936"/>
            <w:vAlign w:val="center"/>
          </w:tcPr>
          <w:p>
            <w:pPr>
              <w:spacing w:after="0" w:before="0" w:line="240" w:lineRule="auto"/>
            </w:pPr>
            <w:r/>
            <w:r>
              <w:rPr>
                <w:rFonts w:ascii="Aptos" w:hAnsi="Aptos"/>
                <w:b w:val="0"/>
                <w:color w:val="111827"/>
                <w:sz w:val="12"/>
              </w:rPr>
              <w:t>167.6%</w:t>
            </w:r>
          </w:p>
        </w:tc>
        <w:tc>
          <w:tcPr>
            <w:tcW w:type="dxa" w:w="648"/>
            <w:vAlign w:val="center"/>
          </w:tcPr>
          <w:p>
            <w:pPr>
              <w:spacing w:after="0" w:before="0" w:line="240" w:lineRule="auto"/>
            </w:pPr>
            <w:r/>
            <w:r>
              <w:rPr>
                <w:rFonts w:ascii="Aptos" w:hAnsi="Aptos"/>
                <w:b w:val="0"/>
                <w:color w:val="111827"/>
                <w:sz w:val="12"/>
              </w:rPr>
              <w:t>12.0%</w:t>
            </w:r>
          </w:p>
        </w:tc>
        <w:tc>
          <w:tcPr>
            <w:tcW w:type="dxa" w:w="936"/>
            <w:vAlign w:val="center"/>
          </w:tcPr>
          <w:p>
            <w:pPr>
              <w:spacing w:after="0" w:before="0" w:line="240" w:lineRule="auto"/>
            </w:pPr>
            <w:r/>
            <w:r>
              <w:rPr>
                <w:rFonts w:ascii="Aptos" w:hAnsi="Aptos"/>
                <w:b w:val="0"/>
                <w:color w:val="111827"/>
                <w:sz w:val="12"/>
              </w:rPr>
              <w:t>$9.29</w:t>
            </w:r>
          </w:p>
        </w:tc>
        <w:tc>
          <w:tcPr>
            <w:tcW w:type="dxa" w:w="792"/>
            <w:vAlign w:val="center"/>
          </w:tcPr>
          <w:p>
            <w:pPr>
              <w:spacing w:after="0" w:before="0" w:line="240" w:lineRule="auto"/>
            </w:pPr>
            <w:r/>
            <w:r>
              <w:rPr>
                <w:rFonts w:ascii="Aptos" w:hAnsi="Aptos"/>
                <w:b w:val="0"/>
                <w:color w:val="111827"/>
                <w:sz w:val="12"/>
              </w:rPr>
              <w:t>929 bps</w:t>
            </w:r>
          </w:p>
        </w:tc>
      </w:tr>
      <w:tr>
        <w:tc>
          <w:tcPr>
            <w:tcW w:type="dxa" w:w="648"/>
            <w:vAlign w:val="center"/>
            <w:shd w:fill="F5F7FA"/>
          </w:tcPr>
          <w:p>
            <w:pPr>
              <w:spacing w:after="0" w:before="0" w:line="240" w:lineRule="auto"/>
            </w:pPr>
            <w:r/>
            <w:r>
              <w:rPr>
                <w:rFonts w:ascii="Aptos" w:hAnsi="Aptos"/>
                <w:b/>
                <w:color w:val="111827"/>
                <w:sz w:val="12"/>
              </w:rPr>
              <w:t>$100</w:t>
            </w:r>
          </w:p>
        </w:tc>
        <w:tc>
          <w:tcPr>
            <w:tcW w:type="dxa" w:w="1944"/>
            <w:vAlign w:val="center"/>
            <w:shd w:fill="F5F7FA"/>
          </w:tcPr>
          <w:p>
            <w:pPr>
              <w:spacing w:after="0" w:before="0" w:line="240" w:lineRule="auto"/>
            </w:pPr>
            <w:r/>
            <w:r>
              <w:rPr>
                <w:rFonts w:ascii="Aptos" w:hAnsi="Aptos"/>
                <w:b w:val="0"/>
                <w:color w:val="111827"/>
                <w:sz w:val="12"/>
              </w:rPr>
              <w:t>Small appliance ($100)</w:t>
            </w:r>
          </w:p>
        </w:tc>
        <w:tc>
          <w:tcPr>
            <w:tcW w:type="dxa" w:w="936"/>
            <w:vAlign w:val="center"/>
            <w:shd w:fill="F5F7FA"/>
          </w:tcPr>
          <w:p>
            <w:pPr>
              <w:spacing w:after="0" w:before="0" w:line="240" w:lineRule="auto"/>
            </w:pPr>
            <w:r/>
            <w:r>
              <w:rPr>
                <w:rFonts w:ascii="Aptos" w:hAnsi="Aptos"/>
                <w:b w:val="0"/>
                <w:color w:val="111827"/>
                <w:sz w:val="12"/>
              </w:rPr>
              <w:t>$45.20</w:t>
            </w:r>
          </w:p>
        </w:tc>
        <w:tc>
          <w:tcPr>
            <w:tcW w:type="dxa" w:w="936"/>
            <w:vAlign w:val="center"/>
            <w:shd w:fill="F5F7FA"/>
          </w:tcPr>
          <w:p>
            <w:pPr>
              <w:spacing w:after="0" w:before="0" w:line="240" w:lineRule="auto"/>
            </w:pPr>
            <w:r/>
            <w:r>
              <w:rPr>
                <w:rFonts w:ascii="Aptos" w:hAnsi="Aptos"/>
                <w:b w:val="0"/>
                <w:color w:val="111827"/>
                <w:sz w:val="12"/>
              </w:rPr>
              <w:t>$-51.03</w:t>
            </w:r>
          </w:p>
        </w:tc>
        <w:tc>
          <w:tcPr>
            <w:tcW w:type="dxa" w:w="1080"/>
            <w:vAlign w:val="center"/>
            <w:shd w:fill="F5F7FA"/>
          </w:tcPr>
          <w:p>
            <w:pPr>
              <w:spacing w:after="0" w:before="0" w:line="240" w:lineRule="auto"/>
            </w:pPr>
            <w:r/>
            <w:r>
              <w:rPr>
                <w:rFonts w:ascii="Aptos" w:hAnsi="Aptos"/>
                <w:b w:val="0"/>
                <w:color w:val="111827"/>
                <w:sz w:val="12"/>
              </w:rPr>
              <w:t>$96.23</w:t>
            </w:r>
          </w:p>
        </w:tc>
        <w:tc>
          <w:tcPr>
            <w:tcW w:type="dxa" w:w="720"/>
            <w:vAlign w:val="center"/>
            <w:shd w:fill="F5F7FA"/>
          </w:tcPr>
          <w:p>
            <w:pPr>
              <w:spacing w:after="0" w:before="0" w:line="240" w:lineRule="auto"/>
            </w:pPr>
            <w:r/>
            <w:r>
              <w:rPr>
                <w:rFonts w:ascii="Aptos" w:hAnsi="Aptos"/>
                <w:b w:val="0"/>
                <w:color w:val="111827"/>
                <w:sz w:val="12"/>
              </w:rPr>
              <w:t>96.2%</w:t>
            </w:r>
          </w:p>
        </w:tc>
        <w:tc>
          <w:tcPr>
            <w:tcW w:type="dxa" w:w="936"/>
            <w:vAlign w:val="center"/>
            <w:shd w:fill="F5F7FA"/>
          </w:tcPr>
          <w:p>
            <w:pPr>
              <w:spacing w:after="0" w:before="0" w:line="240" w:lineRule="auto"/>
            </w:pPr>
            <w:r/>
            <w:r>
              <w:rPr>
                <w:rFonts w:ascii="Aptos" w:hAnsi="Aptos"/>
                <w:b w:val="0"/>
                <w:color w:val="111827"/>
                <w:sz w:val="12"/>
              </w:rPr>
              <w:t>212.9%</w:t>
            </w:r>
          </w:p>
        </w:tc>
        <w:tc>
          <w:tcPr>
            <w:tcW w:type="dxa" w:w="648"/>
            <w:vAlign w:val="center"/>
            <w:shd w:fill="F5F7FA"/>
          </w:tcPr>
          <w:p>
            <w:pPr>
              <w:spacing w:after="0" w:before="0" w:line="240" w:lineRule="auto"/>
            </w:pPr>
            <w:r/>
            <w:r>
              <w:rPr>
                <w:rFonts w:ascii="Aptos" w:hAnsi="Aptos"/>
                <w:b w:val="0"/>
                <w:color w:val="111827"/>
                <w:sz w:val="12"/>
              </w:rPr>
              <w:t>15.0%</w:t>
            </w:r>
          </w:p>
        </w:tc>
        <w:tc>
          <w:tcPr>
            <w:tcW w:type="dxa" w:w="936"/>
            <w:vAlign w:val="center"/>
            <w:shd w:fill="F5F7FA"/>
          </w:tcPr>
          <w:p>
            <w:pPr>
              <w:spacing w:after="0" w:before="0" w:line="240" w:lineRule="auto"/>
            </w:pPr>
            <w:r/>
            <w:r>
              <w:rPr>
                <w:rFonts w:ascii="Aptos" w:hAnsi="Aptos"/>
                <w:b w:val="0"/>
                <w:color w:val="111827"/>
                <w:sz w:val="12"/>
              </w:rPr>
              <w:t>$14.44</w:t>
            </w:r>
          </w:p>
        </w:tc>
        <w:tc>
          <w:tcPr>
            <w:tcW w:type="dxa" w:w="792"/>
            <w:vAlign w:val="center"/>
            <w:shd w:fill="F5F7FA"/>
          </w:tcPr>
          <w:p>
            <w:pPr>
              <w:spacing w:after="0" w:before="0" w:line="240" w:lineRule="auto"/>
            </w:pPr>
            <w:r/>
            <w:r>
              <w:rPr>
                <w:rFonts w:ascii="Aptos" w:hAnsi="Aptos"/>
                <w:b w:val="0"/>
                <w:color w:val="111827"/>
                <w:sz w:val="12"/>
              </w:rPr>
              <w:t>1,444 bps</w:t>
            </w:r>
          </w:p>
        </w:tc>
      </w:tr>
      <w:tr>
        <w:tc>
          <w:tcPr>
            <w:tcW w:type="dxa" w:w="648"/>
            <w:vAlign w:val="center"/>
          </w:tcPr>
          <w:p>
            <w:pPr>
              <w:spacing w:after="0" w:before="0" w:line="240" w:lineRule="auto"/>
            </w:pPr>
            <w:r/>
            <w:r>
              <w:rPr>
                <w:rFonts w:ascii="Aptos" w:hAnsi="Aptos"/>
                <w:b/>
                <w:color w:val="111827"/>
                <w:sz w:val="12"/>
              </w:rPr>
              <w:t>$500</w:t>
            </w:r>
          </w:p>
        </w:tc>
        <w:tc>
          <w:tcPr>
            <w:tcW w:type="dxa" w:w="1944"/>
            <w:vAlign w:val="center"/>
          </w:tcPr>
          <w:p>
            <w:pPr>
              <w:spacing w:after="0" w:before="0" w:line="240" w:lineRule="auto"/>
            </w:pPr>
            <w:r/>
            <w:r>
              <w:rPr>
                <w:rFonts w:ascii="Aptos" w:hAnsi="Aptos"/>
                <w:b w:val="0"/>
                <w:color w:val="111827"/>
                <w:sz w:val="12"/>
              </w:rPr>
              <w:t>Laptop/phone premium electronics ($500)</w:t>
            </w:r>
          </w:p>
        </w:tc>
        <w:tc>
          <w:tcPr>
            <w:tcW w:type="dxa" w:w="936"/>
            <w:vAlign w:val="center"/>
          </w:tcPr>
          <w:p>
            <w:pPr>
              <w:spacing w:after="0" w:before="0" w:line="240" w:lineRule="auto"/>
            </w:pPr>
            <w:r/>
            <w:r>
              <w:rPr>
                <w:rFonts w:ascii="Aptos" w:hAnsi="Aptos"/>
                <w:b w:val="0"/>
                <w:color w:val="111827"/>
                <w:sz w:val="12"/>
              </w:rPr>
              <w:t>$127.20</w:t>
            </w:r>
          </w:p>
        </w:tc>
        <w:tc>
          <w:tcPr>
            <w:tcW w:type="dxa" w:w="936"/>
            <w:vAlign w:val="center"/>
          </w:tcPr>
          <w:p>
            <w:pPr>
              <w:spacing w:after="0" w:before="0" w:line="240" w:lineRule="auto"/>
            </w:pPr>
            <w:r/>
            <w:r>
              <w:rPr>
                <w:rFonts w:ascii="Aptos" w:hAnsi="Aptos"/>
                <w:b w:val="0"/>
                <w:color w:val="111827"/>
                <w:sz w:val="12"/>
              </w:rPr>
              <w:t>$-195.52</w:t>
            </w:r>
          </w:p>
        </w:tc>
        <w:tc>
          <w:tcPr>
            <w:tcW w:type="dxa" w:w="1080"/>
            <w:vAlign w:val="center"/>
          </w:tcPr>
          <w:p>
            <w:pPr>
              <w:spacing w:after="0" w:before="0" w:line="240" w:lineRule="auto"/>
            </w:pPr>
            <w:r/>
            <w:r>
              <w:rPr>
                <w:rFonts w:ascii="Aptos" w:hAnsi="Aptos"/>
                <w:b w:val="0"/>
                <w:color w:val="111827"/>
                <w:sz w:val="12"/>
              </w:rPr>
              <w:t>$322.72</w:t>
            </w:r>
          </w:p>
        </w:tc>
        <w:tc>
          <w:tcPr>
            <w:tcW w:type="dxa" w:w="720"/>
            <w:vAlign w:val="center"/>
          </w:tcPr>
          <w:p>
            <w:pPr>
              <w:spacing w:after="0" w:before="0" w:line="240" w:lineRule="auto"/>
            </w:pPr>
            <w:r/>
            <w:r>
              <w:rPr>
                <w:rFonts w:ascii="Aptos" w:hAnsi="Aptos"/>
                <w:b w:val="0"/>
                <w:color w:val="111827"/>
                <w:sz w:val="12"/>
              </w:rPr>
              <w:t>64.5%</w:t>
            </w:r>
          </w:p>
        </w:tc>
        <w:tc>
          <w:tcPr>
            <w:tcW w:type="dxa" w:w="936"/>
            <w:vAlign w:val="center"/>
          </w:tcPr>
          <w:p>
            <w:pPr>
              <w:spacing w:after="0" w:before="0" w:line="240" w:lineRule="auto"/>
            </w:pPr>
            <w:r/>
            <w:r>
              <w:rPr>
                <w:rFonts w:ascii="Aptos" w:hAnsi="Aptos"/>
                <w:b w:val="0"/>
                <w:color w:val="111827"/>
                <w:sz w:val="12"/>
              </w:rPr>
              <w:t>253.7%</w:t>
            </w:r>
          </w:p>
        </w:tc>
        <w:tc>
          <w:tcPr>
            <w:tcW w:type="dxa" w:w="648"/>
            <w:vAlign w:val="center"/>
          </w:tcPr>
          <w:p>
            <w:pPr>
              <w:spacing w:after="0" w:before="0" w:line="240" w:lineRule="auto"/>
            </w:pPr>
            <w:r/>
            <w:r>
              <w:rPr>
                <w:rFonts w:ascii="Aptos" w:hAnsi="Aptos"/>
                <w:b w:val="0"/>
                <w:color w:val="111827"/>
                <w:sz w:val="12"/>
              </w:rPr>
              <w:t>10.0%</w:t>
            </w:r>
          </w:p>
        </w:tc>
        <w:tc>
          <w:tcPr>
            <w:tcW w:type="dxa" w:w="936"/>
            <w:vAlign w:val="center"/>
          </w:tcPr>
          <w:p>
            <w:pPr>
              <w:spacing w:after="0" w:before="0" w:line="240" w:lineRule="auto"/>
            </w:pPr>
            <w:r/>
            <w:r>
              <w:rPr>
                <w:rFonts w:ascii="Aptos" w:hAnsi="Aptos"/>
                <w:b w:val="0"/>
                <w:color w:val="111827"/>
                <w:sz w:val="12"/>
              </w:rPr>
              <w:t>$32.27</w:t>
            </w:r>
          </w:p>
        </w:tc>
        <w:tc>
          <w:tcPr>
            <w:tcW w:type="dxa" w:w="792"/>
            <w:vAlign w:val="center"/>
          </w:tcPr>
          <w:p>
            <w:pPr>
              <w:spacing w:after="0" w:before="0" w:line="240" w:lineRule="auto"/>
            </w:pPr>
            <w:r/>
            <w:r>
              <w:rPr>
                <w:rFonts w:ascii="Aptos" w:hAnsi="Aptos"/>
                <w:b w:val="0"/>
                <w:color w:val="111827"/>
                <w:sz w:val="12"/>
              </w:rPr>
              <w:t>645 bps</w:t>
            </w:r>
          </w:p>
        </w:tc>
      </w:tr>
      <w:tr>
        <w:tc>
          <w:tcPr>
            <w:tcW w:type="dxa" w:w="648"/>
            <w:vAlign w:val="center"/>
            <w:shd w:fill="F5F7FA"/>
          </w:tcPr>
          <w:p>
            <w:pPr>
              <w:spacing w:after="0" w:before="0" w:line="240" w:lineRule="auto"/>
            </w:pPr>
            <w:r/>
            <w:r>
              <w:rPr>
                <w:rFonts w:ascii="Aptos" w:hAnsi="Aptos"/>
                <w:b/>
                <w:color w:val="111827"/>
                <w:sz w:val="12"/>
              </w:rPr>
              <w:t>$500</w:t>
            </w:r>
          </w:p>
        </w:tc>
        <w:tc>
          <w:tcPr>
            <w:tcW w:type="dxa" w:w="1944"/>
            <w:vAlign w:val="center"/>
            <w:shd w:fill="F5F7FA"/>
          </w:tcPr>
          <w:p>
            <w:pPr>
              <w:spacing w:after="0" w:before="0" w:line="240" w:lineRule="auto"/>
            </w:pPr>
            <w:r/>
            <w:r>
              <w:rPr>
                <w:rFonts w:ascii="Aptos" w:hAnsi="Aptos"/>
                <w:b w:val="0"/>
                <w:color w:val="111827"/>
                <w:sz w:val="12"/>
              </w:rPr>
              <w:t>Furniture product ($500)</w:t>
            </w:r>
          </w:p>
        </w:tc>
        <w:tc>
          <w:tcPr>
            <w:tcW w:type="dxa" w:w="936"/>
            <w:vAlign w:val="center"/>
            <w:shd w:fill="F5F7FA"/>
          </w:tcPr>
          <w:p>
            <w:pPr>
              <w:spacing w:after="0" w:before="0" w:line="240" w:lineRule="auto"/>
            </w:pPr>
            <w:r/>
            <w:r>
              <w:rPr>
                <w:rFonts w:ascii="Aptos" w:hAnsi="Aptos"/>
                <w:b w:val="0"/>
                <w:color w:val="111827"/>
                <w:sz w:val="12"/>
              </w:rPr>
              <w:t>$187.20</w:t>
            </w:r>
          </w:p>
        </w:tc>
        <w:tc>
          <w:tcPr>
            <w:tcW w:type="dxa" w:w="936"/>
            <w:vAlign w:val="center"/>
            <w:shd w:fill="F5F7FA"/>
          </w:tcPr>
          <w:p>
            <w:pPr>
              <w:spacing w:after="0" w:before="0" w:line="240" w:lineRule="auto"/>
            </w:pPr>
            <w:r/>
            <w:r>
              <w:rPr>
                <w:rFonts w:ascii="Aptos" w:hAnsi="Aptos"/>
                <w:b w:val="0"/>
                <w:color w:val="111827"/>
                <w:sz w:val="12"/>
              </w:rPr>
              <w:t>$-326.84</w:t>
            </w:r>
          </w:p>
        </w:tc>
        <w:tc>
          <w:tcPr>
            <w:tcW w:type="dxa" w:w="1080"/>
            <w:vAlign w:val="center"/>
            <w:shd w:fill="F5F7FA"/>
          </w:tcPr>
          <w:p>
            <w:pPr>
              <w:spacing w:after="0" w:before="0" w:line="240" w:lineRule="auto"/>
            </w:pPr>
            <w:r/>
            <w:r>
              <w:rPr>
                <w:rFonts w:ascii="Aptos" w:hAnsi="Aptos"/>
                <w:b w:val="0"/>
                <w:color w:val="111827"/>
                <w:sz w:val="12"/>
              </w:rPr>
              <w:t>$514.04</w:t>
            </w:r>
          </w:p>
        </w:tc>
        <w:tc>
          <w:tcPr>
            <w:tcW w:type="dxa" w:w="720"/>
            <w:vAlign w:val="center"/>
            <w:shd w:fill="F5F7FA"/>
          </w:tcPr>
          <w:p>
            <w:pPr>
              <w:spacing w:after="0" w:before="0" w:line="240" w:lineRule="auto"/>
            </w:pPr>
            <w:r/>
            <w:r>
              <w:rPr>
                <w:rFonts w:ascii="Aptos" w:hAnsi="Aptos"/>
                <w:b w:val="0"/>
                <w:color w:val="111827"/>
                <w:sz w:val="12"/>
              </w:rPr>
              <w:t>102.8%</w:t>
            </w:r>
          </w:p>
        </w:tc>
        <w:tc>
          <w:tcPr>
            <w:tcW w:type="dxa" w:w="936"/>
            <w:vAlign w:val="center"/>
            <w:shd w:fill="F5F7FA"/>
          </w:tcPr>
          <w:p>
            <w:pPr>
              <w:spacing w:after="0" w:before="0" w:line="240" w:lineRule="auto"/>
            </w:pPr>
            <w:r/>
            <w:r>
              <w:rPr>
                <w:rFonts w:ascii="Aptos" w:hAnsi="Aptos"/>
                <w:b w:val="0"/>
                <w:color w:val="111827"/>
                <w:sz w:val="12"/>
              </w:rPr>
              <w:t>274.6%</w:t>
            </w:r>
          </w:p>
        </w:tc>
        <w:tc>
          <w:tcPr>
            <w:tcW w:type="dxa" w:w="648"/>
            <w:vAlign w:val="center"/>
            <w:shd w:fill="F5F7FA"/>
          </w:tcPr>
          <w:p>
            <w:pPr>
              <w:spacing w:after="0" w:before="0" w:line="240" w:lineRule="auto"/>
            </w:pPr>
            <w:r/>
            <w:r>
              <w:rPr>
                <w:rFonts w:ascii="Aptos" w:hAnsi="Aptos"/>
                <w:b w:val="0"/>
                <w:color w:val="111827"/>
                <w:sz w:val="12"/>
              </w:rPr>
              <w:t>18.0%</w:t>
            </w:r>
          </w:p>
        </w:tc>
        <w:tc>
          <w:tcPr>
            <w:tcW w:type="dxa" w:w="936"/>
            <w:vAlign w:val="center"/>
            <w:shd w:fill="F5F7FA"/>
          </w:tcPr>
          <w:p>
            <w:pPr>
              <w:spacing w:after="0" w:before="0" w:line="240" w:lineRule="auto"/>
            </w:pPr>
            <w:r/>
            <w:r>
              <w:rPr>
                <w:rFonts w:ascii="Aptos" w:hAnsi="Aptos"/>
                <w:b w:val="0"/>
                <w:color w:val="111827"/>
                <w:sz w:val="12"/>
              </w:rPr>
              <w:t>$92.53</w:t>
            </w:r>
          </w:p>
        </w:tc>
        <w:tc>
          <w:tcPr>
            <w:tcW w:type="dxa" w:w="792"/>
            <w:vAlign w:val="center"/>
            <w:shd w:fill="F5F7FA"/>
          </w:tcPr>
          <w:p>
            <w:pPr>
              <w:spacing w:after="0" w:before="0" w:line="240" w:lineRule="auto"/>
            </w:pPr>
            <w:r/>
            <w:r>
              <w:rPr>
                <w:rFonts w:ascii="Aptos" w:hAnsi="Aptos"/>
                <w:b w:val="0"/>
                <w:color w:val="111827"/>
                <w:sz w:val="12"/>
              </w:rPr>
              <w:t>1,851 bps</w:t>
            </w:r>
          </w:p>
        </w:tc>
      </w:tr>
      <w:tr>
        <w:tc>
          <w:tcPr>
            <w:tcW w:type="dxa" w:w="648"/>
            <w:vAlign w:val="center"/>
          </w:tcPr>
          <w:p>
            <w:pPr>
              <w:spacing w:after="0" w:before="0" w:line="240" w:lineRule="auto"/>
            </w:pPr>
            <w:r/>
            <w:r>
              <w:rPr>
                <w:rFonts w:ascii="Aptos" w:hAnsi="Aptos"/>
                <w:b/>
                <w:color w:val="111827"/>
                <w:sz w:val="12"/>
              </w:rPr>
              <w:t>$500</w:t>
            </w:r>
          </w:p>
        </w:tc>
        <w:tc>
          <w:tcPr>
            <w:tcW w:type="dxa" w:w="1944"/>
            <w:vAlign w:val="center"/>
          </w:tcPr>
          <w:p>
            <w:pPr>
              <w:spacing w:after="0" w:before="0" w:line="240" w:lineRule="auto"/>
            </w:pPr>
            <w:r/>
            <w:r>
              <w:rPr>
                <w:rFonts w:ascii="Aptos" w:hAnsi="Aptos"/>
                <w:b w:val="0"/>
                <w:color w:val="111827"/>
                <w:sz w:val="12"/>
              </w:rPr>
              <w:t>Premium apparel/accessory ($500)</w:t>
            </w:r>
          </w:p>
        </w:tc>
        <w:tc>
          <w:tcPr>
            <w:tcW w:type="dxa" w:w="936"/>
            <w:vAlign w:val="center"/>
          </w:tcPr>
          <w:p>
            <w:pPr>
              <w:spacing w:after="0" w:before="0" w:line="240" w:lineRule="auto"/>
            </w:pPr>
            <w:r/>
            <w:r>
              <w:rPr>
                <w:rFonts w:ascii="Aptos" w:hAnsi="Aptos"/>
                <w:b w:val="0"/>
                <w:color w:val="111827"/>
                <w:sz w:val="12"/>
              </w:rPr>
              <w:t>$325.20</w:t>
            </w:r>
          </w:p>
        </w:tc>
        <w:tc>
          <w:tcPr>
            <w:tcW w:type="dxa" w:w="936"/>
            <w:vAlign w:val="center"/>
          </w:tcPr>
          <w:p>
            <w:pPr>
              <w:spacing w:after="0" w:before="0" w:line="240" w:lineRule="auto"/>
            </w:pPr>
            <w:r/>
            <w:r>
              <w:rPr>
                <w:rFonts w:ascii="Aptos" w:hAnsi="Aptos"/>
                <w:b w:val="0"/>
                <w:color w:val="111827"/>
                <w:sz w:val="12"/>
              </w:rPr>
              <w:t>$76.63</w:t>
            </w:r>
          </w:p>
        </w:tc>
        <w:tc>
          <w:tcPr>
            <w:tcW w:type="dxa" w:w="1080"/>
            <w:vAlign w:val="center"/>
          </w:tcPr>
          <w:p>
            <w:pPr>
              <w:spacing w:after="0" w:before="0" w:line="240" w:lineRule="auto"/>
            </w:pPr>
            <w:r/>
            <w:r>
              <w:rPr>
                <w:rFonts w:ascii="Aptos" w:hAnsi="Aptos"/>
                <w:b w:val="0"/>
                <w:color w:val="111827"/>
                <w:sz w:val="12"/>
              </w:rPr>
              <w:t>$248.57</w:t>
            </w:r>
          </w:p>
        </w:tc>
        <w:tc>
          <w:tcPr>
            <w:tcW w:type="dxa" w:w="720"/>
            <w:vAlign w:val="center"/>
          </w:tcPr>
          <w:p>
            <w:pPr>
              <w:spacing w:after="0" w:before="0" w:line="240" w:lineRule="auto"/>
            </w:pPr>
            <w:r/>
            <w:r>
              <w:rPr>
                <w:rFonts w:ascii="Aptos" w:hAnsi="Aptos"/>
                <w:b w:val="0"/>
                <w:color w:val="111827"/>
                <w:sz w:val="12"/>
              </w:rPr>
              <w:t>49.7%</w:t>
            </w:r>
          </w:p>
        </w:tc>
        <w:tc>
          <w:tcPr>
            <w:tcW w:type="dxa" w:w="936"/>
            <w:vAlign w:val="center"/>
          </w:tcPr>
          <w:p>
            <w:pPr>
              <w:spacing w:after="0" w:before="0" w:line="240" w:lineRule="auto"/>
            </w:pPr>
            <w:r/>
            <w:r>
              <w:rPr>
                <w:rFonts w:ascii="Aptos" w:hAnsi="Aptos"/>
                <w:b w:val="0"/>
                <w:color w:val="111827"/>
                <w:sz w:val="12"/>
              </w:rPr>
              <w:t>76.4%</w:t>
            </w:r>
          </w:p>
        </w:tc>
        <w:tc>
          <w:tcPr>
            <w:tcW w:type="dxa" w:w="648"/>
            <w:vAlign w:val="center"/>
          </w:tcPr>
          <w:p>
            <w:pPr>
              <w:spacing w:after="0" w:before="0" w:line="240" w:lineRule="auto"/>
            </w:pPr>
            <w:r/>
            <w:r>
              <w:rPr>
                <w:rFonts w:ascii="Aptos" w:hAnsi="Aptos"/>
                <w:b w:val="0"/>
                <w:color w:val="111827"/>
                <w:sz w:val="12"/>
              </w:rPr>
              <w:t>20.0%</w:t>
            </w:r>
          </w:p>
        </w:tc>
        <w:tc>
          <w:tcPr>
            <w:tcW w:type="dxa" w:w="936"/>
            <w:vAlign w:val="center"/>
          </w:tcPr>
          <w:p>
            <w:pPr>
              <w:spacing w:after="0" w:before="0" w:line="240" w:lineRule="auto"/>
            </w:pPr>
            <w:r/>
            <w:r>
              <w:rPr>
                <w:rFonts w:ascii="Aptos" w:hAnsi="Aptos"/>
                <w:b w:val="0"/>
                <w:color w:val="111827"/>
                <w:sz w:val="12"/>
              </w:rPr>
              <w:t>$49.71</w:t>
            </w:r>
          </w:p>
        </w:tc>
        <w:tc>
          <w:tcPr>
            <w:tcW w:type="dxa" w:w="792"/>
            <w:vAlign w:val="center"/>
          </w:tcPr>
          <w:p>
            <w:pPr>
              <w:spacing w:after="0" w:before="0" w:line="240" w:lineRule="auto"/>
            </w:pPr>
            <w:r/>
            <w:r>
              <w:rPr>
                <w:rFonts w:ascii="Aptos" w:hAnsi="Aptos"/>
                <w:b w:val="0"/>
                <w:color w:val="111827"/>
                <w:sz w:val="12"/>
              </w:rPr>
              <w:t>994 bps</w:t>
            </w:r>
          </w:p>
        </w:tc>
      </w:tr>
    </w:tbl>
    <w:p>
      <w:pPr>
        <w:spacing w:after="0"/>
      </w:pPr>
    </w:p>
    <w:p>
      <w:pPr>
        <w:pStyle w:val="Caption"/>
        <w:jc w:val="left"/>
      </w:pPr>
      <w:r>
        <w:rPr>
          <w:b/>
        </w:rPr>
        <w:t>Table 2. Return tax by product archetype</w:t>
      </w:r>
      <w:r>
        <w:rPr>
          <w:i/>
          <w:color w:val="6B7280"/>
        </w:rPr>
        <w:t xml:space="preserve">  Source: Model. Contribution margin is not GAAP gross margin.</w:t>
      </w:r>
    </w:p>
    <w:p>
      <w:pPr>
        <w:spacing w:after="60"/>
        <w:jc w:val="center"/>
      </w:pPr>
      <w:r>
        <w:drawing>
          <wp:inline xmlns:a="http://schemas.openxmlformats.org/drawingml/2006/main" xmlns:pic="http://schemas.openxmlformats.org/drawingml/2006/picture">
            <wp:extent cx="5897880" cy="3083800"/>
            <wp:docPr id="13" name="Picture 13"/>
            <wp:cNvGraphicFramePr>
              <a:graphicFrameLocks noChangeAspect="1"/>
            </wp:cNvGraphicFramePr>
            <a:graphic>
              <a:graphicData uri="http://schemas.openxmlformats.org/drawingml/2006/picture">
                <pic:pic>
                  <pic:nvPicPr>
                    <pic:cNvPr id="0" name="exhibit_10_freight_burden.png"/>
                    <pic:cNvPicPr/>
                  </pic:nvPicPr>
                  <pic:blipFill>
                    <a:blip r:embed="rId22"/>
                    <a:stretch>
                      <a:fillRect/>
                    </a:stretch>
                  </pic:blipFill>
                  <pic:spPr>
                    <a:xfrm>
                      <a:off x="0" y="0"/>
                      <a:ext cx="5897880" cy="3083800"/>
                    </a:xfrm>
                    <a:prstGeom prst="rect"/>
                  </pic:spPr>
                </pic:pic>
              </a:graphicData>
            </a:graphic>
          </wp:inline>
        </w:drawing>
      </w:r>
    </w:p>
    <w:p>
      <w:pPr>
        <w:pStyle w:val="Caption"/>
        <w:jc w:val="left"/>
      </w:pPr>
      <w:r>
        <w:rPr>
          <w:b/>
        </w:rPr>
        <w:t>Exhibit 10. Freight burden by product type</w:t>
      </w:r>
      <w:r>
        <w:rPr>
          <w:i/>
          <w:color w:val="6B7280"/>
        </w:rPr>
        <w:t xml:space="preserve">  Source: S17; S21-S26; Model</w:t>
      </w:r>
    </w:p>
    <w:p>
      <w:r>
        <w:rPr>
          <w:b/>
        </w:rPr>
        <w:t xml:space="preserve">The product-gross-margin sensitivity has a deliberately unusual result. </w:t>
      </w:r>
      <w:r>
        <w:t>Changing C does not change the dollar return tax under the required formula. It changes the kept-sale contribution denominator. For the $500 laptop/phone, the base return tax is 254% of kept-sale contribution; adding ten percentage points of product cost raises that ratio to roughly 418% without moving the dollar tax. The model therefore reports both dollars and percentages.</w:t>
      </w:r>
    </w:p>
    <w:p>
      <w:pPr>
        <w:spacing w:after="60"/>
        <w:jc w:val="center"/>
      </w:pPr>
      <w:r>
        <w:drawing>
          <wp:inline xmlns:a="http://schemas.openxmlformats.org/drawingml/2006/main" xmlns:pic="http://schemas.openxmlformats.org/drawingml/2006/picture">
            <wp:extent cx="5989320" cy="3239750"/>
            <wp:docPr id="14" name="Picture 14"/>
            <wp:cNvGraphicFramePr>
              <a:graphicFrameLocks noChangeAspect="1"/>
            </wp:cNvGraphicFramePr>
            <a:graphic>
              <a:graphicData uri="http://schemas.openxmlformats.org/drawingml/2006/picture">
                <pic:pic>
                  <pic:nvPicPr>
                    <pic:cNvPr id="0" name="sensitivity_top_drivers.png"/>
                    <pic:cNvPicPr/>
                  </pic:nvPicPr>
                  <pic:blipFill>
                    <a:blip r:embed="rId23"/>
                    <a:stretch>
                      <a:fillRect/>
                    </a:stretch>
                  </pic:blipFill>
                  <pic:spPr>
                    <a:xfrm>
                      <a:off x="0" y="0"/>
                      <a:ext cx="5989320" cy="3239750"/>
                    </a:xfrm>
                    <a:prstGeom prst="rect"/>
                  </pic:spPr>
                </pic:pic>
              </a:graphicData>
            </a:graphic>
          </wp:inline>
        </w:drawing>
      </w:r>
    </w:p>
    <w:p>
      <w:pPr>
        <w:pStyle w:val="Caption"/>
        <w:jc w:val="left"/>
      </w:pPr>
      <w:r>
        <w:rPr>
          <w:b/>
        </w:rPr>
        <w:t>Top adverse operational sensitivities by product</w:t>
      </w:r>
      <w:r>
        <w:rPr>
          <w:i/>
          <w:color w:val="6B7280"/>
        </w:rPr>
        <w:t xml:space="preserve">  Source: Model</w:t>
      </w:r>
    </w:p>
    <w:p>
      <w:pPr>
        <w:pStyle w:val="Heading2"/>
      </w:pPr>
      <w:r>
        <w:t>8. Fraud changes the decision</w:t>
      </w:r>
    </w:p>
    <w:p>
      <w:r>
        <w:rPr>
          <w:b/>
        </w:rPr>
        <w:t xml:space="preserve">Public fraud estimates are not clean inputs. </w:t>
      </w:r>
      <w:r>
        <w:t>The evidence package cites industry reports with different populations and definitions, including fraud, abuse and claims. The model therefore uses narrower confirmed substitution/counterfeit probabilities by product and labels them assumptions. It does not treat broad industry percentages as exact category rates. [S31, P01]</w:t>
      </w:r>
    </w:p>
    <w:p>
      <w:r>
        <w:rPr>
          <w:b/>
        </w:rPr>
        <w:t xml:space="preserve">The fraud calculation separates lost recovery from incremental administration. </w:t>
      </w:r>
      <w:r>
        <w:t>A fraudulent or substituted condition receives zero legitimate disposition recovery, so the lost recovery already enters through Qj. The variable A contains only investigation, claims and related administration. This avoids charging the same missing product value twice.</w:t>
      </w: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Expected total fraud loss</w:t>
              <w:br/>
            </w:r>
            <w:r>
              <w:rPr>
                <w:rFonts w:ascii="Aptos Mono" w:hAnsi="Aptos Mono"/>
                <w:sz w:val="20"/>
              </w:rPr>
              <w:t>p_f x (lost recovery versus correct item + fraud administration)</w:t>
            </w:r>
          </w:p>
          <w:p>
            <w:r>
              <w:rPr>
                <w:i/>
                <w:color w:val="6B7280"/>
                <w:sz w:val="16"/>
              </w:rPr>
              <w:t>In the main post-return formula, lost recovery is inside Qj; only the administration component is subtracted as A.</w:t>
            </w:r>
          </w:p>
        </w:tc>
      </w:tr>
    </w:tbl>
    <w:p>
      <w:pPr>
        <w:spacing w:after="0"/>
      </w:pPr>
    </w:p>
    <w:p>
      <w:pPr>
        <w:spacing w:after="60"/>
        <w:jc w:val="center"/>
      </w:pPr>
      <w:r>
        <w:drawing>
          <wp:inline xmlns:a="http://schemas.openxmlformats.org/drawingml/2006/main" xmlns:pic="http://schemas.openxmlformats.org/drawingml/2006/picture">
            <wp:extent cx="5806440" cy="3414510"/>
            <wp:docPr id="15" name="Picture 15"/>
            <wp:cNvGraphicFramePr>
              <a:graphicFrameLocks noChangeAspect="1"/>
            </wp:cNvGraphicFramePr>
            <a:graphic>
              <a:graphicData uri="http://schemas.openxmlformats.org/drawingml/2006/picture">
                <pic:pic>
                  <pic:nvPicPr>
                    <pic:cNvPr id="0" name="exhibit_12_fraud_sensitivity.png"/>
                    <pic:cNvPicPr/>
                  </pic:nvPicPr>
                  <pic:blipFill>
                    <a:blip r:embed="rId24"/>
                    <a:stretch>
                      <a:fillRect/>
                    </a:stretch>
                  </pic:blipFill>
                  <pic:spPr>
                    <a:xfrm>
                      <a:off x="0" y="0"/>
                      <a:ext cx="5806440" cy="3414510"/>
                    </a:xfrm>
                    <a:prstGeom prst="rect"/>
                  </pic:spPr>
                </pic:pic>
              </a:graphicData>
            </a:graphic>
          </wp:inline>
        </w:drawing>
      </w:r>
    </w:p>
    <w:p>
      <w:pPr>
        <w:pStyle w:val="Caption"/>
        <w:jc w:val="left"/>
      </w:pPr>
      <w:r>
        <w:rPr>
          <w:b/>
        </w:rPr>
        <w:t>Exhibit 12. Fraud expected-loss sensitivity</w:t>
      </w:r>
      <w:r>
        <w:rPr>
          <w:i/>
          <w:color w:val="6B7280"/>
        </w:rPr>
        <w:t xml:space="preserve">  Source: S31; Model assumptions</w:t>
      </w:r>
    </w:p>
    <w:p>
      <w:r>
        <w:rPr>
          <w:b/>
        </w:rPr>
        <w:t xml:space="preserve">Controls can cost more than they save. </w:t>
      </w:r>
      <w:r>
        <w:t>The illustrative control case adds inspection time, false-positive service cost and delayed-refund cost. It is negative for $100 footwear and headphones but positive for the $500 device and premium accessory. That is not a universal recommendation; it shows why the same fraud system should not be applied without product-level loss severity and customer-service costs.</w:t>
      </w:r>
    </w:p>
    <w:p>
      <w:pPr>
        <w:pStyle w:val="Heading2"/>
      </w:pPr>
      <w:r>
        <w:t>9. Sustainability claims meet disposition economics</w:t>
      </w:r>
    </w:p>
    <w:p>
      <w:r>
        <w:rPr>
          <w:b/>
        </w:rPr>
        <w:t xml:space="preserve">Financial recovery and environmental recovery can point in different directions. </w:t>
      </w:r>
      <w:r>
        <w:t>Opened beauty can retain material but lose resale eligibility. Furniture can retain consumer utility while becoming uneconomic to transport to a central facility. Liquidation can be the best financial route while leaving the final physical endpoint unobserved. Recycling can recover material while producing no positive net recovery to the inventory owner.</w:t>
      </w:r>
    </w:p>
    <w:p>
      <w:r>
        <w:rPr>
          <w:b/>
        </w:rPr>
        <w:t xml:space="preserve">The public claims need denominator tests. </w:t>
      </w:r>
      <w:r>
        <w:t>Amazon reports nearly 391 million items resold or donated through seller services in 2024, but the cited disclosure does not isolate customer returns or provide a denominator. Ulta clearly states a no-resale and disposal policy for used, damaged or expired returns, but it does not provide the endpoint split. Target operational materials name donation, recycling and salvage without route volumes. [S04, S08, S30]</w:t>
      </w:r>
    </w:p>
    <w:p>
      <w:pPr>
        <w:spacing w:after="60"/>
        <w:jc w:val="center"/>
      </w:pPr>
      <w:r>
        <w:drawing>
          <wp:inline xmlns:a="http://schemas.openxmlformats.org/drawingml/2006/main" xmlns:pic="http://schemas.openxmlformats.org/drawingml/2006/picture">
            <wp:extent cx="5897880" cy="3176503"/>
            <wp:docPr id="16" name="Picture 16"/>
            <wp:cNvGraphicFramePr>
              <a:graphicFrameLocks noChangeAspect="1"/>
            </wp:cNvGraphicFramePr>
            <a:graphic>
              <a:graphicData uri="http://schemas.openxmlformats.org/drawingml/2006/picture">
                <pic:pic>
                  <pic:nvPicPr>
                    <pic:cNvPr id="0" name="environmental_route_model.png"/>
                    <pic:cNvPicPr/>
                  </pic:nvPicPr>
                  <pic:blipFill>
                    <a:blip r:embed="rId25"/>
                    <a:stretch>
                      <a:fillRect/>
                    </a:stretch>
                  </pic:blipFill>
                  <pic:spPr>
                    <a:xfrm>
                      <a:off x="0" y="0"/>
                      <a:ext cx="5897880" cy="3176503"/>
                    </a:xfrm>
                    <a:prstGeom prst="rect"/>
                  </pic:spPr>
                </pic:pic>
              </a:graphicData>
            </a:graphic>
          </wp:inline>
        </w:drawing>
      </w:r>
    </w:p>
    <w:p>
      <w:pPr>
        <w:pStyle w:val="Caption"/>
        <w:jc w:val="left"/>
      </w:pPr>
      <w:r>
        <w:rPr>
          <w:b/>
        </w:rPr>
        <w:t>Modeled physical routes are not measured environmental outcomes</w:t>
      </w:r>
      <w:r>
        <w:rPr>
          <w:i/>
          <w:color w:val="6B7280"/>
        </w:rPr>
        <w:t xml:space="preserve">  Source: Model; route shares are assumptions</w:t>
      </w:r>
    </w:p>
    <w:p>
      <w:pPr>
        <w:sectPr>
          <w:headerReference w:type="default" r:id="rId9"/>
          <w:footerReference w:type="default" r:id="rId10"/>
          <w:pgSz w:w="12240" w:h="15840"/>
          <w:pgMar w:top="1008" w:right="1152" w:bottom="1008" w:left="1152" w:header="720" w:footer="720" w:gutter="0"/>
          <w:cols w:space="720"/>
          <w:titlePg/>
          <w:docGrid w:linePitch="360"/>
        </w:sectPr>
      </w:pPr>
    </w:p>
    <w:p>
      <w:pPr>
        <w:pStyle w:val="Heading2"/>
      </w:pPr>
      <w:r>
        <w:t>Exhibit 13. Sustainability claims audit</w:t>
      </w:r>
    </w:p>
    <w:tbl>
      <w:tblPr>
        <w:tblStyle w:val="TableGrid"/>
        <w:tblW w:type="auto" w:w="0"/>
        <w:jc w:val="center"/>
        <w:tblLayout w:type="fixed"/>
        <w:tblLook w:firstColumn="1" w:firstRow="1" w:lastColumn="0" w:lastRow="0" w:noHBand="0" w:noVBand="1" w:val="04A0"/>
      </w:tblPr>
      <w:tblGrid>
        <w:gridCol w:w="2037"/>
        <w:gridCol w:w="2037"/>
        <w:gridCol w:w="2037"/>
        <w:gridCol w:w="2037"/>
        <w:gridCol w:w="2037"/>
        <w:gridCol w:w="2037"/>
        <w:gridCol w:w="2037"/>
      </w:tblGrid>
      <w:tr>
        <w:trPr>
          <w:tblHeader w:val="true"/>
        </w:trPr>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3"/>
              </w:rPr>
              <w:t>Company/program</w:t>
            </w:r>
          </w:p>
        </w:tc>
        <w:tc>
          <w:tcPr>
            <w:tcW w:type="dxa" w:w="3024"/>
            <w:vAlign w:val="center"/>
            <w:shd w:fill="17324D"/>
            <w:tcBorders>
              <w:bottom w:val="single" w:sz="8" w:color="FFFFFF"/>
            </w:tcBorders>
          </w:tcPr>
          <w:p>
            <w:pPr>
              <w:spacing w:after="0" w:before="0" w:line="240" w:lineRule="auto"/>
              <w:jc w:val="left"/>
            </w:pPr>
            <w:r/>
            <w:r>
              <w:rPr>
                <w:rFonts w:ascii="Aptos" w:hAnsi="Aptos"/>
                <w:b/>
                <w:color w:val="FFFFFF"/>
                <w:sz w:val="13"/>
              </w:rPr>
              <w:t>Claim/observation</w:t>
            </w:r>
          </w:p>
        </w:tc>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3"/>
              </w:rPr>
              <w:t>Denominator?</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3"/>
              </w:rPr>
              <w:t>Returns separated?</w:t>
            </w:r>
          </w:p>
        </w:tc>
        <w:tc>
          <w:tcPr>
            <w:tcW w:type="dxa" w:w="1296"/>
            <w:vAlign w:val="center"/>
            <w:shd w:fill="17324D"/>
            <w:tcBorders>
              <w:bottom w:val="single" w:sz="8" w:color="FFFFFF"/>
            </w:tcBorders>
          </w:tcPr>
          <w:p>
            <w:pPr>
              <w:spacing w:after="0" w:before="0" w:line="240" w:lineRule="auto"/>
              <w:jc w:val="left"/>
            </w:pPr>
            <w:r/>
            <w:r>
              <w:rPr>
                <w:rFonts w:ascii="Aptos" w:hAnsi="Aptos"/>
                <w:b/>
                <w:color w:val="FFFFFF"/>
                <w:sz w:val="13"/>
              </w:rPr>
              <w:t>Final endpoint?</w:t>
            </w:r>
          </w:p>
        </w:tc>
        <w:tc>
          <w:tcPr>
            <w:tcW w:type="dxa" w:w="3312"/>
            <w:vAlign w:val="center"/>
            <w:shd w:fill="17324D"/>
            <w:tcBorders>
              <w:bottom w:val="single" w:sz="8" w:color="FFFFFF"/>
            </w:tcBorders>
          </w:tcPr>
          <w:p>
            <w:pPr>
              <w:spacing w:after="0" w:before="0" w:line="240" w:lineRule="auto"/>
              <w:jc w:val="left"/>
            </w:pPr>
            <w:r/>
            <w:r>
              <w:rPr>
                <w:rFonts w:ascii="Aptos" w:hAnsi="Aptos"/>
                <w:b/>
                <w:color w:val="FFFFFF"/>
                <w:sz w:val="13"/>
              </w:rPr>
              <w:t>Audit finding</w:t>
            </w:r>
          </w:p>
        </w:tc>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3"/>
              </w:rPr>
              <w:t>Confidence</w:t>
            </w:r>
          </w:p>
        </w:tc>
      </w:tr>
      <w:tr>
        <w:tc>
          <w:tcPr>
            <w:tcW w:type="dxa" w:w="1584"/>
            <w:vAlign w:val="center"/>
          </w:tcPr>
          <w:p>
            <w:pPr>
              <w:spacing w:after="0" w:before="0" w:line="240" w:lineRule="auto"/>
            </w:pPr>
            <w:r/>
            <w:r>
              <w:rPr>
                <w:rFonts w:ascii="Aptos" w:hAnsi="Aptos"/>
                <w:b/>
                <w:color w:val="111827"/>
                <w:sz w:val="13"/>
              </w:rPr>
              <w:t>Amazon seller recovery programs</w:t>
            </w:r>
          </w:p>
        </w:tc>
        <w:tc>
          <w:tcPr>
            <w:tcW w:type="dxa" w:w="3024"/>
            <w:vAlign w:val="center"/>
          </w:tcPr>
          <w:p>
            <w:pPr>
              <w:spacing w:after="0" w:before="0" w:line="240" w:lineRule="auto"/>
            </w:pPr>
            <w:r/>
            <w:r>
              <w:rPr>
                <w:rFonts w:ascii="Aptos" w:hAnsi="Aptos"/>
                <w:b w:val="0"/>
                <w:color w:val="111827"/>
                <w:sz w:val="13"/>
              </w:rPr>
              <w:t>Nearly 391 million items were resold or donated in the U.S. and Europe in 2024 through seller services including Grade &amp; Resell and donation.</w:t>
            </w:r>
          </w:p>
        </w:tc>
        <w:tc>
          <w:tcPr>
            <w:tcW w:type="dxa" w:w="1152"/>
            <w:vAlign w:val="center"/>
          </w:tcPr>
          <w:p>
            <w:pPr>
              <w:spacing w:after="0" w:before="0" w:line="240" w:lineRule="auto"/>
            </w:pPr>
            <w:r/>
            <w:r>
              <w:rPr>
                <w:rFonts w:ascii="Aptos" w:hAnsi="Aptos"/>
                <w:b w:val="0"/>
                <w:color w:val="111827"/>
                <w:sz w:val="13"/>
              </w:rPr>
              <w:t>No</w:t>
            </w:r>
          </w:p>
        </w:tc>
        <w:tc>
          <w:tcPr>
            <w:tcW w:type="dxa" w:w="1728"/>
            <w:vAlign w:val="center"/>
          </w:tcPr>
          <w:p>
            <w:pPr>
              <w:spacing w:after="0" w:before="0" w:line="240" w:lineRule="auto"/>
            </w:pPr>
            <w:r/>
            <w:r>
              <w:rPr>
                <w:rFonts w:ascii="Aptos" w:hAnsi="Aptos"/>
                <w:b w:val="0"/>
                <w:color w:val="111827"/>
                <w:sz w:val="13"/>
              </w:rPr>
              <w:t>No</w:t>
            </w:r>
          </w:p>
        </w:tc>
        <w:tc>
          <w:tcPr>
            <w:tcW w:type="dxa" w:w="1296"/>
            <w:vAlign w:val="center"/>
          </w:tcPr>
          <w:p>
            <w:pPr>
              <w:spacing w:after="0" w:before="0" w:line="240" w:lineRule="auto"/>
            </w:pPr>
            <w:r/>
            <w:r>
              <w:rPr>
                <w:rFonts w:ascii="Aptos" w:hAnsi="Aptos"/>
                <w:b w:val="0"/>
                <w:color w:val="111827"/>
                <w:sz w:val="13"/>
              </w:rPr>
              <w:t>Not fully</w:t>
            </w:r>
          </w:p>
        </w:tc>
        <w:tc>
          <w:tcPr>
            <w:tcW w:type="dxa" w:w="3312"/>
            <w:vAlign w:val="center"/>
          </w:tcPr>
          <w:p>
            <w:pPr>
              <w:spacing w:after="0" w:before="0" w:line="240" w:lineRule="auto"/>
            </w:pPr>
            <w:r/>
            <w:r>
              <w:rPr>
                <w:rFonts w:ascii="Aptos" w:hAnsi="Aptos"/>
                <w:b w:val="0"/>
                <w:color w:val="111827"/>
                <w:sz w:val="13"/>
              </w:rPr>
              <w:t>Large numerator proves program scale, not a customer-return resale rate or net economic recovery rate.</w:t>
            </w:r>
          </w:p>
        </w:tc>
        <w:tc>
          <w:tcPr>
            <w:tcW w:type="dxa" w:w="1584"/>
            <w:vAlign w:val="center"/>
          </w:tcPr>
          <w:p>
            <w:pPr>
              <w:spacing w:after="0" w:before="0" w:line="240" w:lineRule="auto"/>
            </w:pPr>
            <w:r/>
            <w:r>
              <w:rPr>
                <w:rFonts w:ascii="Aptos" w:hAnsi="Aptos"/>
                <w:b w:val="0"/>
                <w:color w:val="111827"/>
                <w:sz w:val="13"/>
              </w:rPr>
              <w:t>High for the numerator; low for disposition-rate inference</w:t>
            </w:r>
          </w:p>
        </w:tc>
      </w:tr>
      <w:tr>
        <w:tc>
          <w:tcPr>
            <w:tcW w:type="dxa" w:w="1584"/>
            <w:vAlign w:val="center"/>
            <w:shd w:fill="F5F7FA"/>
          </w:tcPr>
          <w:p>
            <w:pPr>
              <w:spacing w:after="0" w:before="0" w:line="240" w:lineRule="auto"/>
            </w:pPr>
            <w:r/>
            <w:r>
              <w:rPr>
                <w:rFonts w:ascii="Aptos" w:hAnsi="Aptos"/>
                <w:b/>
                <w:color w:val="111827"/>
                <w:sz w:val="13"/>
              </w:rPr>
              <w:t>Ulta Beauty returned merchandise</w:t>
            </w:r>
          </w:p>
        </w:tc>
        <w:tc>
          <w:tcPr>
            <w:tcW w:type="dxa" w:w="3024"/>
            <w:vAlign w:val="center"/>
            <w:shd w:fill="F5F7FA"/>
          </w:tcPr>
          <w:p>
            <w:pPr>
              <w:spacing w:after="0" w:before="0" w:line="240" w:lineRule="auto"/>
            </w:pPr>
            <w:r/>
            <w:r>
              <w:rPr>
                <w:rFonts w:ascii="Aptos" w:hAnsi="Aptos"/>
                <w:b w:val="0"/>
                <w:color w:val="111827"/>
                <w:sz w:val="13"/>
              </w:rPr>
              <w:t>Used, damaged, or expired returned products are not resold and are properly disposed of.</w:t>
            </w:r>
          </w:p>
        </w:tc>
        <w:tc>
          <w:tcPr>
            <w:tcW w:type="dxa" w:w="1152"/>
            <w:vAlign w:val="center"/>
            <w:shd w:fill="F5F7FA"/>
          </w:tcPr>
          <w:p>
            <w:pPr>
              <w:spacing w:after="0" w:before="0" w:line="240" w:lineRule="auto"/>
            </w:pPr>
            <w:r/>
            <w:r>
              <w:rPr>
                <w:rFonts w:ascii="Aptos" w:hAnsi="Aptos"/>
                <w:b w:val="0"/>
                <w:color w:val="111827"/>
                <w:sz w:val="13"/>
              </w:rPr>
              <w:t>No</w:t>
            </w:r>
          </w:p>
        </w:tc>
        <w:tc>
          <w:tcPr>
            <w:tcW w:type="dxa" w:w="1728"/>
            <w:vAlign w:val="center"/>
            <w:shd w:fill="F5F7FA"/>
          </w:tcPr>
          <w:p>
            <w:pPr>
              <w:spacing w:after="0" w:before="0" w:line="240" w:lineRule="auto"/>
            </w:pPr>
            <w:r/>
            <w:r>
              <w:rPr>
                <w:rFonts w:ascii="Aptos" w:hAnsi="Aptos"/>
                <w:b w:val="0"/>
                <w:color w:val="111827"/>
                <w:sz w:val="13"/>
              </w:rPr>
              <w:t>The statement is return-specific, but no volume is given</w:t>
            </w:r>
          </w:p>
        </w:tc>
        <w:tc>
          <w:tcPr>
            <w:tcW w:type="dxa" w:w="1296"/>
            <w:vAlign w:val="center"/>
            <w:shd w:fill="F5F7FA"/>
          </w:tcPr>
          <w:p>
            <w:pPr>
              <w:spacing w:after="0" w:before="0" w:line="240" w:lineRule="auto"/>
            </w:pPr>
            <w:r/>
            <w:r>
              <w:rPr>
                <w:rFonts w:ascii="Aptos" w:hAnsi="Aptos"/>
                <w:b w:val="0"/>
                <w:color w:val="111827"/>
                <w:sz w:val="13"/>
              </w:rPr>
              <w:t>No</w:t>
            </w:r>
          </w:p>
        </w:tc>
        <w:tc>
          <w:tcPr>
            <w:tcW w:type="dxa" w:w="3312"/>
            <w:vAlign w:val="center"/>
            <w:shd w:fill="F5F7FA"/>
          </w:tcPr>
          <w:p>
            <w:pPr>
              <w:spacing w:after="0" w:before="0" w:line="240" w:lineRule="auto"/>
            </w:pPr>
            <w:r/>
            <w:r>
              <w:rPr>
                <w:rFonts w:ascii="Aptos" w:hAnsi="Aptos"/>
                <w:b w:val="0"/>
                <w:color w:val="111827"/>
                <w:sz w:val="13"/>
              </w:rPr>
              <w:t>Strong evidence of commercial-value loss after integrity breaks; insufficient to distinguish recycling, hazardous handling, incineration, or landfill.</w:t>
            </w:r>
          </w:p>
        </w:tc>
        <w:tc>
          <w:tcPr>
            <w:tcW w:type="dxa" w:w="1584"/>
            <w:vAlign w:val="center"/>
            <w:shd w:fill="F5F7FA"/>
          </w:tcPr>
          <w:p>
            <w:pPr>
              <w:spacing w:after="0" w:before="0" w:line="240" w:lineRule="auto"/>
            </w:pPr>
            <w:r/>
            <w:r>
              <w:rPr>
                <w:rFonts w:ascii="Aptos" w:hAnsi="Aptos"/>
                <w:b w:val="0"/>
                <w:color w:val="111827"/>
                <w:sz w:val="13"/>
              </w:rPr>
              <w:t>High for no-resale policy; low for environmental endpoint</w:t>
            </w:r>
          </w:p>
        </w:tc>
      </w:tr>
      <w:tr>
        <w:tc>
          <w:tcPr>
            <w:tcW w:type="dxa" w:w="1584"/>
            <w:vAlign w:val="center"/>
          </w:tcPr>
          <w:p>
            <w:pPr>
              <w:spacing w:after="0" w:before="0" w:line="240" w:lineRule="auto"/>
            </w:pPr>
            <w:r/>
            <w:r>
              <w:rPr>
                <w:rFonts w:ascii="Aptos" w:hAnsi="Aptos"/>
                <w:b/>
                <w:color w:val="111827"/>
                <w:sz w:val="13"/>
              </w:rPr>
              <w:t>Target reverse-logistics operations</w:t>
            </w:r>
          </w:p>
        </w:tc>
        <w:tc>
          <w:tcPr>
            <w:tcW w:type="dxa" w:w="3024"/>
            <w:vAlign w:val="center"/>
          </w:tcPr>
          <w:p>
            <w:pPr>
              <w:spacing w:after="0" w:before="0" w:line="240" w:lineRule="auto"/>
            </w:pPr>
            <w:r/>
            <w:r>
              <w:rPr>
                <w:rFonts w:ascii="Aptos" w:hAnsi="Aptos"/>
                <w:b w:val="0"/>
                <w:color w:val="111827"/>
                <w:sz w:val="13"/>
              </w:rPr>
              <w:t>Operational materials reference donations, central return centers, electronics recycling, salvage, environmentally sensitive items, vendor credits, and inventory removals.</w:t>
            </w:r>
          </w:p>
        </w:tc>
        <w:tc>
          <w:tcPr>
            <w:tcW w:type="dxa" w:w="1152"/>
            <w:vAlign w:val="center"/>
          </w:tcPr>
          <w:p>
            <w:pPr>
              <w:spacing w:after="0" w:before="0" w:line="240" w:lineRule="auto"/>
            </w:pPr>
            <w:r/>
            <w:r>
              <w:rPr>
                <w:rFonts w:ascii="Aptos" w:hAnsi="Aptos"/>
                <w:b w:val="0"/>
                <w:color w:val="111827"/>
                <w:sz w:val="13"/>
              </w:rPr>
              <w:t>No</w:t>
            </w:r>
          </w:p>
        </w:tc>
        <w:tc>
          <w:tcPr>
            <w:tcW w:type="dxa" w:w="1728"/>
            <w:vAlign w:val="center"/>
          </w:tcPr>
          <w:p>
            <w:pPr>
              <w:spacing w:after="0" w:before="0" w:line="240" w:lineRule="auto"/>
            </w:pPr>
            <w:r/>
            <w:r>
              <w:rPr>
                <w:rFonts w:ascii="Aptos" w:hAnsi="Aptos"/>
                <w:b w:val="0"/>
                <w:color w:val="111827"/>
                <w:sz w:val="13"/>
              </w:rPr>
              <w:t>No</w:t>
            </w:r>
          </w:p>
        </w:tc>
        <w:tc>
          <w:tcPr>
            <w:tcW w:type="dxa" w:w="1296"/>
            <w:vAlign w:val="center"/>
          </w:tcPr>
          <w:p>
            <w:pPr>
              <w:spacing w:after="0" w:before="0" w:line="240" w:lineRule="auto"/>
            </w:pPr>
            <w:r/>
            <w:r>
              <w:rPr>
                <w:rFonts w:ascii="Aptos" w:hAnsi="Aptos"/>
                <w:b w:val="0"/>
                <w:color w:val="111827"/>
                <w:sz w:val="13"/>
              </w:rPr>
              <w:t>No</w:t>
            </w:r>
          </w:p>
        </w:tc>
        <w:tc>
          <w:tcPr>
            <w:tcW w:type="dxa" w:w="3312"/>
            <w:vAlign w:val="center"/>
          </w:tcPr>
          <w:p>
            <w:pPr>
              <w:spacing w:after="0" w:before="0" w:line="240" w:lineRule="auto"/>
            </w:pPr>
            <w:r/>
            <w:r>
              <w:rPr>
                <w:rFonts w:ascii="Aptos" w:hAnsi="Aptos"/>
                <w:b w:val="0"/>
                <w:color w:val="111827"/>
                <w:sz w:val="13"/>
              </w:rPr>
              <w:t>Confirms multiple routes exist, but job-task evidence cannot establish route shares or diversion performance.</w:t>
            </w:r>
          </w:p>
        </w:tc>
        <w:tc>
          <w:tcPr>
            <w:tcW w:type="dxa" w:w="1584"/>
            <w:vAlign w:val="center"/>
          </w:tcPr>
          <w:p>
            <w:pPr>
              <w:spacing w:after="0" w:before="0" w:line="240" w:lineRule="auto"/>
            </w:pPr>
            <w:r/>
            <w:r>
              <w:rPr>
                <w:rFonts w:ascii="Aptos" w:hAnsi="Aptos"/>
                <w:b w:val="0"/>
                <w:color w:val="111827"/>
                <w:sz w:val="13"/>
              </w:rPr>
              <w:t>Medium for route existence; low for quantities</w:t>
            </w:r>
          </w:p>
        </w:tc>
      </w:tr>
      <w:tr>
        <w:tc>
          <w:tcPr>
            <w:tcW w:type="dxa" w:w="1584"/>
            <w:vAlign w:val="center"/>
            <w:shd w:fill="F5F7FA"/>
          </w:tcPr>
          <w:p>
            <w:pPr>
              <w:spacing w:after="0" w:before="0" w:line="240" w:lineRule="auto"/>
            </w:pPr>
            <w:r/>
            <w:r>
              <w:rPr>
                <w:rFonts w:ascii="Aptos" w:hAnsi="Aptos"/>
                <w:b/>
                <w:color w:val="111827"/>
                <w:sz w:val="13"/>
              </w:rPr>
              <w:t>B-Stock and liquidation transfers</w:t>
            </w:r>
          </w:p>
        </w:tc>
        <w:tc>
          <w:tcPr>
            <w:tcW w:type="dxa" w:w="3024"/>
            <w:vAlign w:val="center"/>
            <w:shd w:fill="F5F7FA"/>
          </w:tcPr>
          <w:p>
            <w:pPr>
              <w:spacing w:after="0" w:before="0" w:line="240" w:lineRule="auto"/>
            </w:pPr>
            <w:r/>
            <w:r>
              <w:rPr>
                <w:rFonts w:ascii="Aptos" w:hAnsi="Aptos"/>
                <w:b w:val="0"/>
                <w:color w:val="111827"/>
                <w:sz w:val="13"/>
              </w:rPr>
              <w:t>Retailer programs move customer returns and other inventory through B2B auctions; case studies report recovery-rate improvements.</w:t>
            </w:r>
          </w:p>
        </w:tc>
        <w:tc>
          <w:tcPr>
            <w:tcW w:type="dxa" w:w="1152"/>
            <w:vAlign w:val="center"/>
            <w:shd w:fill="F5F7FA"/>
          </w:tcPr>
          <w:p>
            <w:pPr>
              <w:spacing w:after="0" w:before="0" w:line="240" w:lineRule="auto"/>
            </w:pPr>
            <w:r/>
            <w:r>
              <w:rPr>
                <w:rFonts w:ascii="Aptos" w:hAnsi="Aptos"/>
                <w:b w:val="0"/>
                <w:color w:val="111827"/>
                <w:sz w:val="13"/>
              </w:rPr>
              <w:t>Usually no program-wide denominator in cited pages</w:t>
            </w:r>
          </w:p>
        </w:tc>
        <w:tc>
          <w:tcPr>
            <w:tcW w:type="dxa" w:w="1728"/>
            <w:vAlign w:val="center"/>
            <w:shd w:fill="F5F7FA"/>
          </w:tcPr>
          <w:p>
            <w:pPr>
              <w:spacing w:after="0" w:before="0" w:line="240" w:lineRule="auto"/>
            </w:pPr>
            <w:r/>
            <w:r>
              <w:rPr>
                <w:rFonts w:ascii="Aptos" w:hAnsi="Aptos"/>
                <w:b w:val="0"/>
                <w:color w:val="111827"/>
                <w:sz w:val="13"/>
              </w:rPr>
              <w:t>Often mixed by lot or marketplace</w:t>
            </w:r>
          </w:p>
        </w:tc>
        <w:tc>
          <w:tcPr>
            <w:tcW w:type="dxa" w:w="1296"/>
            <w:vAlign w:val="center"/>
            <w:shd w:fill="F5F7FA"/>
          </w:tcPr>
          <w:p>
            <w:pPr>
              <w:spacing w:after="0" w:before="0" w:line="240" w:lineRule="auto"/>
            </w:pPr>
            <w:r/>
            <w:r>
              <w:rPr>
                <w:rFonts w:ascii="Aptos" w:hAnsi="Aptos"/>
                <w:b w:val="0"/>
                <w:color w:val="111827"/>
                <w:sz w:val="13"/>
              </w:rPr>
              <w:t>Often no after auction sale</w:t>
            </w:r>
          </w:p>
        </w:tc>
        <w:tc>
          <w:tcPr>
            <w:tcW w:type="dxa" w:w="3312"/>
            <w:vAlign w:val="center"/>
            <w:shd w:fill="F5F7FA"/>
          </w:tcPr>
          <w:p>
            <w:pPr>
              <w:spacing w:after="0" w:before="0" w:line="240" w:lineRule="auto"/>
            </w:pPr>
            <w:r/>
            <w:r>
              <w:rPr>
                <w:rFonts w:ascii="Aptos" w:hAnsi="Aptos"/>
                <w:b w:val="0"/>
                <w:color w:val="111827"/>
                <w:sz w:val="13"/>
              </w:rPr>
              <w:t>Financial transfer to a buyer is observable; final environmental disposition is usually not. Liquidation should not automatically be counted as reuse.</w:t>
            </w:r>
          </w:p>
        </w:tc>
        <w:tc>
          <w:tcPr>
            <w:tcW w:type="dxa" w:w="1584"/>
            <w:vAlign w:val="center"/>
            <w:shd w:fill="F5F7FA"/>
          </w:tcPr>
          <w:p>
            <w:pPr>
              <w:spacing w:after="0" w:before="0" w:line="240" w:lineRule="auto"/>
            </w:pPr>
            <w:r/>
            <w:r>
              <w:rPr>
                <w:rFonts w:ascii="Aptos" w:hAnsi="Aptos"/>
                <w:b w:val="0"/>
                <w:color w:val="111827"/>
                <w:sz w:val="13"/>
              </w:rPr>
              <w:t>Medium for auction transfer; low for final endpoint</w:t>
            </w:r>
          </w:p>
        </w:tc>
      </w:tr>
      <w:tr>
        <w:tc>
          <w:tcPr>
            <w:tcW w:type="dxa" w:w="1584"/>
            <w:vAlign w:val="center"/>
          </w:tcPr>
          <w:p>
            <w:pPr>
              <w:spacing w:after="0" w:before="0" w:line="240" w:lineRule="auto"/>
            </w:pPr>
            <w:r/>
            <w:r>
              <w:rPr>
                <w:rFonts w:ascii="Aptos" w:hAnsi="Aptos"/>
                <w:b/>
                <w:color w:val="111827"/>
                <w:sz w:val="13"/>
              </w:rPr>
              <w:t>Modeled product archetypes</w:t>
            </w:r>
          </w:p>
        </w:tc>
        <w:tc>
          <w:tcPr>
            <w:tcW w:type="dxa" w:w="3024"/>
            <w:vAlign w:val="center"/>
          </w:tcPr>
          <w:p>
            <w:pPr>
              <w:spacing w:after="0" w:before="0" w:line="240" w:lineRule="auto"/>
            </w:pPr>
            <w:r/>
            <w:r>
              <w:rPr>
                <w:rFonts w:ascii="Aptos" w:hAnsi="Aptos"/>
                <w:b w:val="0"/>
                <w:color w:val="111827"/>
                <w:sz w:val="13"/>
              </w:rPr>
              <w:t>The model separates direct resale, liquidation transfer, donation, recycling, disposal, and missing/fraud outcomes.</w:t>
            </w:r>
          </w:p>
        </w:tc>
        <w:tc>
          <w:tcPr>
            <w:tcW w:type="dxa" w:w="1152"/>
            <w:vAlign w:val="center"/>
          </w:tcPr>
          <w:p>
            <w:pPr>
              <w:spacing w:after="0" w:before="0" w:line="240" w:lineRule="auto"/>
            </w:pPr>
            <w:r/>
            <w:r>
              <w:rPr>
                <w:rFonts w:ascii="Aptos" w:hAnsi="Aptos"/>
                <w:b w:val="0"/>
                <w:color w:val="111827"/>
                <w:sz w:val="13"/>
              </w:rPr>
              <w:t>Model denominator is one returned order</w:t>
            </w:r>
          </w:p>
        </w:tc>
        <w:tc>
          <w:tcPr>
            <w:tcW w:type="dxa" w:w="1728"/>
            <w:vAlign w:val="center"/>
          </w:tcPr>
          <w:p>
            <w:pPr>
              <w:spacing w:after="0" w:before="0" w:line="240" w:lineRule="auto"/>
            </w:pPr>
            <w:r/>
            <w:r>
              <w:rPr>
                <w:rFonts w:ascii="Aptos" w:hAnsi="Aptos"/>
                <w:b w:val="0"/>
                <w:color w:val="111827"/>
                <w:sz w:val="13"/>
              </w:rPr>
              <w:t>Yes by construction</w:t>
            </w:r>
          </w:p>
        </w:tc>
        <w:tc>
          <w:tcPr>
            <w:tcW w:type="dxa" w:w="1296"/>
            <w:vAlign w:val="center"/>
          </w:tcPr>
          <w:p>
            <w:pPr>
              <w:spacing w:after="0" w:before="0" w:line="240" w:lineRule="auto"/>
            </w:pPr>
            <w:r/>
            <w:r>
              <w:rPr>
                <w:rFonts w:ascii="Aptos" w:hAnsi="Aptos"/>
                <w:b w:val="0"/>
                <w:color w:val="111827"/>
                <w:sz w:val="13"/>
              </w:rPr>
              <w:t>Liquidation downstream remains unobserved</w:t>
            </w:r>
          </w:p>
        </w:tc>
        <w:tc>
          <w:tcPr>
            <w:tcW w:type="dxa" w:w="3312"/>
            <w:vAlign w:val="center"/>
          </w:tcPr>
          <w:p>
            <w:pPr>
              <w:spacing w:after="0" w:before="0" w:line="240" w:lineRule="auto"/>
            </w:pPr>
            <w:r/>
            <w:r>
              <w:rPr>
                <w:rFonts w:ascii="Aptos" w:hAnsi="Aptos"/>
                <w:b w:val="0"/>
                <w:color w:val="111827"/>
                <w:sz w:val="13"/>
              </w:rPr>
              <w:t>Useful for decision economics, not a measured corporate diversion rate.</w:t>
            </w:r>
          </w:p>
        </w:tc>
        <w:tc>
          <w:tcPr>
            <w:tcW w:type="dxa" w:w="1584"/>
            <w:vAlign w:val="center"/>
          </w:tcPr>
          <w:p>
            <w:pPr>
              <w:spacing w:after="0" w:before="0" w:line="240" w:lineRule="auto"/>
            </w:pPr>
            <w:r/>
            <w:r>
              <w:rPr>
                <w:rFonts w:ascii="Aptos" w:hAnsi="Aptos"/>
                <w:b w:val="0"/>
                <w:color w:val="111827"/>
                <w:sz w:val="13"/>
              </w:rPr>
              <w:t>Model-dependent</w:t>
            </w:r>
          </w:p>
        </w:tc>
      </w:tr>
    </w:tbl>
    <w:p>
      <w:pPr>
        <w:spacing w:after="0"/>
      </w:pPr>
    </w:p>
    <w:p>
      <w:pPr>
        <w:pStyle w:val="Caption"/>
        <w:jc w:val="left"/>
      </w:pPr>
      <w:r>
        <w:rPr>
          <w:b/>
        </w:rPr>
        <w:t>Exhibit 13. Sustainability claims audit</w:t>
      </w:r>
      <w:r>
        <w:rPr>
          <w:i/>
          <w:color w:val="6B7280"/>
        </w:rPr>
        <w:t xml:space="preserve">  Source: S04; S08; S30; P01; P02</w:t>
      </w:r>
    </w:p>
    <w:p>
      <w:pPr>
        <w:sectPr>
          <w:pgSz w:w="15840" w:h="12240" w:orient="landscape"/>
          <w:pgMar w:top="792" w:right="792" w:bottom="792" w:left="792" w:header="720" w:footer="720" w:gutter="0"/>
          <w:cols w:space="720"/>
          <w:docGrid w:linePitch="360"/>
        </w:sectPr>
      </w:pPr>
    </w:p>
    <w:p>
      <w:pPr>
        <w:pStyle w:val="Kicker"/>
      </w:pPr>
      <w:r>
        <w:t>ENDING</w:t>
      </w:r>
    </w:p>
    <w:p>
      <w:r>
        <w:rPr>
          <w:b/>
        </w:rPr>
        <w:t xml:space="preserve">The headphones from the opening are economically recoverable. </w:t>
      </w:r>
      <w:r>
        <w:t>The model’s most likely route is open-box resale, with refurbishment for damaged-but-repairable units and recycling for the unsellable share. The retailer still loses most of the contribution the original sale would have produced. The customer’s refund closes one transaction; the product remains inside another market where freight, testing, time and risk determine how much value survives, and who gets to keep it.</w:t>
      </w:r>
    </w:p>
    <w:p>
      <w:pPr>
        <w:pStyle w:val="Heading1"/>
      </w:pPr>
      <w:r>
        <w:t>Detailed methodology</w:t>
      </w:r>
    </w:p>
    <w:p>
      <w:pPr>
        <w:pStyle w:val="Heading2"/>
      </w:pPr>
      <w:r>
        <w:t>Evidence protocol</w:t>
      </w:r>
    </w:p>
    <w:p>
      <w:r>
        <w:rPr>
          <w:b/>
        </w:rPr>
        <w:t xml:space="preserve">The two supplied documents were treated as the primary record. </w:t>
      </w:r>
      <w:r>
        <w:t>No new external research was added. The source ledger consolidates the original URLs cited in the package. Where a needed model input was not disclosed, the model uses an explicit proxy or assumption with low, base and high cases. No interview-derived numeric input was used.</w:t>
      </w:r>
    </w:p>
    <w:p>
      <w:pPr>
        <w:pStyle w:val="ListBullet"/>
      </w:pPr>
      <w:r>
        <w:t>Directly disclosed: filings, policy language, fee schedules and stated company metrics.</w:t>
      </w:r>
    </w:p>
    <w:p>
      <w:pPr>
        <w:pStyle w:val="ListBullet"/>
      </w:pPr>
      <w:r>
        <w:t>Calculated from disclosed data: DIM weights, auction bid percentages and accounting comparisons.</w:t>
      </w:r>
    </w:p>
    <w:p>
      <w:pPr>
        <w:pStyle w:val="ListBullet"/>
      </w:pPr>
      <w:r>
        <w:t>Market observation: public closed-auction fields and observed resale channels.</w:t>
      </w:r>
    </w:p>
    <w:p>
      <w:pPr>
        <w:pStyle w:val="ListBullet"/>
      </w:pPr>
      <w:r>
        <w:t>Proxy: public fees or market bands used to approximate an undisclosed product-level cost.</w:t>
      </w:r>
    </w:p>
    <w:p>
      <w:pPr>
        <w:pStyle w:val="ListBullet"/>
      </w:pPr>
      <w:r>
        <w:t>Assumption: condition mix, labor minutes, cost of goods, route shares, repair success and specific fraud probabilities.</w:t>
      </w:r>
    </w:p>
    <w:p>
      <w:pPr>
        <w:pStyle w:val="ListBullet"/>
      </w:pPr>
      <w:r>
        <w:t>Interview-derived: none in the current model.</w:t>
      </w:r>
    </w:p>
    <w:p>
      <w:pPr>
        <w:pStyle w:val="Heading2"/>
      </w:pPr>
      <w:r>
        <w:t>Definitions and formulas</w:t>
      </w: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Kept-sale contribution</w:t>
              <w:br/>
            </w:r>
            <w:r>
              <w:rPr>
                <w:rFonts w:ascii="Aptos Mono" w:hAnsi="Aptos Mono"/>
                <w:sz w:val="20"/>
              </w:rPr>
              <w:t>R-C-F_o-P</w:t>
            </w:r>
          </w:p>
        </w:tc>
      </w:tr>
    </w:tbl>
    <w:p>
      <w:pPr>
        <w:spacing w:after="0"/>
      </w:pP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Net recovery_j</w:t>
              <w:br/>
            </w:r>
            <w:r>
              <w:rPr>
                <w:rFonts w:ascii="Aptos Mono" w:hAnsi="Aptos Mono"/>
                <w:sz w:val="20"/>
              </w:rPr>
              <w:t>V_j-U_j-S_j-M_j-T_j-D_j</w:t>
            </w:r>
          </w:p>
        </w:tc>
      </w:tr>
    </w:tbl>
    <w:p>
      <w:pPr>
        <w:spacing w:after="0"/>
      </w:pP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PV recovery_j</w:t>
              <w:br/>
            </w:r>
            <w:r>
              <w:rPr>
                <w:rFonts w:ascii="Aptos Mono" w:hAnsi="Aptos Mono"/>
                <w:sz w:val="20"/>
              </w:rPr>
              <w:t>Net recovery_j/(1+k)^(L_j/365)</w:t>
            </w:r>
          </w:p>
        </w:tc>
      </w:tr>
    </w:tbl>
    <w:p>
      <w:pPr>
        <w:spacing w:after="0"/>
      </w:pP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Expected recovery</w:t>
              <w:br/>
            </w:r>
            <w:r>
              <w:rPr>
                <w:rFonts w:ascii="Aptos Mono" w:hAnsi="Aptos Mono"/>
                <w:sz w:val="20"/>
              </w:rPr>
              <w:t>sum_j Q_j*PV recovery_j</w:t>
            </w:r>
          </w:p>
        </w:tc>
      </w:tr>
    </w:tbl>
    <w:p>
      <w:pPr>
        <w:spacing w:after="0"/>
      </w:pP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Post-return contribution</w:t>
              <w:br/>
            </w:r>
            <w:r>
              <w:rPr>
                <w:rFonts w:ascii="Aptos Mono" w:hAnsi="Aptos Mono"/>
                <w:sz w:val="20"/>
              </w:rPr>
              <w:t>K-C-F_o-P-F_r-H-A+E(Recovery)</w:t>
            </w:r>
          </w:p>
        </w:tc>
      </w:tr>
    </w:tbl>
    <w:p>
      <w:pPr>
        <w:spacing w:after="0"/>
      </w:pP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Return tax per returned order</w:t>
              <w:br/>
            </w:r>
            <w:r>
              <w:rPr>
                <w:rFonts w:ascii="Aptos Mono" w:hAnsi="Aptos Mono"/>
                <w:sz w:val="20"/>
              </w:rPr>
              <w:t>Kept-sale contribution - Post-return contribution</w:t>
            </w:r>
          </w:p>
        </w:tc>
      </w:tr>
    </w:tbl>
    <w:p>
      <w:pPr>
        <w:spacing w:after="0"/>
      </w:pP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Expected return tax per order</w:t>
              <w:br/>
            </w:r>
            <w:r>
              <w:rPr>
                <w:rFonts w:ascii="Aptos Mono" w:hAnsi="Aptos Mono"/>
                <w:sz w:val="20"/>
              </w:rPr>
              <w:t>p_r * Return tax per returned order</w:t>
            </w:r>
          </w:p>
        </w:tc>
      </w:tr>
    </w:tbl>
    <w:p>
      <w:pPr>
        <w:spacing w:after="0"/>
      </w:pP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Retrieve rule</w:t>
              <w:br/>
            </w:r>
            <w:r>
              <w:rPr>
                <w:rFonts w:ascii="Aptos Mono" w:hAnsi="Aptos Mono"/>
                <w:sz w:val="20"/>
              </w:rPr>
              <w:t>Retrieve when E(Recovery)-F_r-H &gt; 0 before strategic overrides</w:t>
            </w:r>
          </w:p>
        </w:tc>
      </w:tr>
    </w:tbl>
    <w:p>
      <w:pPr>
        <w:spacing w:after="0"/>
      </w:pPr>
    </w:p>
    <w:tbl>
      <w:tblPr>
        <w:tblW w:type="auto" w:w="0"/>
        <w:jc w:val="center"/>
        <w:tblLook w:firstColumn="1" w:firstRow="1" w:lastColumn="0" w:lastRow="0" w:noHBand="0" w:noVBand="1" w:val="04A0"/>
      </w:tblPr>
      <w:tblGrid>
        <w:gridCol w:w="9936"/>
      </w:tblGrid>
      <w:tr>
        <w:tc>
          <w:tcPr>
            <w:tcW w:type="dxa" w:w="9936"/>
            <w:shd w:fill="F5F7FA"/>
            <w:tcBorders>
              <w:top w:val="single" w:sz="4" w:color="D9E1E8"/>
              <w:left w:val="single" w:sz="10" w:color="4A78A8"/>
              <w:bottom w:val="single" w:sz="4" w:color="D9E1E8"/>
              <w:right w:val="single" w:sz="4" w:color="D9E1E8"/>
            </w:tcBorders>
          </w:tcPr>
          <w:p>
            <w:r/>
            <w:r>
              <w:rPr>
                <w:b/>
                <w:color w:val="17324D"/>
                <w:sz w:val="18"/>
              </w:rPr>
              <w:t>Disposition rule</w:t>
              <w:br/>
            </w:r>
            <w:r>
              <w:rPr>
                <w:rFonts w:ascii="Aptos Mono" w:hAnsi="Aptos Mono"/>
                <w:sz w:val="20"/>
              </w:rPr>
              <w:t>Choose eligible d maximizing PV net recovery</w:t>
            </w:r>
          </w:p>
        </w:tc>
      </w:tr>
    </w:tbl>
    <w:p>
      <w:pPr>
        <w:spacing w:after="0"/>
      </w:pPr>
    </w:p>
    <w:p>
      <w:pPr>
        <w:pStyle w:val="Heading2"/>
      </w:pPr>
      <w:r>
        <w:t>Model architecture</w:t>
      </w:r>
    </w:p>
    <w:p>
      <w:r>
        <w:rPr>
          <w:b/>
        </w:rPr>
        <w:t xml:space="preserve">The model contains nine archetypes, seven conditions, seven logistics routes, nine dispositions and three composite recovery scenarios. </w:t>
      </w:r>
      <w:r>
        <w:t>For each product-condition pair, it calculates gross proceeds, repair/repack cost, storage, seller fees, secondary transport, disposal cost and delay. It selects the eligible route with the highest present-value net recovery. Condition probabilities then create Qj and expected recovery. The spreadsheet preserves all eligible and ineligible route rows so the selected path can be audited.</w:t>
      </w:r>
    </w:p>
    <w:p>
      <w:pPr>
        <w:pStyle w:val="ListBullet"/>
      </w:pPr>
      <w:r>
        <w:t>Low recovery: worse condition mix, 12% lower gross recovery, 25% higher reverse freight, 20% higher labor, 50% longer holding, higher fees and depreciation, lower repair success.</w:t>
      </w:r>
    </w:p>
    <w:p>
      <w:pPr>
        <w:pStyle w:val="ListBullet"/>
      </w:pPr>
      <w:r>
        <w:t>Base: category-calibrated assumptions anchored to the evidence package.</w:t>
      </w:r>
    </w:p>
    <w:p>
      <w:pPr>
        <w:pStyle w:val="ListBullet"/>
      </w:pPr>
      <w:r>
        <w:t>High recovery: better condition mix, 8% higher gross recovery, 20% lower reverse freight, lower labor/fees, shorter holding, slower depreciation and higher repair success.</w:t>
      </w:r>
    </w:p>
    <w:p>
      <w:pPr>
        <w:pStyle w:val="Heading2"/>
      </w:pPr>
      <w:r>
        <w:t>Cost treatment and double-counting controls</w:t>
      </w:r>
    </w:p>
    <w:p>
      <w:pPr>
        <w:pStyle w:val="ListBullet"/>
      </w:pPr>
      <w:r>
        <w:t>Product cost C is subtracted once in post-return contribution and never inside recovery proceeds.</w:t>
      </w:r>
    </w:p>
    <w:p>
      <w:pPr>
        <w:pStyle w:val="ListBullet"/>
      </w:pPr>
      <w:r>
        <w:t>Original outbound fulfillment Fo and original payment cost P are not subtracted inside disposition recovery. Secondary selling and shipping costs are M and T.</w:t>
      </w:r>
    </w:p>
    <w:p>
      <w:pPr>
        <w:pStyle w:val="ListBullet"/>
      </w:pPr>
      <w:r>
        <w:t>Counterfeit/missing condition reduces E(Recovery) through Qj. A contains only incremental fraud administration/claims cost, not the lost recovery already captured by Qj.</w:t>
      </w:r>
    </w:p>
    <w:p>
      <w:pPr>
        <w:pStyle w:val="ListBullet"/>
      </w:pPr>
      <w:r>
        <w:t>Storage S is physical storage/space cost. Capital delay is handled separately through PV discounting.</w:t>
      </w:r>
    </w:p>
    <w:p>
      <w:pPr>
        <w:pStyle w:val="ListBullet"/>
      </w:pPr>
      <w:r>
        <w:t>Retailer recovery is not buyer delivered cost, and buyer delivered cost is not reseller profit.</w:t>
      </w:r>
    </w:p>
    <w:p>
      <w:pPr>
        <w:pStyle w:val="Heading3"/>
      </w:pPr>
      <w:r>
        <w:t>Included costs</w:t>
      </w:r>
    </w:p>
    <w:p>
      <w:pPr>
        <w:pStyle w:val="ListBullet"/>
      </w:pPr>
      <w:r>
        <w:t>Product cost; original fulfillment/shipping; original payment/transaction; reverse freight; receiving/inspection; cleaning/testing/repair/repack; physical storage; secondary selling fees; secondary transport; disposal/recycling cost; incremental fraud admin/claims; time discount.</w:t>
      </w:r>
    </w:p>
    <w:p>
      <w:pPr>
        <w:pStyle w:val="Heading3"/>
      </w:pPr>
      <w:r>
        <w:t>Excluded costs</w:t>
      </w:r>
    </w:p>
    <w:p>
      <w:pPr>
        <w:pStyle w:val="ListBullet"/>
      </w:pPr>
      <w:r>
        <w:t>Fixed corporate overhead; customer acquisition marketing; sales tax/VAT; income-tax effects; donation tax benefits; vendor allowances unless explicitly modeled; insurance/chargeback recoveries; customer lifetime-value effects; public-relations cost; environmental externalities; unobserved post-liquidation outcomes.</w:t>
      </w:r>
    </w:p>
    <w:p>
      <w:pPr>
        <w:pStyle w:val="Heading2"/>
      </w:pPr>
      <w:r>
        <w:t>Returnless-refund and disposition thresholds</w:t>
      </w:r>
    </w:p>
    <w:p>
      <w:r>
        <w:rPr>
          <w:b/>
        </w:rPr>
        <w:t xml:space="preserve">The break-even gross recovery conditional on receiving the correct product is calculated as total retrieval and fixed processing costs divided by the correct-item probability and one minus the effective selling-fee rate. </w:t>
      </w:r>
      <w:r>
        <w:t>The model also solves for maximum reverse freight, maximum inspection minutes, maximum refurbishment cost versus the next-best route, minimum correct-item probability and the retail price at which retrieval becomes economic for the same product form.</w:t>
      </w:r>
    </w:p>
    <w:p>
      <w:pPr>
        <w:pStyle w:val="Heading1"/>
      </w:pPr>
      <w:r>
        <w:t>Unit-economic model and sensitivity</w:t>
      </w:r>
    </w:p>
    <w:p>
      <w:pPr>
        <w:pStyle w:val="Heading2"/>
      </w:pPr>
      <w:r>
        <w:t>Low, base and high recovery cases</w:t>
      </w:r>
    </w:p>
    <w:tbl>
      <w:tblPr>
        <w:tblStyle w:val="TableGrid"/>
        <w:tblW w:type="auto" w:w="0"/>
        <w:jc w:val="center"/>
        <w:tblLayout w:type="fixed"/>
        <w:tblLook w:firstColumn="1" w:firstRow="1" w:lastColumn="0" w:lastRow="0" w:noHBand="0" w:noVBand="1" w:val="04A0"/>
      </w:tblPr>
      <w:tblGrid>
        <w:gridCol w:w="1104"/>
        <w:gridCol w:w="1104"/>
        <w:gridCol w:w="1104"/>
        <w:gridCol w:w="1104"/>
        <w:gridCol w:w="1104"/>
        <w:gridCol w:w="1104"/>
        <w:gridCol w:w="1104"/>
        <w:gridCol w:w="1104"/>
        <w:gridCol w:w="1104"/>
      </w:tblGrid>
      <w:tr>
        <w:trPr>
          <w:tblHeader w:val="true"/>
        </w:trPr>
        <w:tc>
          <w:tcPr>
            <w:tcW w:type="dxa" w:w="2232"/>
            <w:vAlign w:val="center"/>
            <w:shd w:fill="17324D"/>
            <w:tcBorders>
              <w:bottom w:val="single" w:sz="8" w:color="FFFFFF"/>
            </w:tcBorders>
          </w:tcPr>
          <w:p>
            <w:pPr>
              <w:spacing w:after="0" w:before="0" w:line="240" w:lineRule="auto"/>
              <w:jc w:val="left"/>
            </w:pPr>
            <w:r/>
            <w:r>
              <w:rPr>
                <w:rFonts w:ascii="Aptos" w:hAnsi="Aptos"/>
                <w:b/>
                <w:color w:val="FFFFFF"/>
                <w:sz w:val="12"/>
              </w:rPr>
              <w:t>Product</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Scenario</w:t>
            </w:r>
          </w:p>
        </w:tc>
        <w:tc>
          <w:tcPr>
            <w:tcW w:type="dxa" w:w="864"/>
            <w:vAlign w:val="center"/>
            <w:shd w:fill="17324D"/>
            <w:tcBorders>
              <w:bottom w:val="single" w:sz="8" w:color="FFFFFF"/>
            </w:tcBorders>
          </w:tcPr>
          <w:p>
            <w:pPr>
              <w:spacing w:after="0" w:before="0" w:line="240" w:lineRule="auto"/>
              <w:jc w:val="left"/>
            </w:pPr>
            <w:r/>
            <w:r>
              <w:rPr>
                <w:rFonts w:ascii="Aptos" w:hAnsi="Aptos"/>
                <w:b/>
                <w:color w:val="FFFFFF"/>
                <w:sz w:val="12"/>
              </w:rPr>
              <w:t>E recovery</w:t>
            </w:r>
          </w:p>
        </w:tc>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2"/>
              </w:rPr>
              <w:t>Fr</w:t>
            </w:r>
          </w:p>
        </w:tc>
        <w:tc>
          <w:tcPr>
            <w:tcW w:type="dxa" w:w="576"/>
            <w:vAlign w:val="center"/>
            <w:shd w:fill="17324D"/>
            <w:tcBorders>
              <w:bottom w:val="single" w:sz="8" w:color="FFFFFF"/>
            </w:tcBorders>
          </w:tcPr>
          <w:p>
            <w:pPr>
              <w:spacing w:after="0" w:before="0" w:line="240" w:lineRule="auto"/>
              <w:jc w:val="left"/>
            </w:pPr>
            <w:r/>
            <w:r>
              <w:rPr>
                <w:rFonts w:ascii="Aptos" w:hAnsi="Aptos"/>
                <w:b/>
                <w:color w:val="FFFFFF"/>
                <w:sz w:val="12"/>
              </w:rPr>
              <w:t>H</w:t>
            </w:r>
          </w:p>
        </w:tc>
        <w:tc>
          <w:tcPr>
            <w:tcW w:type="dxa" w:w="864"/>
            <w:vAlign w:val="center"/>
            <w:shd w:fill="17324D"/>
            <w:tcBorders>
              <w:bottom w:val="single" w:sz="8" w:color="FFFFFF"/>
            </w:tcBorders>
          </w:tcPr>
          <w:p>
            <w:pPr>
              <w:spacing w:after="0" w:before="0" w:line="240" w:lineRule="auto"/>
              <w:jc w:val="left"/>
            </w:pPr>
            <w:r/>
            <w:r>
              <w:rPr>
                <w:rFonts w:ascii="Aptos" w:hAnsi="Aptos"/>
                <w:b/>
                <w:color w:val="FFFFFF"/>
                <w:sz w:val="12"/>
              </w:rPr>
              <w:t>Retrieve value</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Return tax / return</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Expected tax / order</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2"/>
              </w:rPr>
              <w:t>bps</w:t>
            </w:r>
          </w:p>
        </w:tc>
      </w:tr>
      <w:tr>
        <w:tc>
          <w:tcPr>
            <w:tcW w:type="dxa" w:w="2232"/>
            <w:vAlign w:val="center"/>
          </w:tcPr>
          <w:p>
            <w:pPr>
              <w:spacing w:after="0" w:before="0" w:line="240" w:lineRule="auto"/>
            </w:pPr>
            <w:r/>
            <w:r>
              <w:rPr>
                <w:rFonts w:ascii="Aptos" w:hAnsi="Aptos"/>
                <w:b/>
                <w:color w:val="111827"/>
                <w:sz w:val="12"/>
              </w:rPr>
              <w:t>Basic clothing item ($20)</w:t>
            </w:r>
          </w:p>
        </w:tc>
        <w:tc>
          <w:tcPr>
            <w:tcW w:type="dxa" w:w="936"/>
            <w:vAlign w:val="center"/>
          </w:tcPr>
          <w:p>
            <w:pPr>
              <w:spacing w:after="0" w:before="0" w:line="240" w:lineRule="auto"/>
            </w:pPr>
            <w:r/>
            <w:r>
              <w:rPr>
                <w:rFonts w:ascii="Aptos" w:hAnsi="Aptos"/>
                <w:b w:val="0"/>
                <w:color w:val="111827"/>
                <w:sz w:val="12"/>
              </w:rPr>
              <w:t>Low recovery</w:t>
            </w:r>
          </w:p>
        </w:tc>
        <w:tc>
          <w:tcPr>
            <w:tcW w:type="dxa" w:w="864"/>
            <w:vAlign w:val="center"/>
          </w:tcPr>
          <w:p>
            <w:pPr>
              <w:spacing w:after="0" w:before="0" w:line="240" w:lineRule="auto"/>
            </w:pPr>
            <w:r/>
            <w:r>
              <w:rPr>
                <w:rFonts w:ascii="Aptos" w:hAnsi="Aptos"/>
                <w:b w:val="0"/>
                <w:color w:val="111827"/>
                <w:sz w:val="12"/>
              </w:rPr>
              <w:t>$3.11</w:t>
            </w:r>
          </w:p>
        </w:tc>
        <w:tc>
          <w:tcPr>
            <w:tcW w:type="dxa" w:w="648"/>
            <w:vAlign w:val="center"/>
          </w:tcPr>
          <w:p>
            <w:pPr>
              <w:spacing w:after="0" w:before="0" w:line="240" w:lineRule="auto"/>
            </w:pPr>
            <w:r/>
            <w:r>
              <w:rPr>
                <w:rFonts w:ascii="Aptos" w:hAnsi="Aptos"/>
                <w:b w:val="0"/>
                <w:color w:val="111827"/>
                <w:sz w:val="12"/>
              </w:rPr>
              <w:t>$4.53</w:t>
            </w:r>
          </w:p>
        </w:tc>
        <w:tc>
          <w:tcPr>
            <w:tcW w:type="dxa" w:w="576"/>
            <w:vAlign w:val="center"/>
          </w:tcPr>
          <w:p>
            <w:pPr>
              <w:spacing w:after="0" w:before="0" w:line="240" w:lineRule="auto"/>
            </w:pPr>
            <w:r/>
            <w:r>
              <w:rPr>
                <w:rFonts w:ascii="Aptos" w:hAnsi="Aptos"/>
                <w:b w:val="0"/>
                <w:color w:val="111827"/>
                <w:sz w:val="12"/>
              </w:rPr>
              <w:t>$1.40</w:t>
            </w:r>
          </w:p>
        </w:tc>
        <w:tc>
          <w:tcPr>
            <w:tcW w:type="dxa" w:w="864"/>
            <w:vAlign w:val="center"/>
          </w:tcPr>
          <w:p>
            <w:pPr>
              <w:spacing w:after="0" w:before="0" w:line="240" w:lineRule="auto"/>
            </w:pPr>
            <w:r/>
            <w:r>
              <w:rPr>
                <w:rFonts w:ascii="Aptos" w:hAnsi="Aptos"/>
                <w:b w:val="0"/>
                <w:color w:val="111827"/>
                <w:sz w:val="12"/>
              </w:rPr>
              <w:t>$-2.83</w:t>
            </w:r>
          </w:p>
        </w:tc>
        <w:tc>
          <w:tcPr>
            <w:tcW w:type="dxa" w:w="936"/>
            <w:vAlign w:val="center"/>
          </w:tcPr>
          <w:p>
            <w:pPr>
              <w:spacing w:after="0" w:before="0" w:line="240" w:lineRule="auto"/>
            </w:pPr>
            <w:r/>
            <w:r>
              <w:rPr>
                <w:rFonts w:ascii="Aptos" w:hAnsi="Aptos"/>
                <w:b w:val="0"/>
                <w:color w:val="111827"/>
                <w:sz w:val="12"/>
              </w:rPr>
              <w:t>$22.91</w:t>
            </w:r>
          </w:p>
        </w:tc>
        <w:tc>
          <w:tcPr>
            <w:tcW w:type="dxa" w:w="936"/>
            <w:vAlign w:val="center"/>
          </w:tcPr>
          <w:p>
            <w:pPr>
              <w:spacing w:after="0" w:before="0" w:line="240" w:lineRule="auto"/>
            </w:pPr>
            <w:r/>
            <w:r>
              <w:rPr>
                <w:rFonts w:ascii="Aptos" w:hAnsi="Aptos"/>
                <w:b w:val="0"/>
                <w:color w:val="111827"/>
                <w:sz w:val="12"/>
              </w:rPr>
              <w:t>$5.73</w:t>
            </w:r>
          </w:p>
        </w:tc>
        <w:tc>
          <w:tcPr>
            <w:tcW w:type="dxa" w:w="720"/>
            <w:vAlign w:val="center"/>
          </w:tcPr>
          <w:p>
            <w:pPr>
              <w:spacing w:after="0" w:before="0" w:line="240" w:lineRule="auto"/>
            </w:pPr>
            <w:r/>
            <w:r>
              <w:rPr>
                <w:rFonts w:ascii="Aptos" w:hAnsi="Aptos"/>
                <w:b w:val="0"/>
                <w:color w:val="111827"/>
                <w:sz w:val="12"/>
              </w:rPr>
              <w:t>2,863 bps</w:t>
            </w:r>
          </w:p>
        </w:tc>
      </w:tr>
      <w:tr>
        <w:tc>
          <w:tcPr>
            <w:tcW w:type="dxa" w:w="2232"/>
            <w:vAlign w:val="center"/>
            <w:shd w:fill="F5F7FA"/>
          </w:tcPr>
          <w:p>
            <w:pPr>
              <w:spacing w:after="0" w:before="0" w:line="240" w:lineRule="auto"/>
            </w:pPr>
            <w:r/>
            <w:r>
              <w:rPr>
                <w:rFonts w:ascii="Aptos" w:hAnsi="Aptos"/>
                <w:b/>
                <w:color w:val="111827"/>
                <w:sz w:val="12"/>
              </w:rPr>
              <w:t>Basic clothing item ($20)</w:t>
            </w:r>
          </w:p>
        </w:tc>
        <w:tc>
          <w:tcPr>
            <w:tcW w:type="dxa" w:w="936"/>
            <w:vAlign w:val="center"/>
            <w:shd w:fill="F5F7FA"/>
          </w:tcPr>
          <w:p>
            <w:pPr>
              <w:spacing w:after="0" w:before="0" w:line="240" w:lineRule="auto"/>
            </w:pPr>
            <w:r/>
            <w:r>
              <w:rPr>
                <w:rFonts w:ascii="Aptos" w:hAnsi="Aptos"/>
                <w:b w:val="0"/>
                <w:color w:val="111827"/>
                <w:sz w:val="12"/>
              </w:rPr>
              <w:t>Base</w:t>
            </w:r>
          </w:p>
        </w:tc>
        <w:tc>
          <w:tcPr>
            <w:tcW w:type="dxa" w:w="864"/>
            <w:vAlign w:val="center"/>
            <w:shd w:fill="F5F7FA"/>
          </w:tcPr>
          <w:p>
            <w:pPr>
              <w:spacing w:after="0" w:before="0" w:line="240" w:lineRule="auto"/>
            </w:pPr>
            <w:r/>
            <w:r>
              <w:rPr>
                <w:rFonts w:ascii="Aptos" w:hAnsi="Aptos"/>
                <w:b w:val="0"/>
                <w:color w:val="111827"/>
                <w:sz w:val="12"/>
              </w:rPr>
              <w:t>$6.90</w:t>
            </w:r>
          </w:p>
        </w:tc>
        <w:tc>
          <w:tcPr>
            <w:tcW w:type="dxa" w:w="648"/>
            <w:vAlign w:val="center"/>
            <w:shd w:fill="F5F7FA"/>
          </w:tcPr>
          <w:p>
            <w:pPr>
              <w:spacing w:after="0" w:before="0" w:line="240" w:lineRule="auto"/>
            </w:pPr>
            <w:r/>
            <w:r>
              <w:rPr>
                <w:rFonts w:ascii="Aptos" w:hAnsi="Aptos"/>
                <w:b w:val="0"/>
                <w:color w:val="111827"/>
                <w:sz w:val="12"/>
              </w:rPr>
              <w:t>$3.62</w:t>
            </w:r>
          </w:p>
        </w:tc>
        <w:tc>
          <w:tcPr>
            <w:tcW w:type="dxa" w:w="576"/>
            <w:vAlign w:val="center"/>
            <w:shd w:fill="F5F7FA"/>
          </w:tcPr>
          <w:p>
            <w:pPr>
              <w:spacing w:after="0" w:before="0" w:line="240" w:lineRule="auto"/>
            </w:pPr>
            <w:r/>
            <w:r>
              <w:rPr>
                <w:rFonts w:ascii="Aptos" w:hAnsi="Aptos"/>
                <w:b w:val="0"/>
                <w:color w:val="111827"/>
                <w:sz w:val="12"/>
              </w:rPr>
              <w:t>$1.17</w:t>
            </w:r>
          </w:p>
        </w:tc>
        <w:tc>
          <w:tcPr>
            <w:tcW w:type="dxa" w:w="864"/>
            <w:vAlign w:val="center"/>
            <w:shd w:fill="F5F7FA"/>
          </w:tcPr>
          <w:p>
            <w:pPr>
              <w:spacing w:after="0" w:before="0" w:line="240" w:lineRule="auto"/>
            </w:pPr>
            <w:r/>
            <w:r>
              <w:rPr>
                <w:rFonts w:ascii="Aptos" w:hAnsi="Aptos"/>
                <w:b w:val="0"/>
                <w:color w:val="111827"/>
                <w:sz w:val="12"/>
              </w:rPr>
              <w:t>$2.11</w:t>
            </w:r>
          </w:p>
        </w:tc>
        <w:tc>
          <w:tcPr>
            <w:tcW w:type="dxa" w:w="936"/>
            <w:vAlign w:val="center"/>
            <w:shd w:fill="F5F7FA"/>
          </w:tcPr>
          <w:p>
            <w:pPr>
              <w:spacing w:after="0" w:before="0" w:line="240" w:lineRule="auto"/>
            </w:pPr>
            <w:r/>
            <w:r>
              <w:rPr>
                <w:rFonts w:ascii="Aptos" w:hAnsi="Aptos"/>
                <w:b w:val="0"/>
                <w:color w:val="111827"/>
                <w:sz w:val="12"/>
              </w:rPr>
              <w:t>$17.97</w:t>
            </w:r>
          </w:p>
        </w:tc>
        <w:tc>
          <w:tcPr>
            <w:tcW w:type="dxa" w:w="936"/>
            <w:vAlign w:val="center"/>
            <w:shd w:fill="F5F7FA"/>
          </w:tcPr>
          <w:p>
            <w:pPr>
              <w:spacing w:after="0" w:before="0" w:line="240" w:lineRule="auto"/>
            </w:pPr>
            <w:r/>
            <w:r>
              <w:rPr>
                <w:rFonts w:ascii="Aptos" w:hAnsi="Aptos"/>
                <w:b w:val="0"/>
                <w:color w:val="111827"/>
                <w:sz w:val="12"/>
              </w:rPr>
              <w:t>$4.49</w:t>
            </w:r>
          </w:p>
        </w:tc>
        <w:tc>
          <w:tcPr>
            <w:tcW w:type="dxa" w:w="720"/>
            <w:vAlign w:val="center"/>
            <w:shd w:fill="F5F7FA"/>
          </w:tcPr>
          <w:p>
            <w:pPr>
              <w:spacing w:after="0" w:before="0" w:line="240" w:lineRule="auto"/>
            </w:pPr>
            <w:r/>
            <w:r>
              <w:rPr>
                <w:rFonts w:ascii="Aptos" w:hAnsi="Aptos"/>
                <w:b w:val="0"/>
                <w:color w:val="111827"/>
                <w:sz w:val="12"/>
              </w:rPr>
              <w:t>2,246 bps</w:t>
            </w:r>
          </w:p>
        </w:tc>
      </w:tr>
      <w:tr>
        <w:tc>
          <w:tcPr>
            <w:tcW w:type="dxa" w:w="2232"/>
            <w:vAlign w:val="center"/>
          </w:tcPr>
          <w:p>
            <w:pPr>
              <w:spacing w:after="0" w:before="0" w:line="240" w:lineRule="auto"/>
            </w:pPr>
            <w:r/>
            <w:r>
              <w:rPr>
                <w:rFonts w:ascii="Aptos" w:hAnsi="Aptos"/>
                <w:b/>
                <w:color w:val="111827"/>
                <w:sz w:val="12"/>
              </w:rPr>
              <w:t>Basic clothing item ($20)</w:t>
            </w:r>
          </w:p>
        </w:tc>
        <w:tc>
          <w:tcPr>
            <w:tcW w:type="dxa" w:w="936"/>
            <w:vAlign w:val="center"/>
          </w:tcPr>
          <w:p>
            <w:pPr>
              <w:spacing w:after="0" w:before="0" w:line="240" w:lineRule="auto"/>
            </w:pPr>
            <w:r/>
            <w:r>
              <w:rPr>
                <w:rFonts w:ascii="Aptos" w:hAnsi="Aptos"/>
                <w:b w:val="0"/>
                <w:color w:val="111827"/>
                <w:sz w:val="12"/>
              </w:rPr>
              <w:t>High recovery</w:t>
            </w:r>
          </w:p>
        </w:tc>
        <w:tc>
          <w:tcPr>
            <w:tcW w:type="dxa" w:w="864"/>
            <w:vAlign w:val="center"/>
          </w:tcPr>
          <w:p>
            <w:pPr>
              <w:spacing w:after="0" w:before="0" w:line="240" w:lineRule="auto"/>
            </w:pPr>
            <w:r/>
            <w:r>
              <w:rPr>
                <w:rFonts w:ascii="Aptos" w:hAnsi="Aptos"/>
                <w:b w:val="0"/>
                <w:color w:val="111827"/>
                <w:sz w:val="12"/>
              </w:rPr>
              <w:t>$10.07</w:t>
            </w:r>
          </w:p>
        </w:tc>
        <w:tc>
          <w:tcPr>
            <w:tcW w:type="dxa" w:w="648"/>
            <w:vAlign w:val="center"/>
          </w:tcPr>
          <w:p>
            <w:pPr>
              <w:spacing w:after="0" w:before="0" w:line="240" w:lineRule="auto"/>
            </w:pPr>
            <w:r/>
            <w:r>
              <w:rPr>
                <w:rFonts w:ascii="Aptos" w:hAnsi="Aptos"/>
                <w:b w:val="0"/>
                <w:color w:val="111827"/>
                <w:sz w:val="12"/>
              </w:rPr>
              <w:t>$2.90</w:t>
            </w:r>
          </w:p>
        </w:tc>
        <w:tc>
          <w:tcPr>
            <w:tcW w:type="dxa" w:w="576"/>
            <w:vAlign w:val="center"/>
          </w:tcPr>
          <w:p>
            <w:pPr>
              <w:spacing w:after="0" w:before="0" w:line="240" w:lineRule="auto"/>
            </w:pPr>
            <w:r/>
            <w:r>
              <w:rPr>
                <w:rFonts w:ascii="Aptos" w:hAnsi="Aptos"/>
                <w:b w:val="0"/>
                <w:color w:val="111827"/>
                <w:sz w:val="12"/>
              </w:rPr>
              <w:t>$0.99</w:t>
            </w:r>
          </w:p>
        </w:tc>
        <w:tc>
          <w:tcPr>
            <w:tcW w:type="dxa" w:w="864"/>
            <w:vAlign w:val="center"/>
          </w:tcPr>
          <w:p>
            <w:pPr>
              <w:spacing w:after="0" w:before="0" w:line="240" w:lineRule="auto"/>
            </w:pPr>
            <w:r/>
            <w:r>
              <w:rPr>
                <w:rFonts w:ascii="Aptos" w:hAnsi="Aptos"/>
                <w:b w:val="0"/>
                <w:color w:val="111827"/>
                <w:sz w:val="12"/>
              </w:rPr>
              <w:t>$6.17</w:t>
            </w:r>
          </w:p>
        </w:tc>
        <w:tc>
          <w:tcPr>
            <w:tcW w:type="dxa" w:w="936"/>
            <w:vAlign w:val="center"/>
          </w:tcPr>
          <w:p>
            <w:pPr>
              <w:spacing w:after="0" w:before="0" w:line="240" w:lineRule="auto"/>
            </w:pPr>
            <w:r/>
            <w:r>
              <w:rPr>
                <w:rFonts w:ascii="Aptos" w:hAnsi="Aptos"/>
                <w:b w:val="0"/>
                <w:color w:val="111827"/>
                <w:sz w:val="12"/>
              </w:rPr>
              <w:t>$13.91</w:t>
            </w:r>
          </w:p>
        </w:tc>
        <w:tc>
          <w:tcPr>
            <w:tcW w:type="dxa" w:w="936"/>
            <w:vAlign w:val="center"/>
          </w:tcPr>
          <w:p>
            <w:pPr>
              <w:spacing w:after="0" w:before="0" w:line="240" w:lineRule="auto"/>
            </w:pPr>
            <w:r/>
            <w:r>
              <w:rPr>
                <w:rFonts w:ascii="Aptos" w:hAnsi="Aptos"/>
                <w:b w:val="0"/>
                <w:color w:val="111827"/>
                <w:sz w:val="12"/>
              </w:rPr>
              <w:t>$3.48</w:t>
            </w:r>
          </w:p>
        </w:tc>
        <w:tc>
          <w:tcPr>
            <w:tcW w:type="dxa" w:w="720"/>
            <w:vAlign w:val="center"/>
          </w:tcPr>
          <w:p>
            <w:pPr>
              <w:spacing w:after="0" w:before="0" w:line="240" w:lineRule="auto"/>
            </w:pPr>
            <w:r/>
            <w:r>
              <w:rPr>
                <w:rFonts w:ascii="Aptos" w:hAnsi="Aptos"/>
                <w:b w:val="0"/>
                <w:color w:val="111827"/>
                <w:sz w:val="12"/>
              </w:rPr>
              <w:t>1,738 bps</w:t>
            </w:r>
          </w:p>
        </w:tc>
      </w:tr>
      <w:tr>
        <w:tc>
          <w:tcPr>
            <w:tcW w:type="dxa" w:w="2232"/>
            <w:vAlign w:val="center"/>
            <w:shd w:fill="F5F7FA"/>
          </w:tcPr>
          <w:p>
            <w:pPr>
              <w:spacing w:after="0" w:before="0" w:line="240" w:lineRule="auto"/>
            </w:pPr>
            <w:r/>
            <w:r>
              <w:rPr>
                <w:rFonts w:ascii="Aptos" w:hAnsi="Aptos"/>
                <w:b/>
                <w:color w:val="111827"/>
                <w:sz w:val="12"/>
              </w:rPr>
              <w:t>Cosmetic/personal-care item ($20)</w:t>
            </w:r>
          </w:p>
        </w:tc>
        <w:tc>
          <w:tcPr>
            <w:tcW w:type="dxa" w:w="936"/>
            <w:vAlign w:val="center"/>
            <w:shd w:fill="F5F7FA"/>
          </w:tcPr>
          <w:p>
            <w:pPr>
              <w:spacing w:after="0" w:before="0" w:line="240" w:lineRule="auto"/>
            </w:pPr>
            <w:r/>
            <w:r>
              <w:rPr>
                <w:rFonts w:ascii="Aptos" w:hAnsi="Aptos"/>
                <w:b w:val="0"/>
                <w:color w:val="111827"/>
                <w:sz w:val="12"/>
              </w:rPr>
              <w:t>Low recovery</w:t>
            </w:r>
          </w:p>
        </w:tc>
        <w:tc>
          <w:tcPr>
            <w:tcW w:type="dxa" w:w="864"/>
            <w:vAlign w:val="center"/>
            <w:shd w:fill="F5F7FA"/>
          </w:tcPr>
          <w:p>
            <w:pPr>
              <w:spacing w:after="0" w:before="0" w:line="240" w:lineRule="auto"/>
            </w:pPr>
            <w:r/>
            <w:r>
              <w:rPr>
                <w:rFonts w:ascii="Aptos" w:hAnsi="Aptos"/>
                <w:b w:val="0"/>
                <w:color w:val="111827"/>
                <w:sz w:val="12"/>
              </w:rPr>
              <w:t>$0.96</w:t>
            </w:r>
          </w:p>
        </w:tc>
        <w:tc>
          <w:tcPr>
            <w:tcW w:type="dxa" w:w="648"/>
            <w:vAlign w:val="center"/>
            <w:shd w:fill="F5F7FA"/>
          </w:tcPr>
          <w:p>
            <w:pPr>
              <w:spacing w:after="0" w:before="0" w:line="240" w:lineRule="auto"/>
            </w:pPr>
            <w:r/>
            <w:r>
              <w:rPr>
                <w:rFonts w:ascii="Aptos" w:hAnsi="Aptos"/>
                <w:b w:val="0"/>
                <w:color w:val="111827"/>
                <w:sz w:val="12"/>
              </w:rPr>
              <w:t>$4.03</w:t>
            </w:r>
          </w:p>
        </w:tc>
        <w:tc>
          <w:tcPr>
            <w:tcW w:type="dxa" w:w="576"/>
            <w:vAlign w:val="center"/>
            <w:shd w:fill="F5F7FA"/>
          </w:tcPr>
          <w:p>
            <w:pPr>
              <w:spacing w:after="0" w:before="0" w:line="240" w:lineRule="auto"/>
            </w:pPr>
            <w:r/>
            <w:r>
              <w:rPr>
                <w:rFonts w:ascii="Aptos" w:hAnsi="Aptos"/>
                <w:b w:val="0"/>
                <w:color w:val="111827"/>
                <w:sz w:val="12"/>
              </w:rPr>
              <w:t>$0.84</w:t>
            </w:r>
          </w:p>
        </w:tc>
        <w:tc>
          <w:tcPr>
            <w:tcW w:type="dxa" w:w="864"/>
            <w:vAlign w:val="center"/>
            <w:shd w:fill="F5F7FA"/>
          </w:tcPr>
          <w:p>
            <w:pPr>
              <w:spacing w:after="0" w:before="0" w:line="240" w:lineRule="auto"/>
            </w:pPr>
            <w:r/>
            <w:r>
              <w:rPr>
                <w:rFonts w:ascii="Aptos" w:hAnsi="Aptos"/>
                <w:b w:val="0"/>
                <w:color w:val="111827"/>
                <w:sz w:val="12"/>
              </w:rPr>
              <w:t>$-3.91</w:t>
            </w:r>
          </w:p>
        </w:tc>
        <w:tc>
          <w:tcPr>
            <w:tcW w:type="dxa" w:w="936"/>
            <w:vAlign w:val="center"/>
            <w:shd w:fill="F5F7FA"/>
          </w:tcPr>
          <w:p>
            <w:pPr>
              <w:spacing w:after="0" w:before="0" w:line="240" w:lineRule="auto"/>
            </w:pPr>
            <w:r/>
            <w:r>
              <w:rPr>
                <w:rFonts w:ascii="Aptos" w:hAnsi="Aptos"/>
                <w:b w:val="0"/>
                <w:color w:val="111827"/>
                <w:sz w:val="12"/>
              </w:rPr>
              <w:t>$23.94</w:t>
            </w:r>
          </w:p>
        </w:tc>
        <w:tc>
          <w:tcPr>
            <w:tcW w:type="dxa" w:w="936"/>
            <w:vAlign w:val="center"/>
            <w:shd w:fill="F5F7FA"/>
          </w:tcPr>
          <w:p>
            <w:pPr>
              <w:spacing w:after="0" w:before="0" w:line="240" w:lineRule="auto"/>
            </w:pPr>
            <w:r/>
            <w:r>
              <w:rPr>
                <w:rFonts w:ascii="Aptos" w:hAnsi="Aptos"/>
                <w:b w:val="0"/>
                <w:color w:val="111827"/>
                <w:sz w:val="12"/>
              </w:rPr>
              <w:t>$2.39</w:t>
            </w:r>
          </w:p>
        </w:tc>
        <w:tc>
          <w:tcPr>
            <w:tcW w:type="dxa" w:w="720"/>
            <w:vAlign w:val="center"/>
            <w:shd w:fill="F5F7FA"/>
          </w:tcPr>
          <w:p>
            <w:pPr>
              <w:spacing w:after="0" w:before="0" w:line="240" w:lineRule="auto"/>
            </w:pPr>
            <w:r/>
            <w:r>
              <w:rPr>
                <w:rFonts w:ascii="Aptos" w:hAnsi="Aptos"/>
                <w:b w:val="0"/>
                <w:color w:val="111827"/>
                <w:sz w:val="12"/>
              </w:rPr>
              <w:t>1,197 bps</w:t>
            </w:r>
          </w:p>
        </w:tc>
      </w:tr>
      <w:tr>
        <w:tc>
          <w:tcPr>
            <w:tcW w:type="dxa" w:w="2232"/>
            <w:vAlign w:val="center"/>
          </w:tcPr>
          <w:p>
            <w:pPr>
              <w:spacing w:after="0" w:before="0" w:line="240" w:lineRule="auto"/>
            </w:pPr>
            <w:r/>
            <w:r>
              <w:rPr>
                <w:rFonts w:ascii="Aptos" w:hAnsi="Aptos"/>
                <w:b/>
                <w:color w:val="111827"/>
                <w:sz w:val="12"/>
              </w:rPr>
              <w:t>Cosmetic/personal-care item ($20)</w:t>
            </w:r>
          </w:p>
        </w:tc>
        <w:tc>
          <w:tcPr>
            <w:tcW w:type="dxa" w:w="936"/>
            <w:vAlign w:val="center"/>
          </w:tcPr>
          <w:p>
            <w:pPr>
              <w:spacing w:after="0" w:before="0" w:line="240" w:lineRule="auto"/>
            </w:pPr>
            <w:r/>
            <w:r>
              <w:rPr>
                <w:rFonts w:ascii="Aptos" w:hAnsi="Aptos"/>
                <w:b w:val="0"/>
                <w:color w:val="111827"/>
                <w:sz w:val="12"/>
              </w:rPr>
              <w:t>Base</w:t>
            </w:r>
          </w:p>
        </w:tc>
        <w:tc>
          <w:tcPr>
            <w:tcW w:type="dxa" w:w="864"/>
            <w:vAlign w:val="center"/>
          </w:tcPr>
          <w:p>
            <w:pPr>
              <w:spacing w:after="0" w:before="0" w:line="240" w:lineRule="auto"/>
            </w:pPr>
            <w:r/>
            <w:r>
              <w:rPr>
                <w:rFonts w:ascii="Aptos" w:hAnsi="Aptos"/>
                <w:b w:val="0"/>
                <w:color w:val="111827"/>
                <w:sz w:val="12"/>
              </w:rPr>
              <w:t>$3.64</w:t>
            </w:r>
          </w:p>
        </w:tc>
        <w:tc>
          <w:tcPr>
            <w:tcW w:type="dxa" w:w="648"/>
            <w:vAlign w:val="center"/>
          </w:tcPr>
          <w:p>
            <w:pPr>
              <w:spacing w:after="0" w:before="0" w:line="240" w:lineRule="auto"/>
            </w:pPr>
            <w:r/>
            <w:r>
              <w:rPr>
                <w:rFonts w:ascii="Aptos" w:hAnsi="Aptos"/>
                <w:b w:val="0"/>
                <w:color w:val="111827"/>
                <w:sz w:val="12"/>
              </w:rPr>
              <w:t>$3.23</w:t>
            </w:r>
          </w:p>
        </w:tc>
        <w:tc>
          <w:tcPr>
            <w:tcW w:type="dxa" w:w="576"/>
            <w:vAlign w:val="center"/>
          </w:tcPr>
          <w:p>
            <w:pPr>
              <w:spacing w:after="0" w:before="0" w:line="240" w:lineRule="auto"/>
            </w:pPr>
            <w:r/>
            <w:r>
              <w:rPr>
                <w:rFonts w:ascii="Aptos" w:hAnsi="Aptos"/>
                <w:b w:val="0"/>
                <w:color w:val="111827"/>
                <w:sz w:val="12"/>
              </w:rPr>
              <w:t>$0.70</w:t>
            </w:r>
          </w:p>
        </w:tc>
        <w:tc>
          <w:tcPr>
            <w:tcW w:type="dxa" w:w="864"/>
            <w:vAlign w:val="center"/>
          </w:tcPr>
          <w:p>
            <w:pPr>
              <w:spacing w:after="0" w:before="0" w:line="240" w:lineRule="auto"/>
            </w:pPr>
            <w:r/>
            <w:r>
              <w:rPr>
                <w:rFonts w:ascii="Aptos" w:hAnsi="Aptos"/>
                <w:b w:val="0"/>
                <w:color w:val="111827"/>
                <w:sz w:val="12"/>
              </w:rPr>
              <w:t>$-0.28</w:t>
            </w:r>
          </w:p>
        </w:tc>
        <w:tc>
          <w:tcPr>
            <w:tcW w:type="dxa" w:w="936"/>
            <w:vAlign w:val="center"/>
          </w:tcPr>
          <w:p>
            <w:pPr>
              <w:spacing w:after="0" w:before="0" w:line="240" w:lineRule="auto"/>
            </w:pPr>
            <w:r/>
            <w:r>
              <w:rPr>
                <w:rFonts w:ascii="Aptos" w:hAnsi="Aptos"/>
                <w:b w:val="0"/>
                <w:color w:val="111827"/>
                <w:sz w:val="12"/>
              </w:rPr>
              <w:t>$20.31</w:t>
            </w:r>
          </w:p>
        </w:tc>
        <w:tc>
          <w:tcPr>
            <w:tcW w:type="dxa" w:w="936"/>
            <w:vAlign w:val="center"/>
          </w:tcPr>
          <w:p>
            <w:pPr>
              <w:spacing w:after="0" w:before="0" w:line="240" w:lineRule="auto"/>
            </w:pPr>
            <w:r/>
            <w:r>
              <w:rPr>
                <w:rFonts w:ascii="Aptos" w:hAnsi="Aptos"/>
                <w:b w:val="0"/>
                <w:color w:val="111827"/>
                <w:sz w:val="12"/>
              </w:rPr>
              <w:t>$2.03</w:t>
            </w:r>
          </w:p>
        </w:tc>
        <w:tc>
          <w:tcPr>
            <w:tcW w:type="dxa" w:w="720"/>
            <w:vAlign w:val="center"/>
          </w:tcPr>
          <w:p>
            <w:pPr>
              <w:spacing w:after="0" w:before="0" w:line="240" w:lineRule="auto"/>
            </w:pPr>
            <w:r/>
            <w:r>
              <w:rPr>
                <w:rFonts w:ascii="Aptos" w:hAnsi="Aptos"/>
                <w:b w:val="0"/>
                <w:color w:val="111827"/>
                <w:sz w:val="12"/>
              </w:rPr>
              <w:t>1,016 bps</w:t>
            </w:r>
          </w:p>
        </w:tc>
      </w:tr>
      <w:tr>
        <w:tc>
          <w:tcPr>
            <w:tcW w:type="dxa" w:w="2232"/>
            <w:vAlign w:val="center"/>
            <w:shd w:fill="F5F7FA"/>
          </w:tcPr>
          <w:p>
            <w:pPr>
              <w:spacing w:after="0" w:before="0" w:line="240" w:lineRule="auto"/>
            </w:pPr>
            <w:r/>
            <w:r>
              <w:rPr>
                <w:rFonts w:ascii="Aptos" w:hAnsi="Aptos"/>
                <w:b/>
                <w:color w:val="111827"/>
                <w:sz w:val="12"/>
              </w:rPr>
              <w:t>Cosmetic/personal-care item ($20)</w:t>
            </w:r>
          </w:p>
        </w:tc>
        <w:tc>
          <w:tcPr>
            <w:tcW w:type="dxa" w:w="936"/>
            <w:vAlign w:val="center"/>
            <w:shd w:fill="F5F7FA"/>
          </w:tcPr>
          <w:p>
            <w:pPr>
              <w:spacing w:after="0" w:before="0" w:line="240" w:lineRule="auto"/>
            </w:pPr>
            <w:r/>
            <w:r>
              <w:rPr>
                <w:rFonts w:ascii="Aptos" w:hAnsi="Aptos"/>
                <w:b w:val="0"/>
                <w:color w:val="111827"/>
                <w:sz w:val="12"/>
              </w:rPr>
              <w:t>High recovery</w:t>
            </w:r>
          </w:p>
        </w:tc>
        <w:tc>
          <w:tcPr>
            <w:tcW w:type="dxa" w:w="864"/>
            <w:vAlign w:val="center"/>
            <w:shd w:fill="F5F7FA"/>
          </w:tcPr>
          <w:p>
            <w:pPr>
              <w:spacing w:after="0" w:before="0" w:line="240" w:lineRule="auto"/>
            </w:pPr>
            <w:r/>
            <w:r>
              <w:rPr>
                <w:rFonts w:ascii="Aptos" w:hAnsi="Aptos"/>
                <w:b w:val="0"/>
                <w:color w:val="111827"/>
                <w:sz w:val="12"/>
              </w:rPr>
              <w:t>$6.09</w:t>
            </w:r>
          </w:p>
        </w:tc>
        <w:tc>
          <w:tcPr>
            <w:tcW w:type="dxa" w:w="648"/>
            <w:vAlign w:val="center"/>
            <w:shd w:fill="F5F7FA"/>
          </w:tcPr>
          <w:p>
            <w:pPr>
              <w:spacing w:after="0" w:before="0" w:line="240" w:lineRule="auto"/>
            </w:pPr>
            <w:r/>
            <w:r>
              <w:rPr>
                <w:rFonts w:ascii="Aptos" w:hAnsi="Aptos"/>
                <w:b w:val="0"/>
                <w:color w:val="111827"/>
                <w:sz w:val="12"/>
              </w:rPr>
              <w:t>$2.58</w:t>
            </w:r>
          </w:p>
        </w:tc>
        <w:tc>
          <w:tcPr>
            <w:tcW w:type="dxa" w:w="576"/>
            <w:vAlign w:val="center"/>
            <w:shd w:fill="F5F7FA"/>
          </w:tcPr>
          <w:p>
            <w:pPr>
              <w:spacing w:after="0" w:before="0" w:line="240" w:lineRule="auto"/>
            </w:pPr>
            <w:r/>
            <w:r>
              <w:rPr>
                <w:rFonts w:ascii="Aptos" w:hAnsi="Aptos"/>
                <w:b w:val="0"/>
                <w:color w:val="111827"/>
                <w:sz w:val="12"/>
              </w:rPr>
              <w:t>$0.60</w:t>
            </w:r>
          </w:p>
        </w:tc>
        <w:tc>
          <w:tcPr>
            <w:tcW w:type="dxa" w:w="864"/>
            <w:vAlign w:val="center"/>
            <w:shd w:fill="F5F7FA"/>
          </w:tcPr>
          <w:p>
            <w:pPr>
              <w:spacing w:after="0" w:before="0" w:line="240" w:lineRule="auto"/>
            </w:pPr>
            <w:r/>
            <w:r>
              <w:rPr>
                <w:rFonts w:ascii="Aptos" w:hAnsi="Aptos"/>
                <w:b w:val="0"/>
                <w:color w:val="111827"/>
                <w:sz w:val="12"/>
              </w:rPr>
              <w:t>$2.92</w:t>
            </w:r>
          </w:p>
        </w:tc>
        <w:tc>
          <w:tcPr>
            <w:tcW w:type="dxa" w:w="936"/>
            <w:vAlign w:val="center"/>
            <w:shd w:fill="F5F7FA"/>
          </w:tcPr>
          <w:p>
            <w:pPr>
              <w:spacing w:after="0" w:before="0" w:line="240" w:lineRule="auto"/>
            </w:pPr>
            <w:r/>
            <w:r>
              <w:rPr>
                <w:rFonts w:ascii="Aptos" w:hAnsi="Aptos"/>
                <w:b w:val="0"/>
                <w:color w:val="111827"/>
                <w:sz w:val="12"/>
              </w:rPr>
              <w:t>$17.11</w:t>
            </w:r>
          </w:p>
        </w:tc>
        <w:tc>
          <w:tcPr>
            <w:tcW w:type="dxa" w:w="936"/>
            <w:vAlign w:val="center"/>
            <w:shd w:fill="F5F7FA"/>
          </w:tcPr>
          <w:p>
            <w:pPr>
              <w:spacing w:after="0" w:before="0" w:line="240" w:lineRule="auto"/>
            </w:pPr>
            <w:r/>
            <w:r>
              <w:rPr>
                <w:rFonts w:ascii="Aptos" w:hAnsi="Aptos"/>
                <w:b w:val="0"/>
                <w:color w:val="111827"/>
                <w:sz w:val="12"/>
              </w:rPr>
              <w:t>$1.71</w:t>
            </w:r>
          </w:p>
        </w:tc>
        <w:tc>
          <w:tcPr>
            <w:tcW w:type="dxa" w:w="720"/>
            <w:vAlign w:val="center"/>
            <w:shd w:fill="F5F7FA"/>
          </w:tcPr>
          <w:p>
            <w:pPr>
              <w:spacing w:after="0" w:before="0" w:line="240" w:lineRule="auto"/>
            </w:pPr>
            <w:r/>
            <w:r>
              <w:rPr>
                <w:rFonts w:ascii="Aptos" w:hAnsi="Aptos"/>
                <w:b w:val="0"/>
                <w:color w:val="111827"/>
                <w:sz w:val="12"/>
              </w:rPr>
              <w:t>856 bps</w:t>
            </w:r>
          </w:p>
        </w:tc>
      </w:tr>
      <w:tr>
        <w:tc>
          <w:tcPr>
            <w:tcW w:type="dxa" w:w="2232"/>
            <w:vAlign w:val="center"/>
          </w:tcPr>
          <w:p>
            <w:pPr>
              <w:spacing w:after="0" w:before="0" w:line="240" w:lineRule="auto"/>
            </w:pPr>
            <w:r/>
            <w:r>
              <w:rPr>
                <w:rFonts w:ascii="Aptos" w:hAnsi="Aptos"/>
                <w:b/>
                <w:color w:val="111827"/>
                <w:sz w:val="12"/>
              </w:rPr>
              <w:t>Small household product ($20)</w:t>
            </w:r>
          </w:p>
        </w:tc>
        <w:tc>
          <w:tcPr>
            <w:tcW w:type="dxa" w:w="936"/>
            <w:vAlign w:val="center"/>
          </w:tcPr>
          <w:p>
            <w:pPr>
              <w:spacing w:after="0" w:before="0" w:line="240" w:lineRule="auto"/>
            </w:pPr>
            <w:r/>
            <w:r>
              <w:rPr>
                <w:rFonts w:ascii="Aptos" w:hAnsi="Aptos"/>
                <w:b w:val="0"/>
                <w:color w:val="111827"/>
                <w:sz w:val="12"/>
              </w:rPr>
              <w:t>Low recovery</w:t>
            </w:r>
          </w:p>
        </w:tc>
        <w:tc>
          <w:tcPr>
            <w:tcW w:type="dxa" w:w="864"/>
            <w:vAlign w:val="center"/>
          </w:tcPr>
          <w:p>
            <w:pPr>
              <w:spacing w:after="0" w:before="0" w:line="240" w:lineRule="auto"/>
            </w:pPr>
            <w:r/>
            <w:r>
              <w:rPr>
                <w:rFonts w:ascii="Aptos" w:hAnsi="Aptos"/>
                <w:b w:val="0"/>
                <w:color w:val="111827"/>
                <w:sz w:val="12"/>
              </w:rPr>
              <w:t>$0.73</w:t>
            </w:r>
          </w:p>
        </w:tc>
        <w:tc>
          <w:tcPr>
            <w:tcW w:type="dxa" w:w="648"/>
            <w:vAlign w:val="center"/>
          </w:tcPr>
          <w:p>
            <w:pPr>
              <w:spacing w:after="0" w:before="0" w:line="240" w:lineRule="auto"/>
            </w:pPr>
            <w:r/>
            <w:r>
              <w:rPr>
                <w:rFonts w:ascii="Aptos" w:hAnsi="Aptos"/>
                <w:b w:val="0"/>
                <w:color w:val="111827"/>
                <w:sz w:val="12"/>
              </w:rPr>
              <w:t>$8.95</w:t>
            </w:r>
          </w:p>
        </w:tc>
        <w:tc>
          <w:tcPr>
            <w:tcW w:type="dxa" w:w="576"/>
            <w:vAlign w:val="center"/>
          </w:tcPr>
          <w:p>
            <w:pPr>
              <w:spacing w:after="0" w:before="0" w:line="240" w:lineRule="auto"/>
            </w:pPr>
            <w:r/>
            <w:r>
              <w:rPr>
                <w:rFonts w:ascii="Aptos" w:hAnsi="Aptos"/>
                <w:b w:val="0"/>
                <w:color w:val="111827"/>
                <w:sz w:val="12"/>
              </w:rPr>
              <w:t>$1.12</w:t>
            </w:r>
          </w:p>
        </w:tc>
        <w:tc>
          <w:tcPr>
            <w:tcW w:type="dxa" w:w="864"/>
            <w:vAlign w:val="center"/>
          </w:tcPr>
          <w:p>
            <w:pPr>
              <w:spacing w:after="0" w:before="0" w:line="240" w:lineRule="auto"/>
            </w:pPr>
            <w:r/>
            <w:r>
              <w:rPr>
                <w:rFonts w:ascii="Aptos" w:hAnsi="Aptos"/>
                <w:b w:val="0"/>
                <w:color w:val="111827"/>
                <w:sz w:val="12"/>
              </w:rPr>
              <w:t>$-9.34</w:t>
            </w:r>
          </w:p>
        </w:tc>
        <w:tc>
          <w:tcPr>
            <w:tcW w:type="dxa" w:w="936"/>
            <w:vAlign w:val="center"/>
          </w:tcPr>
          <w:p>
            <w:pPr>
              <w:spacing w:after="0" w:before="0" w:line="240" w:lineRule="auto"/>
            </w:pPr>
            <w:r/>
            <w:r>
              <w:rPr>
                <w:rFonts w:ascii="Aptos" w:hAnsi="Aptos"/>
                <w:b w:val="0"/>
                <w:color w:val="111827"/>
                <w:sz w:val="12"/>
              </w:rPr>
              <w:t>$29.38</w:t>
            </w:r>
          </w:p>
        </w:tc>
        <w:tc>
          <w:tcPr>
            <w:tcW w:type="dxa" w:w="936"/>
            <w:vAlign w:val="center"/>
          </w:tcPr>
          <w:p>
            <w:pPr>
              <w:spacing w:after="0" w:before="0" w:line="240" w:lineRule="auto"/>
            </w:pPr>
            <w:r/>
            <w:r>
              <w:rPr>
                <w:rFonts w:ascii="Aptos" w:hAnsi="Aptos"/>
                <w:b w:val="0"/>
                <w:color w:val="111827"/>
                <w:sz w:val="12"/>
              </w:rPr>
              <w:t>$3.53</w:t>
            </w:r>
          </w:p>
        </w:tc>
        <w:tc>
          <w:tcPr>
            <w:tcW w:type="dxa" w:w="720"/>
            <w:vAlign w:val="center"/>
          </w:tcPr>
          <w:p>
            <w:pPr>
              <w:spacing w:after="0" w:before="0" w:line="240" w:lineRule="auto"/>
            </w:pPr>
            <w:r/>
            <w:r>
              <w:rPr>
                <w:rFonts w:ascii="Aptos" w:hAnsi="Aptos"/>
                <w:b w:val="0"/>
                <w:color w:val="111827"/>
                <w:sz w:val="12"/>
              </w:rPr>
              <w:t>1,763 bps</w:t>
            </w:r>
          </w:p>
        </w:tc>
      </w:tr>
      <w:tr>
        <w:tc>
          <w:tcPr>
            <w:tcW w:type="dxa" w:w="2232"/>
            <w:vAlign w:val="center"/>
            <w:shd w:fill="F5F7FA"/>
          </w:tcPr>
          <w:p>
            <w:pPr>
              <w:spacing w:after="0" w:before="0" w:line="240" w:lineRule="auto"/>
            </w:pPr>
            <w:r/>
            <w:r>
              <w:rPr>
                <w:rFonts w:ascii="Aptos" w:hAnsi="Aptos"/>
                <w:b/>
                <w:color w:val="111827"/>
                <w:sz w:val="12"/>
              </w:rPr>
              <w:t>Small household product ($20)</w:t>
            </w:r>
          </w:p>
        </w:tc>
        <w:tc>
          <w:tcPr>
            <w:tcW w:type="dxa" w:w="936"/>
            <w:vAlign w:val="center"/>
            <w:shd w:fill="F5F7FA"/>
          </w:tcPr>
          <w:p>
            <w:pPr>
              <w:spacing w:after="0" w:before="0" w:line="240" w:lineRule="auto"/>
            </w:pPr>
            <w:r/>
            <w:r>
              <w:rPr>
                <w:rFonts w:ascii="Aptos" w:hAnsi="Aptos"/>
                <w:b w:val="0"/>
                <w:color w:val="111827"/>
                <w:sz w:val="12"/>
              </w:rPr>
              <w:t>Base</w:t>
            </w:r>
          </w:p>
        </w:tc>
        <w:tc>
          <w:tcPr>
            <w:tcW w:type="dxa" w:w="864"/>
            <w:vAlign w:val="center"/>
            <w:shd w:fill="F5F7FA"/>
          </w:tcPr>
          <w:p>
            <w:pPr>
              <w:spacing w:after="0" w:before="0" w:line="240" w:lineRule="auto"/>
            </w:pPr>
            <w:r/>
            <w:r>
              <w:rPr>
                <w:rFonts w:ascii="Aptos" w:hAnsi="Aptos"/>
                <w:b w:val="0"/>
                <w:color w:val="111827"/>
                <w:sz w:val="12"/>
              </w:rPr>
              <w:t>$3.42</w:t>
            </w:r>
          </w:p>
        </w:tc>
        <w:tc>
          <w:tcPr>
            <w:tcW w:type="dxa" w:w="648"/>
            <w:vAlign w:val="center"/>
            <w:shd w:fill="F5F7FA"/>
          </w:tcPr>
          <w:p>
            <w:pPr>
              <w:spacing w:after="0" w:before="0" w:line="240" w:lineRule="auto"/>
            </w:pPr>
            <w:r/>
            <w:r>
              <w:rPr>
                <w:rFonts w:ascii="Aptos" w:hAnsi="Aptos"/>
                <w:b w:val="0"/>
                <w:color w:val="111827"/>
                <w:sz w:val="12"/>
              </w:rPr>
              <w:t>$7.16</w:t>
            </w:r>
          </w:p>
        </w:tc>
        <w:tc>
          <w:tcPr>
            <w:tcW w:type="dxa" w:w="576"/>
            <w:vAlign w:val="center"/>
            <w:shd w:fill="F5F7FA"/>
          </w:tcPr>
          <w:p>
            <w:pPr>
              <w:spacing w:after="0" w:before="0" w:line="240" w:lineRule="auto"/>
            </w:pPr>
            <w:r/>
            <w:r>
              <w:rPr>
                <w:rFonts w:ascii="Aptos" w:hAnsi="Aptos"/>
                <w:b w:val="0"/>
                <w:color w:val="111827"/>
                <w:sz w:val="12"/>
              </w:rPr>
              <w:t>$0.93</w:t>
            </w:r>
          </w:p>
        </w:tc>
        <w:tc>
          <w:tcPr>
            <w:tcW w:type="dxa" w:w="864"/>
            <w:vAlign w:val="center"/>
            <w:shd w:fill="F5F7FA"/>
          </w:tcPr>
          <w:p>
            <w:pPr>
              <w:spacing w:after="0" w:before="0" w:line="240" w:lineRule="auto"/>
            </w:pPr>
            <w:r/>
            <w:r>
              <w:rPr>
                <w:rFonts w:ascii="Aptos" w:hAnsi="Aptos"/>
                <w:b w:val="0"/>
                <w:color w:val="111827"/>
                <w:sz w:val="12"/>
              </w:rPr>
              <w:t>$-4.68</w:t>
            </w:r>
          </w:p>
        </w:tc>
        <w:tc>
          <w:tcPr>
            <w:tcW w:type="dxa" w:w="936"/>
            <w:vAlign w:val="center"/>
            <w:shd w:fill="F5F7FA"/>
          </w:tcPr>
          <w:p>
            <w:pPr>
              <w:spacing w:after="0" w:before="0" w:line="240" w:lineRule="auto"/>
            </w:pPr>
            <w:r/>
            <w:r>
              <w:rPr>
                <w:rFonts w:ascii="Aptos" w:hAnsi="Aptos"/>
                <w:b w:val="0"/>
                <w:color w:val="111827"/>
                <w:sz w:val="12"/>
              </w:rPr>
              <w:t>$24.71</w:t>
            </w:r>
          </w:p>
        </w:tc>
        <w:tc>
          <w:tcPr>
            <w:tcW w:type="dxa" w:w="936"/>
            <w:vAlign w:val="center"/>
            <w:shd w:fill="F5F7FA"/>
          </w:tcPr>
          <w:p>
            <w:pPr>
              <w:spacing w:after="0" w:before="0" w:line="240" w:lineRule="auto"/>
            </w:pPr>
            <w:r/>
            <w:r>
              <w:rPr>
                <w:rFonts w:ascii="Aptos" w:hAnsi="Aptos"/>
                <w:b w:val="0"/>
                <w:color w:val="111827"/>
                <w:sz w:val="12"/>
              </w:rPr>
              <w:t>$2.97</w:t>
            </w:r>
          </w:p>
        </w:tc>
        <w:tc>
          <w:tcPr>
            <w:tcW w:type="dxa" w:w="720"/>
            <w:vAlign w:val="center"/>
            <w:shd w:fill="F5F7FA"/>
          </w:tcPr>
          <w:p>
            <w:pPr>
              <w:spacing w:after="0" w:before="0" w:line="240" w:lineRule="auto"/>
            </w:pPr>
            <w:r/>
            <w:r>
              <w:rPr>
                <w:rFonts w:ascii="Aptos" w:hAnsi="Aptos"/>
                <w:b w:val="0"/>
                <w:color w:val="111827"/>
                <w:sz w:val="12"/>
              </w:rPr>
              <w:t>1,483 bps</w:t>
            </w:r>
          </w:p>
        </w:tc>
      </w:tr>
      <w:tr>
        <w:tc>
          <w:tcPr>
            <w:tcW w:type="dxa" w:w="2232"/>
            <w:vAlign w:val="center"/>
          </w:tcPr>
          <w:p>
            <w:pPr>
              <w:spacing w:after="0" w:before="0" w:line="240" w:lineRule="auto"/>
            </w:pPr>
            <w:r/>
            <w:r>
              <w:rPr>
                <w:rFonts w:ascii="Aptos" w:hAnsi="Aptos"/>
                <w:b/>
                <w:color w:val="111827"/>
                <w:sz w:val="12"/>
              </w:rPr>
              <w:t>Small household product ($20)</w:t>
            </w:r>
          </w:p>
        </w:tc>
        <w:tc>
          <w:tcPr>
            <w:tcW w:type="dxa" w:w="936"/>
            <w:vAlign w:val="center"/>
          </w:tcPr>
          <w:p>
            <w:pPr>
              <w:spacing w:after="0" w:before="0" w:line="240" w:lineRule="auto"/>
            </w:pPr>
            <w:r/>
            <w:r>
              <w:rPr>
                <w:rFonts w:ascii="Aptos" w:hAnsi="Aptos"/>
                <w:b w:val="0"/>
                <w:color w:val="111827"/>
                <w:sz w:val="12"/>
              </w:rPr>
              <w:t>High recovery</w:t>
            </w:r>
          </w:p>
        </w:tc>
        <w:tc>
          <w:tcPr>
            <w:tcW w:type="dxa" w:w="864"/>
            <w:vAlign w:val="center"/>
          </w:tcPr>
          <w:p>
            <w:pPr>
              <w:spacing w:after="0" w:before="0" w:line="240" w:lineRule="auto"/>
            </w:pPr>
            <w:r/>
            <w:r>
              <w:rPr>
                <w:rFonts w:ascii="Aptos" w:hAnsi="Aptos"/>
                <w:b w:val="0"/>
                <w:color w:val="111827"/>
                <w:sz w:val="12"/>
              </w:rPr>
              <w:t>$6.15</w:t>
            </w:r>
          </w:p>
        </w:tc>
        <w:tc>
          <w:tcPr>
            <w:tcW w:type="dxa" w:w="648"/>
            <w:vAlign w:val="center"/>
          </w:tcPr>
          <w:p>
            <w:pPr>
              <w:spacing w:after="0" w:before="0" w:line="240" w:lineRule="auto"/>
            </w:pPr>
            <w:r/>
            <w:r>
              <w:rPr>
                <w:rFonts w:ascii="Aptos" w:hAnsi="Aptos"/>
                <w:b w:val="0"/>
                <w:color w:val="111827"/>
                <w:sz w:val="12"/>
              </w:rPr>
              <w:t>$5.73</w:t>
            </w:r>
          </w:p>
        </w:tc>
        <w:tc>
          <w:tcPr>
            <w:tcW w:type="dxa" w:w="576"/>
            <w:vAlign w:val="center"/>
          </w:tcPr>
          <w:p>
            <w:pPr>
              <w:spacing w:after="0" w:before="0" w:line="240" w:lineRule="auto"/>
            </w:pPr>
            <w:r/>
            <w:r>
              <w:rPr>
                <w:rFonts w:ascii="Aptos" w:hAnsi="Aptos"/>
                <w:b w:val="0"/>
                <w:color w:val="111827"/>
                <w:sz w:val="12"/>
              </w:rPr>
              <w:t>$0.79</w:t>
            </w:r>
          </w:p>
        </w:tc>
        <w:tc>
          <w:tcPr>
            <w:tcW w:type="dxa" w:w="864"/>
            <w:vAlign w:val="center"/>
          </w:tcPr>
          <w:p>
            <w:pPr>
              <w:spacing w:after="0" w:before="0" w:line="240" w:lineRule="auto"/>
            </w:pPr>
            <w:r/>
            <w:r>
              <w:rPr>
                <w:rFonts w:ascii="Aptos" w:hAnsi="Aptos"/>
                <w:b w:val="0"/>
                <w:color w:val="111827"/>
                <w:sz w:val="12"/>
              </w:rPr>
              <w:t>$-0.38</w:t>
            </w:r>
          </w:p>
        </w:tc>
        <w:tc>
          <w:tcPr>
            <w:tcW w:type="dxa" w:w="936"/>
            <w:vAlign w:val="center"/>
          </w:tcPr>
          <w:p>
            <w:pPr>
              <w:spacing w:after="0" w:before="0" w:line="240" w:lineRule="auto"/>
            </w:pPr>
            <w:r/>
            <w:r>
              <w:rPr>
                <w:rFonts w:ascii="Aptos" w:hAnsi="Aptos"/>
                <w:b w:val="0"/>
                <w:color w:val="111827"/>
                <w:sz w:val="12"/>
              </w:rPr>
              <w:t>$20.41</w:t>
            </w:r>
          </w:p>
        </w:tc>
        <w:tc>
          <w:tcPr>
            <w:tcW w:type="dxa" w:w="936"/>
            <w:vAlign w:val="center"/>
          </w:tcPr>
          <w:p>
            <w:pPr>
              <w:spacing w:after="0" w:before="0" w:line="240" w:lineRule="auto"/>
            </w:pPr>
            <w:r/>
            <w:r>
              <w:rPr>
                <w:rFonts w:ascii="Aptos" w:hAnsi="Aptos"/>
                <w:b w:val="0"/>
                <w:color w:val="111827"/>
                <w:sz w:val="12"/>
              </w:rPr>
              <w:t>$2.45</w:t>
            </w:r>
          </w:p>
        </w:tc>
        <w:tc>
          <w:tcPr>
            <w:tcW w:type="dxa" w:w="720"/>
            <w:vAlign w:val="center"/>
          </w:tcPr>
          <w:p>
            <w:pPr>
              <w:spacing w:after="0" w:before="0" w:line="240" w:lineRule="auto"/>
            </w:pPr>
            <w:r/>
            <w:r>
              <w:rPr>
                <w:rFonts w:ascii="Aptos" w:hAnsi="Aptos"/>
                <w:b w:val="0"/>
                <w:color w:val="111827"/>
                <w:sz w:val="12"/>
              </w:rPr>
              <w:t>1,225 bps</w:t>
            </w:r>
          </w:p>
        </w:tc>
      </w:tr>
      <w:tr>
        <w:tc>
          <w:tcPr>
            <w:tcW w:type="dxa" w:w="2232"/>
            <w:vAlign w:val="center"/>
            <w:shd w:fill="F5F7FA"/>
          </w:tcPr>
          <w:p>
            <w:pPr>
              <w:spacing w:after="0" w:before="0" w:line="240" w:lineRule="auto"/>
            </w:pPr>
            <w:r/>
            <w:r>
              <w:rPr>
                <w:rFonts w:ascii="Aptos" w:hAnsi="Aptos"/>
                <w:b/>
                <w:color w:val="111827"/>
                <w:sz w:val="12"/>
              </w:rPr>
              <w:t>Footwear/premium apparel ($100)</w:t>
            </w:r>
          </w:p>
        </w:tc>
        <w:tc>
          <w:tcPr>
            <w:tcW w:type="dxa" w:w="936"/>
            <w:vAlign w:val="center"/>
            <w:shd w:fill="F5F7FA"/>
          </w:tcPr>
          <w:p>
            <w:pPr>
              <w:spacing w:after="0" w:before="0" w:line="240" w:lineRule="auto"/>
            </w:pPr>
            <w:r/>
            <w:r>
              <w:rPr>
                <w:rFonts w:ascii="Aptos" w:hAnsi="Aptos"/>
                <w:b w:val="0"/>
                <w:color w:val="111827"/>
                <w:sz w:val="12"/>
              </w:rPr>
              <w:t>Low recovery</w:t>
            </w:r>
          </w:p>
        </w:tc>
        <w:tc>
          <w:tcPr>
            <w:tcW w:type="dxa" w:w="864"/>
            <w:vAlign w:val="center"/>
            <w:shd w:fill="F5F7FA"/>
          </w:tcPr>
          <w:p>
            <w:pPr>
              <w:spacing w:after="0" w:before="0" w:line="240" w:lineRule="auto"/>
            </w:pPr>
            <w:r/>
            <w:r>
              <w:rPr>
                <w:rFonts w:ascii="Aptos" w:hAnsi="Aptos"/>
                <w:b w:val="0"/>
                <w:color w:val="111827"/>
                <w:sz w:val="12"/>
              </w:rPr>
              <w:t>$31.48</w:t>
            </w:r>
          </w:p>
        </w:tc>
        <w:tc>
          <w:tcPr>
            <w:tcW w:type="dxa" w:w="648"/>
            <w:vAlign w:val="center"/>
            <w:shd w:fill="F5F7FA"/>
          </w:tcPr>
          <w:p>
            <w:pPr>
              <w:spacing w:after="0" w:before="0" w:line="240" w:lineRule="auto"/>
            </w:pPr>
            <w:r/>
            <w:r>
              <w:rPr>
                <w:rFonts w:ascii="Aptos" w:hAnsi="Aptos"/>
                <w:b w:val="0"/>
                <w:color w:val="111827"/>
                <w:sz w:val="12"/>
              </w:rPr>
              <w:t>$6.42</w:t>
            </w:r>
          </w:p>
        </w:tc>
        <w:tc>
          <w:tcPr>
            <w:tcW w:type="dxa" w:w="576"/>
            <w:vAlign w:val="center"/>
            <w:shd w:fill="F5F7FA"/>
          </w:tcPr>
          <w:p>
            <w:pPr>
              <w:spacing w:after="0" w:before="0" w:line="240" w:lineRule="auto"/>
            </w:pPr>
            <w:r/>
            <w:r>
              <w:rPr>
                <w:rFonts w:ascii="Aptos" w:hAnsi="Aptos"/>
                <w:b w:val="0"/>
                <w:color w:val="111827"/>
                <w:sz w:val="12"/>
              </w:rPr>
              <w:t>$2.24</w:t>
            </w:r>
          </w:p>
        </w:tc>
        <w:tc>
          <w:tcPr>
            <w:tcW w:type="dxa" w:w="864"/>
            <w:vAlign w:val="center"/>
            <w:shd w:fill="F5F7FA"/>
          </w:tcPr>
          <w:p>
            <w:pPr>
              <w:spacing w:after="0" w:before="0" w:line="240" w:lineRule="auto"/>
            </w:pPr>
            <w:r/>
            <w:r>
              <w:rPr>
                <w:rFonts w:ascii="Aptos" w:hAnsi="Aptos"/>
                <w:b w:val="0"/>
                <w:color w:val="111827"/>
                <w:sz w:val="12"/>
              </w:rPr>
              <w:t>$22.82</w:t>
            </w:r>
          </w:p>
        </w:tc>
        <w:tc>
          <w:tcPr>
            <w:tcW w:type="dxa" w:w="936"/>
            <w:vAlign w:val="center"/>
            <w:shd w:fill="F5F7FA"/>
          </w:tcPr>
          <w:p>
            <w:pPr>
              <w:spacing w:after="0" w:before="0" w:line="240" w:lineRule="auto"/>
            </w:pPr>
            <w:r/>
            <w:r>
              <w:rPr>
                <w:rFonts w:ascii="Aptos" w:hAnsi="Aptos"/>
                <w:b w:val="0"/>
                <w:color w:val="111827"/>
                <w:sz w:val="12"/>
              </w:rPr>
              <w:t>$77.54</w:t>
            </w:r>
          </w:p>
        </w:tc>
        <w:tc>
          <w:tcPr>
            <w:tcW w:type="dxa" w:w="936"/>
            <w:vAlign w:val="center"/>
            <w:shd w:fill="F5F7FA"/>
          </w:tcPr>
          <w:p>
            <w:pPr>
              <w:spacing w:after="0" w:before="0" w:line="240" w:lineRule="auto"/>
            </w:pPr>
            <w:r/>
            <w:r>
              <w:rPr>
                <w:rFonts w:ascii="Aptos" w:hAnsi="Aptos"/>
                <w:b w:val="0"/>
                <w:color w:val="111827"/>
                <w:sz w:val="12"/>
              </w:rPr>
              <w:t>$23.26</w:t>
            </w:r>
          </w:p>
        </w:tc>
        <w:tc>
          <w:tcPr>
            <w:tcW w:type="dxa" w:w="720"/>
            <w:vAlign w:val="center"/>
            <w:shd w:fill="F5F7FA"/>
          </w:tcPr>
          <w:p>
            <w:pPr>
              <w:spacing w:after="0" w:before="0" w:line="240" w:lineRule="auto"/>
            </w:pPr>
            <w:r/>
            <w:r>
              <w:rPr>
                <w:rFonts w:ascii="Aptos" w:hAnsi="Aptos"/>
                <w:b w:val="0"/>
                <w:color w:val="111827"/>
                <w:sz w:val="12"/>
              </w:rPr>
              <w:t>2,326 bps</w:t>
            </w:r>
          </w:p>
        </w:tc>
      </w:tr>
      <w:tr>
        <w:tc>
          <w:tcPr>
            <w:tcW w:type="dxa" w:w="2232"/>
            <w:vAlign w:val="center"/>
          </w:tcPr>
          <w:p>
            <w:pPr>
              <w:spacing w:after="0" w:before="0" w:line="240" w:lineRule="auto"/>
            </w:pPr>
            <w:r/>
            <w:r>
              <w:rPr>
                <w:rFonts w:ascii="Aptos" w:hAnsi="Aptos"/>
                <w:b/>
                <w:color w:val="111827"/>
                <w:sz w:val="12"/>
              </w:rPr>
              <w:t>Footwear/premium apparel ($100)</w:t>
            </w:r>
          </w:p>
        </w:tc>
        <w:tc>
          <w:tcPr>
            <w:tcW w:type="dxa" w:w="936"/>
            <w:vAlign w:val="center"/>
          </w:tcPr>
          <w:p>
            <w:pPr>
              <w:spacing w:after="0" w:before="0" w:line="240" w:lineRule="auto"/>
            </w:pPr>
            <w:r/>
            <w:r>
              <w:rPr>
                <w:rFonts w:ascii="Aptos" w:hAnsi="Aptos"/>
                <w:b w:val="0"/>
                <w:color w:val="111827"/>
                <w:sz w:val="12"/>
              </w:rPr>
              <w:t>Base</w:t>
            </w:r>
          </w:p>
        </w:tc>
        <w:tc>
          <w:tcPr>
            <w:tcW w:type="dxa" w:w="864"/>
            <w:vAlign w:val="center"/>
          </w:tcPr>
          <w:p>
            <w:pPr>
              <w:spacing w:after="0" w:before="0" w:line="240" w:lineRule="auto"/>
            </w:pPr>
            <w:r/>
            <w:r>
              <w:rPr>
                <w:rFonts w:ascii="Aptos" w:hAnsi="Aptos"/>
                <w:b w:val="0"/>
                <w:color w:val="111827"/>
                <w:sz w:val="12"/>
              </w:rPr>
              <w:t>$49.07</w:t>
            </w:r>
          </w:p>
        </w:tc>
        <w:tc>
          <w:tcPr>
            <w:tcW w:type="dxa" w:w="648"/>
            <w:vAlign w:val="center"/>
          </w:tcPr>
          <w:p>
            <w:pPr>
              <w:spacing w:after="0" w:before="0" w:line="240" w:lineRule="auto"/>
            </w:pPr>
            <w:r/>
            <w:r>
              <w:rPr>
                <w:rFonts w:ascii="Aptos" w:hAnsi="Aptos"/>
                <w:b w:val="0"/>
                <w:color w:val="111827"/>
                <w:sz w:val="12"/>
              </w:rPr>
              <w:t>$5.14</w:t>
            </w:r>
          </w:p>
        </w:tc>
        <w:tc>
          <w:tcPr>
            <w:tcW w:type="dxa" w:w="576"/>
            <w:vAlign w:val="center"/>
          </w:tcPr>
          <w:p>
            <w:pPr>
              <w:spacing w:after="0" w:before="0" w:line="240" w:lineRule="auto"/>
            </w:pPr>
            <w:r/>
            <w:r>
              <w:rPr>
                <w:rFonts w:ascii="Aptos" w:hAnsi="Aptos"/>
                <w:b w:val="0"/>
                <w:color w:val="111827"/>
                <w:sz w:val="12"/>
              </w:rPr>
              <w:t>$1.87</w:t>
            </w:r>
          </w:p>
        </w:tc>
        <w:tc>
          <w:tcPr>
            <w:tcW w:type="dxa" w:w="864"/>
            <w:vAlign w:val="center"/>
          </w:tcPr>
          <w:p>
            <w:pPr>
              <w:spacing w:after="0" w:before="0" w:line="240" w:lineRule="auto"/>
            </w:pPr>
            <w:r/>
            <w:r>
              <w:rPr>
                <w:rFonts w:ascii="Aptos" w:hAnsi="Aptos"/>
                <w:b w:val="0"/>
                <w:color w:val="111827"/>
                <w:sz w:val="12"/>
              </w:rPr>
              <w:t>$42.06</w:t>
            </w:r>
          </w:p>
        </w:tc>
        <w:tc>
          <w:tcPr>
            <w:tcW w:type="dxa" w:w="936"/>
            <w:vAlign w:val="center"/>
          </w:tcPr>
          <w:p>
            <w:pPr>
              <w:spacing w:after="0" w:before="0" w:line="240" w:lineRule="auto"/>
            </w:pPr>
            <w:r/>
            <w:r>
              <w:rPr>
                <w:rFonts w:ascii="Aptos" w:hAnsi="Aptos"/>
                <w:b w:val="0"/>
                <w:color w:val="111827"/>
                <w:sz w:val="12"/>
              </w:rPr>
              <w:t>$58.30</w:t>
            </w:r>
          </w:p>
        </w:tc>
        <w:tc>
          <w:tcPr>
            <w:tcW w:type="dxa" w:w="936"/>
            <w:vAlign w:val="center"/>
          </w:tcPr>
          <w:p>
            <w:pPr>
              <w:spacing w:after="0" w:before="0" w:line="240" w:lineRule="auto"/>
            </w:pPr>
            <w:r/>
            <w:r>
              <w:rPr>
                <w:rFonts w:ascii="Aptos" w:hAnsi="Aptos"/>
                <w:b w:val="0"/>
                <w:color w:val="111827"/>
                <w:sz w:val="12"/>
              </w:rPr>
              <w:t>$17.49</w:t>
            </w:r>
          </w:p>
        </w:tc>
        <w:tc>
          <w:tcPr>
            <w:tcW w:type="dxa" w:w="720"/>
            <w:vAlign w:val="center"/>
          </w:tcPr>
          <w:p>
            <w:pPr>
              <w:spacing w:after="0" w:before="0" w:line="240" w:lineRule="auto"/>
            </w:pPr>
            <w:r/>
            <w:r>
              <w:rPr>
                <w:rFonts w:ascii="Aptos" w:hAnsi="Aptos"/>
                <w:b w:val="0"/>
                <w:color w:val="111827"/>
                <w:sz w:val="12"/>
              </w:rPr>
              <w:t>1,749 bps</w:t>
            </w:r>
          </w:p>
        </w:tc>
      </w:tr>
      <w:tr>
        <w:tc>
          <w:tcPr>
            <w:tcW w:type="dxa" w:w="2232"/>
            <w:vAlign w:val="center"/>
            <w:shd w:fill="F5F7FA"/>
          </w:tcPr>
          <w:p>
            <w:pPr>
              <w:spacing w:after="0" w:before="0" w:line="240" w:lineRule="auto"/>
            </w:pPr>
            <w:r/>
            <w:r>
              <w:rPr>
                <w:rFonts w:ascii="Aptos" w:hAnsi="Aptos"/>
                <w:b/>
                <w:color w:val="111827"/>
                <w:sz w:val="12"/>
              </w:rPr>
              <w:t>Footwear/premium apparel ($100)</w:t>
            </w:r>
          </w:p>
        </w:tc>
        <w:tc>
          <w:tcPr>
            <w:tcW w:type="dxa" w:w="936"/>
            <w:vAlign w:val="center"/>
            <w:shd w:fill="F5F7FA"/>
          </w:tcPr>
          <w:p>
            <w:pPr>
              <w:spacing w:after="0" w:before="0" w:line="240" w:lineRule="auto"/>
            </w:pPr>
            <w:r/>
            <w:r>
              <w:rPr>
                <w:rFonts w:ascii="Aptos" w:hAnsi="Aptos"/>
                <w:b w:val="0"/>
                <w:color w:val="111827"/>
                <w:sz w:val="12"/>
              </w:rPr>
              <w:t>High recovery</w:t>
            </w:r>
          </w:p>
        </w:tc>
        <w:tc>
          <w:tcPr>
            <w:tcW w:type="dxa" w:w="864"/>
            <w:vAlign w:val="center"/>
            <w:shd w:fill="F5F7FA"/>
          </w:tcPr>
          <w:p>
            <w:pPr>
              <w:spacing w:after="0" w:before="0" w:line="240" w:lineRule="auto"/>
            </w:pPr>
            <w:r/>
            <w:r>
              <w:rPr>
                <w:rFonts w:ascii="Aptos" w:hAnsi="Aptos"/>
                <w:b w:val="0"/>
                <w:color w:val="111827"/>
                <w:sz w:val="12"/>
              </w:rPr>
              <w:t>$63.70</w:t>
            </w:r>
          </w:p>
        </w:tc>
        <w:tc>
          <w:tcPr>
            <w:tcW w:type="dxa" w:w="648"/>
            <w:vAlign w:val="center"/>
            <w:shd w:fill="F5F7FA"/>
          </w:tcPr>
          <w:p>
            <w:pPr>
              <w:spacing w:after="0" w:before="0" w:line="240" w:lineRule="auto"/>
            </w:pPr>
            <w:r/>
            <w:r>
              <w:rPr>
                <w:rFonts w:ascii="Aptos" w:hAnsi="Aptos"/>
                <w:b w:val="0"/>
                <w:color w:val="111827"/>
                <w:sz w:val="12"/>
              </w:rPr>
              <w:t>$4.11</w:t>
            </w:r>
          </w:p>
        </w:tc>
        <w:tc>
          <w:tcPr>
            <w:tcW w:type="dxa" w:w="576"/>
            <w:vAlign w:val="center"/>
            <w:shd w:fill="F5F7FA"/>
          </w:tcPr>
          <w:p>
            <w:pPr>
              <w:spacing w:after="0" w:before="0" w:line="240" w:lineRule="auto"/>
            </w:pPr>
            <w:r/>
            <w:r>
              <w:rPr>
                <w:rFonts w:ascii="Aptos" w:hAnsi="Aptos"/>
                <w:b w:val="0"/>
                <w:color w:val="111827"/>
                <w:sz w:val="12"/>
              </w:rPr>
              <w:t>$1.59</w:t>
            </w:r>
          </w:p>
        </w:tc>
        <w:tc>
          <w:tcPr>
            <w:tcW w:type="dxa" w:w="864"/>
            <w:vAlign w:val="center"/>
            <w:shd w:fill="F5F7FA"/>
          </w:tcPr>
          <w:p>
            <w:pPr>
              <w:spacing w:after="0" w:before="0" w:line="240" w:lineRule="auto"/>
            </w:pPr>
            <w:r/>
            <w:r>
              <w:rPr>
                <w:rFonts w:ascii="Aptos" w:hAnsi="Aptos"/>
                <w:b w:val="0"/>
                <w:color w:val="111827"/>
                <w:sz w:val="12"/>
              </w:rPr>
              <w:t>$58.00</w:t>
            </w:r>
          </w:p>
        </w:tc>
        <w:tc>
          <w:tcPr>
            <w:tcW w:type="dxa" w:w="936"/>
            <w:vAlign w:val="center"/>
            <w:shd w:fill="F5F7FA"/>
          </w:tcPr>
          <w:p>
            <w:pPr>
              <w:spacing w:after="0" w:before="0" w:line="240" w:lineRule="auto"/>
            </w:pPr>
            <w:r/>
            <w:r>
              <w:rPr>
                <w:rFonts w:ascii="Aptos" w:hAnsi="Aptos"/>
                <w:b w:val="0"/>
                <w:color w:val="111827"/>
                <w:sz w:val="12"/>
              </w:rPr>
              <w:t>$42.36</w:t>
            </w:r>
          </w:p>
        </w:tc>
        <w:tc>
          <w:tcPr>
            <w:tcW w:type="dxa" w:w="936"/>
            <w:vAlign w:val="center"/>
            <w:shd w:fill="F5F7FA"/>
          </w:tcPr>
          <w:p>
            <w:pPr>
              <w:spacing w:after="0" w:before="0" w:line="240" w:lineRule="auto"/>
            </w:pPr>
            <w:r/>
            <w:r>
              <w:rPr>
                <w:rFonts w:ascii="Aptos" w:hAnsi="Aptos"/>
                <w:b w:val="0"/>
                <w:color w:val="111827"/>
                <w:sz w:val="12"/>
              </w:rPr>
              <w:t>$12.71</w:t>
            </w:r>
          </w:p>
        </w:tc>
        <w:tc>
          <w:tcPr>
            <w:tcW w:type="dxa" w:w="720"/>
            <w:vAlign w:val="center"/>
            <w:shd w:fill="F5F7FA"/>
          </w:tcPr>
          <w:p>
            <w:pPr>
              <w:spacing w:after="0" w:before="0" w:line="240" w:lineRule="auto"/>
            </w:pPr>
            <w:r/>
            <w:r>
              <w:rPr>
                <w:rFonts w:ascii="Aptos" w:hAnsi="Aptos"/>
                <w:b w:val="0"/>
                <w:color w:val="111827"/>
                <w:sz w:val="12"/>
              </w:rPr>
              <w:t>1,271 bps</w:t>
            </w:r>
          </w:p>
        </w:tc>
      </w:tr>
      <w:tr>
        <w:tc>
          <w:tcPr>
            <w:tcW w:type="dxa" w:w="2232"/>
            <w:vAlign w:val="center"/>
          </w:tcPr>
          <w:p>
            <w:pPr>
              <w:spacing w:after="0" w:before="0" w:line="240" w:lineRule="auto"/>
            </w:pPr>
            <w:r/>
            <w:r>
              <w:rPr>
                <w:rFonts w:ascii="Aptos" w:hAnsi="Aptos"/>
                <w:b/>
                <w:color w:val="111827"/>
                <w:sz w:val="12"/>
              </w:rPr>
              <w:t>Headphones/small electronics ($100)</w:t>
            </w:r>
          </w:p>
        </w:tc>
        <w:tc>
          <w:tcPr>
            <w:tcW w:type="dxa" w:w="936"/>
            <w:vAlign w:val="center"/>
          </w:tcPr>
          <w:p>
            <w:pPr>
              <w:spacing w:after="0" w:before="0" w:line="240" w:lineRule="auto"/>
            </w:pPr>
            <w:r/>
            <w:r>
              <w:rPr>
                <w:rFonts w:ascii="Aptos" w:hAnsi="Aptos"/>
                <w:b w:val="0"/>
                <w:color w:val="111827"/>
                <w:sz w:val="12"/>
              </w:rPr>
              <w:t>Low recovery</w:t>
            </w:r>
          </w:p>
        </w:tc>
        <w:tc>
          <w:tcPr>
            <w:tcW w:type="dxa" w:w="864"/>
            <w:vAlign w:val="center"/>
          </w:tcPr>
          <w:p>
            <w:pPr>
              <w:spacing w:after="0" w:before="0" w:line="240" w:lineRule="auto"/>
            </w:pPr>
            <w:r/>
            <w:r>
              <w:rPr>
                <w:rFonts w:ascii="Aptos" w:hAnsi="Aptos"/>
                <w:b w:val="0"/>
                <w:color w:val="111827"/>
                <w:sz w:val="12"/>
              </w:rPr>
              <w:t>$18.07</w:t>
            </w:r>
          </w:p>
        </w:tc>
        <w:tc>
          <w:tcPr>
            <w:tcW w:type="dxa" w:w="648"/>
            <w:vAlign w:val="center"/>
          </w:tcPr>
          <w:p>
            <w:pPr>
              <w:spacing w:after="0" w:before="0" w:line="240" w:lineRule="auto"/>
            </w:pPr>
            <w:r/>
            <w:r>
              <w:rPr>
                <w:rFonts w:ascii="Aptos" w:hAnsi="Aptos"/>
                <w:b w:val="0"/>
                <w:color w:val="111827"/>
                <w:sz w:val="12"/>
              </w:rPr>
              <w:t>$7.39</w:t>
            </w:r>
          </w:p>
        </w:tc>
        <w:tc>
          <w:tcPr>
            <w:tcW w:type="dxa" w:w="576"/>
            <w:vAlign w:val="center"/>
          </w:tcPr>
          <w:p>
            <w:pPr>
              <w:spacing w:after="0" w:before="0" w:line="240" w:lineRule="auto"/>
            </w:pPr>
            <w:r/>
            <w:r>
              <w:rPr>
                <w:rFonts w:ascii="Aptos" w:hAnsi="Aptos"/>
                <w:b w:val="0"/>
                <w:color w:val="111827"/>
                <w:sz w:val="12"/>
              </w:rPr>
              <w:t>$4.80</w:t>
            </w:r>
          </w:p>
        </w:tc>
        <w:tc>
          <w:tcPr>
            <w:tcW w:type="dxa" w:w="864"/>
            <w:vAlign w:val="center"/>
          </w:tcPr>
          <w:p>
            <w:pPr>
              <w:spacing w:after="0" w:before="0" w:line="240" w:lineRule="auto"/>
            </w:pPr>
            <w:r/>
            <w:r>
              <w:rPr>
                <w:rFonts w:ascii="Aptos" w:hAnsi="Aptos"/>
                <w:b w:val="0"/>
                <w:color w:val="111827"/>
                <w:sz w:val="12"/>
              </w:rPr>
              <w:t>$5.88</w:t>
            </w:r>
          </w:p>
        </w:tc>
        <w:tc>
          <w:tcPr>
            <w:tcW w:type="dxa" w:w="936"/>
            <w:vAlign w:val="center"/>
          </w:tcPr>
          <w:p>
            <w:pPr>
              <w:spacing w:after="0" w:before="0" w:line="240" w:lineRule="auto"/>
            </w:pPr>
            <w:r/>
            <w:r>
              <w:rPr>
                <w:rFonts w:ascii="Aptos" w:hAnsi="Aptos"/>
                <w:b w:val="0"/>
                <w:color w:val="111827"/>
                <w:sz w:val="12"/>
              </w:rPr>
              <w:t>$95.02</w:t>
            </w:r>
          </w:p>
        </w:tc>
        <w:tc>
          <w:tcPr>
            <w:tcW w:type="dxa" w:w="936"/>
            <w:vAlign w:val="center"/>
          </w:tcPr>
          <w:p>
            <w:pPr>
              <w:spacing w:after="0" w:before="0" w:line="240" w:lineRule="auto"/>
            </w:pPr>
            <w:r/>
            <w:r>
              <w:rPr>
                <w:rFonts w:ascii="Aptos" w:hAnsi="Aptos"/>
                <w:b w:val="0"/>
                <w:color w:val="111827"/>
                <w:sz w:val="12"/>
              </w:rPr>
              <w:t>$11.40</w:t>
            </w:r>
          </w:p>
        </w:tc>
        <w:tc>
          <w:tcPr>
            <w:tcW w:type="dxa" w:w="720"/>
            <w:vAlign w:val="center"/>
          </w:tcPr>
          <w:p>
            <w:pPr>
              <w:spacing w:after="0" w:before="0" w:line="240" w:lineRule="auto"/>
            </w:pPr>
            <w:r/>
            <w:r>
              <w:rPr>
                <w:rFonts w:ascii="Aptos" w:hAnsi="Aptos"/>
                <w:b w:val="0"/>
                <w:color w:val="111827"/>
                <w:sz w:val="12"/>
              </w:rPr>
              <w:t>1,140 bps</w:t>
            </w:r>
          </w:p>
        </w:tc>
      </w:tr>
      <w:tr>
        <w:tc>
          <w:tcPr>
            <w:tcW w:type="dxa" w:w="2232"/>
            <w:vAlign w:val="center"/>
            <w:shd w:fill="F5F7FA"/>
          </w:tcPr>
          <w:p>
            <w:pPr>
              <w:spacing w:after="0" w:before="0" w:line="240" w:lineRule="auto"/>
            </w:pPr>
            <w:r/>
            <w:r>
              <w:rPr>
                <w:rFonts w:ascii="Aptos" w:hAnsi="Aptos"/>
                <w:b/>
                <w:color w:val="111827"/>
                <w:sz w:val="12"/>
              </w:rPr>
              <w:t>Headphones/small electronics ($100)</w:t>
            </w:r>
          </w:p>
        </w:tc>
        <w:tc>
          <w:tcPr>
            <w:tcW w:type="dxa" w:w="936"/>
            <w:vAlign w:val="center"/>
            <w:shd w:fill="F5F7FA"/>
          </w:tcPr>
          <w:p>
            <w:pPr>
              <w:spacing w:after="0" w:before="0" w:line="240" w:lineRule="auto"/>
            </w:pPr>
            <w:r/>
            <w:r>
              <w:rPr>
                <w:rFonts w:ascii="Aptos" w:hAnsi="Aptos"/>
                <w:b w:val="0"/>
                <w:color w:val="111827"/>
                <w:sz w:val="12"/>
              </w:rPr>
              <w:t>Base</w:t>
            </w:r>
          </w:p>
        </w:tc>
        <w:tc>
          <w:tcPr>
            <w:tcW w:type="dxa" w:w="864"/>
            <w:vAlign w:val="center"/>
            <w:shd w:fill="F5F7FA"/>
          </w:tcPr>
          <w:p>
            <w:pPr>
              <w:spacing w:after="0" w:before="0" w:line="240" w:lineRule="auto"/>
            </w:pPr>
            <w:r/>
            <w:r>
              <w:rPr>
                <w:rFonts w:ascii="Aptos" w:hAnsi="Aptos"/>
                <w:b w:val="0"/>
                <w:color w:val="111827"/>
                <w:sz w:val="12"/>
              </w:rPr>
              <w:t>$33.37</w:t>
            </w:r>
          </w:p>
        </w:tc>
        <w:tc>
          <w:tcPr>
            <w:tcW w:type="dxa" w:w="648"/>
            <w:vAlign w:val="center"/>
            <w:shd w:fill="F5F7FA"/>
          </w:tcPr>
          <w:p>
            <w:pPr>
              <w:spacing w:after="0" w:before="0" w:line="240" w:lineRule="auto"/>
            </w:pPr>
            <w:r/>
            <w:r>
              <w:rPr>
                <w:rFonts w:ascii="Aptos" w:hAnsi="Aptos"/>
                <w:b w:val="0"/>
                <w:color w:val="111827"/>
                <w:sz w:val="12"/>
              </w:rPr>
              <w:t>$5.91</w:t>
            </w:r>
          </w:p>
        </w:tc>
        <w:tc>
          <w:tcPr>
            <w:tcW w:type="dxa" w:w="576"/>
            <w:vAlign w:val="center"/>
            <w:shd w:fill="F5F7FA"/>
          </w:tcPr>
          <w:p>
            <w:pPr>
              <w:spacing w:after="0" w:before="0" w:line="240" w:lineRule="auto"/>
            </w:pPr>
            <w:r/>
            <w:r>
              <w:rPr>
                <w:rFonts w:ascii="Aptos" w:hAnsi="Aptos"/>
                <w:b w:val="0"/>
                <w:color w:val="111827"/>
                <w:sz w:val="12"/>
              </w:rPr>
              <w:t>$4.00</w:t>
            </w:r>
          </w:p>
        </w:tc>
        <w:tc>
          <w:tcPr>
            <w:tcW w:type="dxa" w:w="864"/>
            <w:vAlign w:val="center"/>
            <w:shd w:fill="F5F7FA"/>
          </w:tcPr>
          <w:p>
            <w:pPr>
              <w:spacing w:after="0" w:before="0" w:line="240" w:lineRule="auto"/>
            </w:pPr>
            <w:r/>
            <w:r>
              <w:rPr>
                <w:rFonts w:ascii="Aptos" w:hAnsi="Aptos"/>
                <w:b w:val="0"/>
                <w:color w:val="111827"/>
                <w:sz w:val="12"/>
              </w:rPr>
              <w:t>$23.46</w:t>
            </w:r>
          </w:p>
        </w:tc>
        <w:tc>
          <w:tcPr>
            <w:tcW w:type="dxa" w:w="936"/>
            <w:vAlign w:val="center"/>
            <w:shd w:fill="F5F7FA"/>
          </w:tcPr>
          <w:p>
            <w:pPr>
              <w:spacing w:after="0" w:before="0" w:line="240" w:lineRule="auto"/>
            </w:pPr>
            <w:r/>
            <w:r>
              <w:rPr>
                <w:rFonts w:ascii="Aptos" w:hAnsi="Aptos"/>
                <w:b w:val="0"/>
                <w:color w:val="111827"/>
                <w:sz w:val="12"/>
              </w:rPr>
              <w:t>$77.44</w:t>
            </w:r>
          </w:p>
        </w:tc>
        <w:tc>
          <w:tcPr>
            <w:tcW w:type="dxa" w:w="936"/>
            <w:vAlign w:val="center"/>
            <w:shd w:fill="F5F7FA"/>
          </w:tcPr>
          <w:p>
            <w:pPr>
              <w:spacing w:after="0" w:before="0" w:line="240" w:lineRule="auto"/>
            </w:pPr>
            <w:r/>
            <w:r>
              <w:rPr>
                <w:rFonts w:ascii="Aptos" w:hAnsi="Aptos"/>
                <w:b w:val="0"/>
                <w:color w:val="111827"/>
                <w:sz w:val="12"/>
              </w:rPr>
              <w:t>$9.29</w:t>
            </w:r>
          </w:p>
        </w:tc>
        <w:tc>
          <w:tcPr>
            <w:tcW w:type="dxa" w:w="720"/>
            <w:vAlign w:val="center"/>
            <w:shd w:fill="F5F7FA"/>
          </w:tcPr>
          <w:p>
            <w:pPr>
              <w:spacing w:after="0" w:before="0" w:line="240" w:lineRule="auto"/>
            </w:pPr>
            <w:r/>
            <w:r>
              <w:rPr>
                <w:rFonts w:ascii="Aptos" w:hAnsi="Aptos"/>
                <w:b w:val="0"/>
                <w:color w:val="111827"/>
                <w:sz w:val="12"/>
              </w:rPr>
              <w:t>929 bps</w:t>
            </w:r>
          </w:p>
        </w:tc>
      </w:tr>
      <w:tr>
        <w:tc>
          <w:tcPr>
            <w:tcW w:type="dxa" w:w="2232"/>
            <w:vAlign w:val="center"/>
          </w:tcPr>
          <w:p>
            <w:pPr>
              <w:spacing w:after="0" w:before="0" w:line="240" w:lineRule="auto"/>
            </w:pPr>
            <w:r/>
            <w:r>
              <w:rPr>
                <w:rFonts w:ascii="Aptos" w:hAnsi="Aptos"/>
                <w:b/>
                <w:color w:val="111827"/>
                <w:sz w:val="12"/>
              </w:rPr>
              <w:t>Headphones/small electronics ($100)</w:t>
            </w:r>
          </w:p>
        </w:tc>
        <w:tc>
          <w:tcPr>
            <w:tcW w:type="dxa" w:w="936"/>
            <w:vAlign w:val="center"/>
          </w:tcPr>
          <w:p>
            <w:pPr>
              <w:spacing w:after="0" w:before="0" w:line="240" w:lineRule="auto"/>
            </w:pPr>
            <w:r/>
            <w:r>
              <w:rPr>
                <w:rFonts w:ascii="Aptos" w:hAnsi="Aptos"/>
                <w:b w:val="0"/>
                <w:color w:val="111827"/>
                <w:sz w:val="12"/>
              </w:rPr>
              <w:t>High recovery</w:t>
            </w:r>
          </w:p>
        </w:tc>
        <w:tc>
          <w:tcPr>
            <w:tcW w:type="dxa" w:w="864"/>
            <w:vAlign w:val="center"/>
          </w:tcPr>
          <w:p>
            <w:pPr>
              <w:spacing w:after="0" w:before="0" w:line="240" w:lineRule="auto"/>
            </w:pPr>
            <w:r/>
            <w:r>
              <w:rPr>
                <w:rFonts w:ascii="Aptos" w:hAnsi="Aptos"/>
                <w:b w:val="0"/>
                <w:color w:val="111827"/>
                <w:sz w:val="12"/>
              </w:rPr>
              <w:t>$48.25</w:t>
            </w:r>
          </w:p>
        </w:tc>
        <w:tc>
          <w:tcPr>
            <w:tcW w:type="dxa" w:w="648"/>
            <w:vAlign w:val="center"/>
          </w:tcPr>
          <w:p>
            <w:pPr>
              <w:spacing w:after="0" w:before="0" w:line="240" w:lineRule="auto"/>
            </w:pPr>
            <w:r/>
            <w:r>
              <w:rPr>
                <w:rFonts w:ascii="Aptos" w:hAnsi="Aptos"/>
                <w:b w:val="0"/>
                <w:color w:val="111827"/>
                <w:sz w:val="12"/>
              </w:rPr>
              <w:t>$4.73</w:t>
            </w:r>
          </w:p>
        </w:tc>
        <w:tc>
          <w:tcPr>
            <w:tcW w:type="dxa" w:w="576"/>
            <w:vAlign w:val="center"/>
          </w:tcPr>
          <w:p>
            <w:pPr>
              <w:spacing w:after="0" w:before="0" w:line="240" w:lineRule="auto"/>
            </w:pPr>
            <w:r/>
            <w:r>
              <w:rPr>
                <w:rFonts w:ascii="Aptos" w:hAnsi="Aptos"/>
                <w:b w:val="0"/>
                <w:color w:val="111827"/>
                <w:sz w:val="12"/>
              </w:rPr>
              <w:t>$3.40</w:t>
            </w:r>
          </w:p>
        </w:tc>
        <w:tc>
          <w:tcPr>
            <w:tcW w:type="dxa" w:w="864"/>
            <w:vAlign w:val="center"/>
          </w:tcPr>
          <w:p>
            <w:pPr>
              <w:spacing w:after="0" w:before="0" w:line="240" w:lineRule="auto"/>
            </w:pPr>
            <w:r/>
            <w:r>
              <w:rPr>
                <w:rFonts w:ascii="Aptos" w:hAnsi="Aptos"/>
                <w:b w:val="0"/>
                <w:color w:val="111827"/>
                <w:sz w:val="12"/>
              </w:rPr>
              <w:t>$40.12</w:t>
            </w:r>
          </w:p>
        </w:tc>
        <w:tc>
          <w:tcPr>
            <w:tcW w:type="dxa" w:w="936"/>
            <w:vAlign w:val="center"/>
          </w:tcPr>
          <w:p>
            <w:pPr>
              <w:spacing w:after="0" w:before="0" w:line="240" w:lineRule="auto"/>
            </w:pPr>
            <w:r/>
            <w:r>
              <w:rPr>
                <w:rFonts w:ascii="Aptos" w:hAnsi="Aptos"/>
                <w:b w:val="0"/>
                <w:color w:val="111827"/>
                <w:sz w:val="12"/>
              </w:rPr>
              <w:t>$60.78</w:t>
            </w:r>
          </w:p>
        </w:tc>
        <w:tc>
          <w:tcPr>
            <w:tcW w:type="dxa" w:w="936"/>
            <w:vAlign w:val="center"/>
          </w:tcPr>
          <w:p>
            <w:pPr>
              <w:spacing w:after="0" w:before="0" w:line="240" w:lineRule="auto"/>
            </w:pPr>
            <w:r/>
            <w:r>
              <w:rPr>
                <w:rFonts w:ascii="Aptos" w:hAnsi="Aptos"/>
                <w:b w:val="0"/>
                <w:color w:val="111827"/>
                <w:sz w:val="12"/>
              </w:rPr>
              <w:t>$7.29</w:t>
            </w:r>
          </w:p>
        </w:tc>
        <w:tc>
          <w:tcPr>
            <w:tcW w:type="dxa" w:w="720"/>
            <w:vAlign w:val="center"/>
          </w:tcPr>
          <w:p>
            <w:pPr>
              <w:spacing w:after="0" w:before="0" w:line="240" w:lineRule="auto"/>
            </w:pPr>
            <w:r/>
            <w:r>
              <w:rPr>
                <w:rFonts w:ascii="Aptos" w:hAnsi="Aptos"/>
                <w:b w:val="0"/>
                <w:color w:val="111827"/>
                <w:sz w:val="12"/>
              </w:rPr>
              <w:t>729 bps</w:t>
            </w:r>
          </w:p>
        </w:tc>
      </w:tr>
      <w:tr>
        <w:tc>
          <w:tcPr>
            <w:tcW w:type="dxa" w:w="2232"/>
            <w:vAlign w:val="center"/>
            <w:shd w:fill="F5F7FA"/>
          </w:tcPr>
          <w:p>
            <w:pPr>
              <w:spacing w:after="0" w:before="0" w:line="240" w:lineRule="auto"/>
            </w:pPr>
            <w:r/>
            <w:r>
              <w:rPr>
                <w:rFonts w:ascii="Aptos" w:hAnsi="Aptos"/>
                <w:b/>
                <w:color w:val="111827"/>
                <w:sz w:val="12"/>
              </w:rPr>
              <w:t>Small appliance ($100)</w:t>
            </w:r>
          </w:p>
        </w:tc>
        <w:tc>
          <w:tcPr>
            <w:tcW w:type="dxa" w:w="936"/>
            <w:vAlign w:val="center"/>
            <w:shd w:fill="F5F7FA"/>
          </w:tcPr>
          <w:p>
            <w:pPr>
              <w:spacing w:after="0" w:before="0" w:line="240" w:lineRule="auto"/>
            </w:pPr>
            <w:r/>
            <w:r>
              <w:rPr>
                <w:rFonts w:ascii="Aptos" w:hAnsi="Aptos"/>
                <w:b w:val="0"/>
                <w:color w:val="111827"/>
                <w:sz w:val="12"/>
              </w:rPr>
              <w:t>Low recovery</w:t>
            </w:r>
          </w:p>
        </w:tc>
        <w:tc>
          <w:tcPr>
            <w:tcW w:type="dxa" w:w="864"/>
            <w:vAlign w:val="center"/>
            <w:shd w:fill="F5F7FA"/>
          </w:tcPr>
          <w:p>
            <w:pPr>
              <w:spacing w:after="0" w:before="0" w:line="240" w:lineRule="auto"/>
            </w:pPr>
            <w:r/>
            <w:r>
              <w:rPr>
                <w:rFonts w:ascii="Aptos" w:hAnsi="Aptos"/>
                <w:b w:val="0"/>
                <w:color w:val="111827"/>
                <w:sz w:val="12"/>
              </w:rPr>
              <w:t>$9.67</w:t>
            </w:r>
          </w:p>
        </w:tc>
        <w:tc>
          <w:tcPr>
            <w:tcW w:type="dxa" w:w="648"/>
            <w:vAlign w:val="center"/>
            <w:shd w:fill="F5F7FA"/>
          </w:tcPr>
          <w:p>
            <w:pPr>
              <w:spacing w:after="0" w:before="0" w:line="240" w:lineRule="auto"/>
            </w:pPr>
            <w:r/>
            <w:r>
              <w:rPr>
                <w:rFonts w:ascii="Aptos" w:hAnsi="Aptos"/>
                <w:b w:val="0"/>
                <w:color w:val="111827"/>
                <w:sz w:val="12"/>
              </w:rPr>
              <w:t>$16.41</w:t>
            </w:r>
          </w:p>
        </w:tc>
        <w:tc>
          <w:tcPr>
            <w:tcW w:type="dxa" w:w="576"/>
            <w:vAlign w:val="center"/>
            <w:shd w:fill="F5F7FA"/>
          </w:tcPr>
          <w:p>
            <w:pPr>
              <w:spacing w:after="0" w:before="0" w:line="240" w:lineRule="auto"/>
            </w:pPr>
            <w:r/>
            <w:r>
              <w:rPr>
                <w:rFonts w:ascii="Aptos" w:hAnsi="Aptos"/>
                <w:b w:val="0"/>
                <w:color w:val="111827"/>
                <w:sz w:val="12"/>
              </w:rPr>
              <w:t>$6.00</w:t>
            </w:r>
          </w:p>
        </w:tc>
        <w:tc>
          <w:tcPr>
            <w:tcW w:type="dxa" w:w="864"/>
            <w:vAlign w:val="center"/>
            <w:shd w:fill="F5F7FA"/>
          </w:tcPr>
          <w:p>
            <w:pPr>
              <w:spacing w:after="0" w:before="0" w:line="240" w:lineRule="auto"/>
            </w:pPr>
            <w:r/>
            <w:r>
              <w:rPr>
                <w:rFonts w:ascii="Aptos" w:hAnsi="Aptos"/>
                <w:b w:val="0"/>
                <w:color w:val="111827"/>
                <w:sz w:val="12"/>
              </w:rPr>
              <w:t>$-12.74</w:t>
            </w:r>
          </w:p>
        </w:tc>
        <w:tc>
          <w:tcPr>
            <w:tcW w:type="dxa" w:w="936"/>
            <w:vAlign w:val="center"/>
            <w:shd w:fill="F5F7FA"/>
          </w:tcPr>
          <w:p>
            <w:pPr>
              <w:spacing w:after="0" w:before="0" w:line="240" w:lineRule="auto"/>
            </w:pPr>
            <w:r/>
            <w:r>
              <w:rPr>
                <w:rFonts w:ascii="Aptos" w:hAnsi="Aptos"/>
                <w:b w:val="0"/>
                <w:color w:val="111827"/>
                <w:sz w:val="12"/>
              </w:rPr>
              <w:t>$113.19</w:t>
            </w:r>
          </w:p>
        </w:tc>
        <w:tc>
          <w:tcPr>
            <w:tcW w:type="dxa" w:w="936"/>
            <w:vAlign w:val="center"/>
            <w:shd w:fill="F5F7FA"/>
          </w:tcPr>
          <w:p>
            <w:pPr>
              <w:spacing w:after="0" w:before="0" w:line="240" w:lineRule="auto"/>
            </w:pPr>
            <w:r/>
            <w:r>
              <w:rPr>
                <w:rFonts w:ascii="Aptos" w:hAnsi="Aptos"/>
                <w:b w:val="0"/>
                <w:color w:val="111827"/>
                <w:sz w:val="12"/>
              </w:rPr>
              <w:t>$16.98</w:t>
            </w:r>
          </w:p>
        </w:tc>
        <w:tc>
          <w:tcPr>
            <w:tcW w:type="dxa" w:w="720"/>
            <w:vAlign w:val="center"/>
            <w:shd w:fill="F5F7FA"/>
          </w:tcPr>
          <w:p>
            <w:pPr>
              <w:spacing w:after="0" w:before="0" w:line="240" w:lineRule="auto"/>
            </w:pPr>
            <w:r/>
            <w:r>
              <w:rPr>
                <w:rFonts w:ascii="Aptos" w:hAnsi="Aptos"/>
                <w:b w:val="0"/>
                <w:color w:val="111827"/>
                <w:sz w:val="12"/>
              </w:rPr>
              <w:t>1,698 bps</w:t>
            </w:r>
          </w:p>
        </w:tc>
      </w:tr>
      <w:tr>
        <w:tc>
          <w:tcPr>
            <w:tcW w:type="dxa" w:w="2232"/>
            <w:vAlign w:val="center"/>
          </w:tcPr>
          <w:p>
            <w:pPr>
              <w:spacing w:after="0" w:before="0" w:line="240" w:lineRule="auto"/>
            </w:pPr>
            <w:r/>
            <w:r>
              <w:rPr>
                <w:rFonts w:ascii="Aptos" w:hAnsi="Aptos"/>
                <w:b/>
                <w:color w:val="111827"/>
                <w:sz w:val="12"/>
              </w:rPr>
              <w:t>Small appliance ($100)</w:t>
            </w:r>
          </w:p>
        </w:tc>
        <w:tc>
          <w:tcPr>
            <w:tcW w:type="dxa" w:w="936"/>
            <w:vAlign w:val="center"/>
          </w:tcPr>
          <w:p>
            <w:pPr>
              <w:spacing w:after="0" w:before="0" w:line="240" w:lineRule="auto"/>
            </w:pPr>
            <w:r/>
            <w:r>
              <w:rPr>
                <w:rFonts w:ascii="Aptos" w:hAnsi="Aptos"/>
                <w:b w:val="0"/>
                <w:color w:val="111827"/>
                <w:sz w:val="12"/>
              </w:rPr>
              <w:t>Base</w:t>
            </w:r>
          </w:p>
        </w:tc>
        <w:tc>
          <w:tcPr>
            <w:tcW w:type="dxa" w:w="864"/>
            <w:vAlign w:val="center"/>
          </w:tcPr>
          <w:p>
            <w:pPr>
              <w:spacing w:after="0" w:before="0" w:line="240" w:lineRule="auto"/>
            </w:pPr>
            <w:r/>
            <w:r>
              <w:rPr>
                <w:rFonts w:ascii="Aptos" w:hAnsi="Aptos"/>
                <w:b w:val="0"/>
                <w:color w:val="111827"/>
                <w:sz w:val="12"/>
              </w:rPr>
              <w:t>$22.34</w:t>
            </w:r>
          </w:p>
        </w:tc>
        <w:tc>
          <w:tcPr>
            <w:tcW w:type="dxa" w:w="648"/>
            <w:vAlign w:val="center"/>
          </w:tcPr>
          <w:p>
            <w:pPr>
              <w:spacing w:after="0" w:before="0" w:line="240" w:lineRule="auto"/>
            </w:pPr>
            <w:r/>
            <w:r>
              <w:rPr>
                <w:rFonts w:ascii="Aptos" w:hAnsi="Aptos"/>
                <w:b w:val="0"/>
                <w:color w:val="111827"/>
                <w:sz w:val="12"/>
              </w:rPr>
              <w:t>$13.12</w:t>
            </w:r>
          </w:p>
        </w:tc>
        <w:tc>
          <w:tcPr>
            <w:tcW w:type="dxa" w:w="576"/>
            <w:vAlign w:val="center"/>
          </w:tcPr>
          <w:p>
            <w:pPr>
              <w:spacing w:after="0" w:before="0" w:line="240" w:lineRule="auto"/>
            </w:pPr>
            <w:r/>
            <w:r>
              <w:rPr>
                <w:rFonts w:ascii="Aptos" w:hAnsi="Aptos"/>
                <w:b w:val="0"/>
                <w:color w:val="111827"/>
                <w:sz w:val="12"/>
              </w:rPr>
              <w:t>$5.00</w:t>
            </w:r>
          </w:p>
        </w:tc>
        <w:tc>
          <w:tcPr>
            <w:tcW w:type="dxa" w:w="864"/>
            <w:vAlign w:val="center"/>
          </w:tcPr>
          <w:p>
            <w:pPr>
              <w:spacing w:after="0" w:before="0" w:line="240" w:lineRule="auto"/>
            </w:pPr>
            <w:r/>
            <w:r>
              <w:rPr>
                <w:rFonts w:ascii="Aptos" w:hAnsi="Aptos"/>
                <w:b w:val="0"/>
                <w:color w:val="111827"/>
                <w:sz w:val="12"/>
              </w:rPr>
              <w:t>$4.22</w:t>
            </w:r>
          </w:p>
        </w:tc>
        <w:tc>
          <w:tcPr>
            <w:tcW w:type="dxa" w:w="936"/>
            <w:vAlign w:val="center"/>
          </w:tcPr>
          <w:p>
            <w:pPr>
              <w:spacing w:after="0" w:before="0" w:line="240" w:lineRule="auto"/>
            </w:pPr>
            <w:r/>
            <w:r>
              <w:rPr>
                <w:rFonts w:ascii="Aptos" w:hAnsi="Aptos"/>
                <w:b w:val="0"/>
                <w:color w:val="111827"/>
                <w:sz w:val="12"/>
              </w:rPr>
              <w:t>$96.23</w:t>
            </w:r>
          </w:p>
        </w:tc>
        <w:tc>
          <w:tcPr>
            <w:tcW w:type="dxa" w:w="936"/>
            <w:vAlign w:val="center"/>
          </w:tcPr>
          <w:p>
            <w:pPr>
              <w:spacing w:after="0" w:before="0" w:line="240" w:lineRule="auto"/>
            </w:pPr>
            <w:r/>
            <w:r>
              <w:rPr>
                <w:rFonts w:ascii="Aptos" w:hAnsi="Aptos"/>
                <w:b w:val="0"/>
                <w:color w:val="111827"/>
                <w:sz w:val="12"/>
              </w:rPr>
              <w:t>$14.44</w:t>
            </w:r>
          </w:p>
        </w:tc>
        <w:tc>
          <w:tcPr>
            <w:tcW w:type="dxa" w:w="720"/>
            <w:vAlign w:val="center"/>
          </w:tcPr>
          <w:p>
            <w:pPr>
              <w:spacing w:after="0" w:before="0" w:line="240" w:lineRule="auto"/>
            </w:pPr>
            <w:r/>
            <w:r>
              <w:rPr>
                <w:rFonts w:ascii="Aptos" w:hAnsi="Aptos"/>
                <w:b w:val="0"/>
                <w:color w:val="111827"/>
                <w:sz w:val="12"/>
              </w:rPr>
              <w:t>1,444 bps</w:t>
            </w:r>
          </w:p>
        </w:tc>
      </w:tr>
      <w:tr>
        <w:tc>
          <w:tcPr>
            <w:tcW w:type="dxa" w:w="2232"/>
            <w:vAlign w:val="center"/>
            <w:shd w:fill="F5F7FA"/>
          </w:tcPr>
          <w:p>
            <w:pPr>
              <w:spacing w:after="0" w:before="0" w:line="240" w:lineRule="auto"/>
            </w:pPr>
            <w:r/>
            <w:r>
              <w:rPr>
                <w:rFonts w:ascii="Aptos" w:hAnsi="Aptos"/>
                <w:b/>
                <w:color w:val="111827"/>
                <w:sz w:val="12"/>
              </w:rPr>
              <w:t>Small appliance ($100)</w:t>
            </w:r>
          </w:p>
        </w:tc>
        <w:tc>
          <w:tcPr>
            <w:tcW w:type="dxa" w:w="936"/>
            <w:vAlign w:val="center"/>
            <w:shd w:fill="F5F7FA"/>
          </w:tcPr>
          <w:p>
            <w:pPr>
              <w:spacing w:after="0" w:before="0" w:line="240" w:lineRule="auto"/>
            </w:pPr>
            <w:r/>
            <w:r>
              <w:rPr>
                <w:rFonts w:ascii="Aptos" w:hAnsi="Aptos"/>
                <w:b w:val="0"/>
                <w:color w:val="111827"/>
                <w:sz w:val="12"/>
              </w:rPr>
              <w:t>High recovery</w:t>
            </w:r>
          </w:p>
        </w:tc>
        <w:tc>
          <w:tcPr>
            <w:tcW w:type="dxa" w:w="864"/>
            <w:vAlign w:val="center"/>
            <w:shd w:fill="F5F7FA"/>
          </w:tcPr>
          <w:p>
            <w:pPr>
              <w:spacing w:after="0" w:before="0" w:line="240" w:lineRule="auto"/>
            </w:pPr>
            <w:r/>
            <w:r>
              <w:rPr>
                <w:rFonts w:ascii="Aptos" w:hAnsi="Aptos"/>
                <w:b w:val="0"/>
                <w:color w:val="111827"/>
                <w:sz w:val="12"/>
              </w:rPr>
              <w:t>$36.06</w:t>
            </w:r>
          </w:p>
        </w:tc>
        <w:tc>
          <w:tcPr>
            <w:tcW w:type="dxa" w:w="648"/>
            <w:vAlign w:val="center"/>
            <w:shd w:fill="F5F7FA"/>
          </w:tcPr>
          <w:p>
            <w:pPr>
              <w:spacing w:after="0" w:before="0" w:line="240" w:lineRule="auto"/>
            </w:pPr>
            <w:r/>
            <w:r>
              <w:rPr>
                <w:rFonts w:ascii="Aptos" w:hAnsi="Aptos"/>
                <w:b w:val="0"/>
                <w:color w:val="111827"/>
                <w:sz w:val="12"/>
              </w:rPr>
              <w:t>$10.50</w:t>
            </w:r>
          </w:p>
        </w:tc>
        <w:tc>
          <w:tcPr>
            <w:tcW w:type="dxa" w:w="576"/>
            <w:vAlign w:val="center"/>
            <w:shd w:fill="F5F7FA"/>
          </w:tcPr>
          <w:p>
            <w:pPr>
              <w:spacing w:after="0" w:before="0" w:line="240" w:lineRule="auto"/>
            </w:pPr>
            <w:r/>
            <w:r>
              <w:rPr>
                <w:rFonts w:ascii="Aptos" w:hAnsi="Aptos"/>
                <w:b w:val="0"/>
                <w:color w:val="111827"/>
                <w:sz w:val="12"/>
              </w:rPr>
              <w:t>$4.25</w:t>
            </w:r>
          </w:p>
        </w:tc>
        <w:tc>
          <w:tcPr>
            <w:tcW w:type="dxa" w:w="864"/>
            <w:vAlign w:val="center"/>
            <w:shd w:fill="F5F7FA"/>
          </w:tcPr>
          <w:p>
            <w:pPr>
              <w:spacing w:after="0" w:before="0" w:line="240" w:lineRule="auto"/>
            </w:pPr>
            <w:r/>
            <w:r>
              <w:rPr>
                <w:rFonts w:ascii="Aptos" w:hAnsi="Aptos"/>
                <w:b w:val="0"/>
                <w:color w:val="111827"/>
                <w:sz w:val="12"/>
              </w:rPr>
              <w:t>$21.31</w:t>
            </w:r>
          </w:p>
        </w:tc>
        <w:tc>
          <w:tcPr>
            <w:tcW w:type="dxa" w:w="936"/>
            <w:vAlign w:val="center"/>
            <w:shd w:fill="F5F7FA"/>
          </w:tcPr>
          <w:p>
            <w:pPr>
              <w:spacing w:after="0" w:before="0" w:line="240" w:lineRule="auto"/>
            </w:pPr>
            <w:r/>
            <w:r>
              <w:rPr>
                <w:rFonts w:ascii="Aptos" w:hAnsi="Aptos"/>
                <w:b w:val="0"/>
                <w:color w:val="111827"/>
                <w:sz w:val="12"/>
              </w:rPr>
              <w:t>$79.14</w:t>
            </w:r>
          </w:p>
        </w:tc>
        <w:tc>
          <w:tcPr>
            <w:tcW w:type="dxa" w:w="936"/>
            <w:vAlign w:val="center"/>
            <w:shd w:fill="F5F7FA"/>
          </w:tcPr>
          <w:p>
            <w:pPr>
              <w:spacing w:after="0" w:before="0" w:line="240" w:lineRule="auto"/>
            </w:pPr>
            <w:r/>
            <w:r>
              <w:rPr>
                <w:rFonts w:ascii="Aptos" w:hAnsi="Aptos"/>
                <w:b w:val="0"/>
                <w:color w:val="111827"/>
                <w:sz w:val="12"/>
              </w:rPr>
              <w:t>$11.87</w:t>
            </w:r>
          </w:p>
        </w:tc>
        <w:tc>
          <w:tcPr>
            <w:tcW w:type="dxa" w:w="720"/>
            <w:vAlign w:val="center"/>
            <w:shd w:fill="F5F7FA"/>
          </w:tcPr>
          <w:p>
            <w:pPr>
              <w:spacing w:after="0" w:before="0" w:line="240" w:lineRule="auto"/>
            </w:pPr>
            <w:r/>
            <w:r>
              <w:rPr>
                <w:rFonts w:ascii="Aptos" w:hAnsi="Aptos"/>
                <w:b w:val="0"/>
                <w:color w:val="111827"/>
                <w:sz w:val="12"/>
              </w:rPr>
              <w:t>1,187 bps</w:t>
            </w:r>
          </w:p>
        </w:tc>
      </w:tr>
      <w:tr>
        <w:tc>
          <w:tcPr>
            <w:tcW w:type="dxa" w:w="2232"/>
            <w:vAlign w:val="center"/>
          </w:tcPr>
          <w:p>
            <w:pPr>
              <w:spacing w:after="0" w:before="0" w:line="240" w:lineRule="auto"/>
            </w:pPr>
            <w:r/>
            <w:r>
              <w:rPr>
                <w:rFonts w:ascii="Aptos" w:hAnsi="Aptos"/>
                <w:b/>
                <w:color w:val="111827"/>
                <w:sz w:val="12"/>
              </w:rPr>
              <w:t>Laptop/phone premium electronics ($500)</w:t>
            </w:r>
          </w:p>
        </w:tc>
        <w:tc>
          <w:tcPr>
            <w:tcW w:type="dxa" w:w="936"/>
            <w:vAlign w:val="center"/>
          </w:tcPr>
          <w:p>
            <w:pPr>
              <w:spacing w:after="0" w:before="0" w:line="240" w:lineRule="auto"/>
            </w:pPr>
            <w:r/>
            <w:r>
              <w:rPr>
                <w:rFonts w:ascii="Aptos" w:hAnsi="Aptos"/>
                <w:b w:val="0"/>
                <w:color w:val="111827"/>
                <w:sz w:val="12"/>
              </w:rPr>
              <w:t>Low recovery</w:t>
            </w:r>
          </w:p>
        </w:tc>
        <w:tc>
          <w:tcPr>
            <w:tcW w:type="dxa" w:w="864"/>
            <w:vAlign w:val="center"/>
          </w:tcPr>
          <w:p>
            <w:pPr>
              <w:spacing w:after="0" w:before="0" w:line="240" w:lineRule="auto"/>
            </w:pPr>
            <w:r/>
            <w:r>
              <w:rPr>
                <w:rFonts w:ascii="Aptos" w:hAnsi="Aptos"/>
                <w:b w:val="0"/>
                <w:color w:val="111827"/>
                <w:sz w:val="12"/>
              </w:rPr>
              <w:t>$123.07</w:t>
            </w:r>
          </w:p>
        </w:tc>
        <w:tc>
          <w:tcPr>
            <w:tcW w:type="dxa" w:w="648"/>
            <w:vAlign w:val="center"/>
          </w:tcPr>
          <w:p>
            <w:pPr>
              <w:spacing w:after="0" w:before="0" w:line="240" w:lineRule="auto"/>
            </w:pPr>
            <w:r/>
            <w:r>
              <w:rPr>
                <w:rFonts w:ascii="Aptos" w:hAnsi="Aptos"/>
                <w:b w:val="0"/>
                <w:color w:val="111827"/>
                <w:sz w:val="12"/>
              </w:rPr>
              <w:t>$10.25</w:t>
            </w:r>
          </w:p>
        </w:tc>
        <w:tc>
          <w:tcPr>
            <w:tcW w:type="dxa" w:w="576"/>
            <w:vAlign w:val="center"/>
          </w:tcPr>
          <w:p>
            <w:pPr>
              <w:spacing w:after="0" w:before="0" w:line="240" w:lineRule="auto"/>
            </w:pPr>
            <w:r/>
            <w:r>
              <w:rPr>
                <w:rFonts w:ascii="Aptos" w:hAnsi="Aptos"/>
                <w:b w:val="0"/>
                <w:color w:val="111827"/>
                <w:sz w:val="12"/>
              </w:rPr>
              <w:t>$12.24</w:t>
            </w:r>
          </w:p>
        </w:tc>
        <w:tc>
          <w:tcPr>
            <w:tcW w:type="dxa" w:w="864"/>
            <w:vAlign w:val="center"/>
          </w:tcPr>
          <w:p>
            <w:pPr>
              <w:spacing w:after="0" w:before="0" w:line="240" w:lineRule="auto"/>
            </w:pPr>
            <w:r/>
            <w:r>
              <w:rPr>
                <w:rFonts w:ascii="Aptos" w:hAnsi="Aptos"/>
                <w:b w:val="0"/>
                <w:color w:val="111827"/>
                <w:sz w:val="12"/>
              </w:rPr>
              <w:t>$100.58</w:t>
            </w:r>
          </w:p>
        </w:tc>
        <w:tc>
          <w:tcPr>
            <w:tcW w:type="dxa" w:w="936"/>
            <w:vAlign w:val="center"/>
          </w:tcPr>
          <w:p>
            <w:pPr>
              <w:spacing w:after="0" w:before="0" w:line="240" w:lineRule="auto"/>
            </w:pPr>
            <w:r/>
            <w:r>
              <w:rPr>
                <w:rFonts w:ascii="Aptos" w:hAnsi="Aptos"/>
                <w:b w:val="0"/>
                <w:color w:val="111827"/>
                <w:sz w:val="12"/>
              </w:rPr>
              <w:t>$404.32</w:t>
            </w:r>
          </w:p>
        </w:tc>
        <w:tc>
          <w:tcPr>
            <w:tcW w:type="dxa" w:w="936"/>
            <w:vAlign w:val="center"/>
          </w:tcPr>
          <w:p>
            <w:pPr>
              <w:spacing w:after="0" w:before="0" w:line="240" w:lineRule="auto"/>
            </w:pPr>
            <w:r/>
            <w:r>
              <w:rPr>
                <w:rFonts w:ascii="Aptos" w:hAnsi="Aptos"/>
                <w:b w:val="0"/>
                <w:color w:val="111827"/>
                <w:sz w:val="12"/>
              </w:rPr>
              <w:t>$40.43</w:t>
            </w:r>
          </w:p>
        </w:tc>
        <w:tc>
          <w:tcPr>
            <w:tcW w:type="dxa" w:w="720"/>
            <w:vAlign w:val="center"/>
          </w:tcPr>
          <w:p>
            <w:pPr>
              <w:spacing w:after="0" w:before="0" w:line="240" w:lineRule="auto"/>
            </w:pPr>
            <w:r/>
            <w:r>
              <w:rPr>
                <w:rFonts w:ascii="Aptos" w:hAnsi="Aptos"/>
                <w:b w:val="0"/>
                <w:color w:val="111827"/>
                <w:sz w:val="12"/>
              </w:rPr>
              <w:t>809 bps</w:t>
            </w:r>
          </w:p>
        </w:tc>
      </w:tr>
      <w:tr>
        <w:tc>
          <w:tcPr>
            <w:tcW w:type="dxa" w:w="2232"/>
            <w:vAlign w:val="center"/>
            <w:shd w:fill="F5F7FA"/>
          </w:tcPr>
          <w:p>
            <w:pPr>
              <w:spacing w:after="0" w:before="0" w:line="240" w:lineRule="auto"/>
            </w:pPr>
            <w:r/>
            <w:r>
              <w:rPr>
                <w:rFonts w:ascii="Aptos" w:hAnsi="Aptos"/>
                <w:b/>
                <w:color w:val="111827"/>
                <w:sz w:val="12"/>
              </w:rPr>
              <w:t>Laptop/phone premium electronics ($500)</w:t>
            </w:r>
          </w:p>
        </w:tc>
        <w:tc>
          <w:tcPr>
            <w:tcW w:type="dxa" w:w="936"/>
            <w:vAlign w:val="center"/>
            <w:shd w:fill="F5F7FA"/>
          </w:tcPr>
          <w:p>
            <w:pPr>
              <w:spacing w:after="0" w:before="0" w:line="240" w:lineRule="auto"/>
            </w:pPr>
            <w:r/>
            <w:r>
              <w:rPr>
                <w:rFonts w:ascii="Aptos" w:hAnsi="Aptos"/>
                <w:b w:val="0"/>
                <w:color w:val="111827"/>
                <w:sz w:val="12"/>
              </w:rPr>
              <w:t>Base</w:t>
            </w:r>
          </w:p>
        </w:tc>
        <w:tc>
          <w:tcPr>
            <w:tcW w:type="dxa" w:w="864"/>
            <w:vAlign w:val="center"/>
            <w:shd w:fill="F5F7FA"/>
          </w:tcPr>
          <w:p>
            <w:pPr>
              <w:spacing w:after="0" w:before="0" w:line="240" w:lineRule="auto"/>
            </w:pPr>
            <w:r/>
            <w:r>
              <w:rPr>
                <w:rFonts w:ascii="Aptos" w:hAnsi="Aptos"/>
                <w:b w:val="0"/>
                <w:color w:val="111827"/>
                <w:sz w:val="12"/>
              </w:rPr>
              <w:t>$200.58</w:t>
            </w:r>
          </w:p>
        </w:tc>
        <w:tc>
          <w:tcPr>
            <w:tcW w:type="dxa" w:w="648"/>
            <w:vAlign w:val="center"/>
            <w:shd w:fill="F5F7FA"/>
          </w:tcPr>
          <w:p>
            <w:pPr>
              <w:spacing w:after="0" w:before="0" w:line="240" w:lineRule="auto"/>
            </w:pPr>
            <w:r/>
            <w:r>
              <w:rPr>
                <w:rFonts w:ascii="Aptos" w:hAnsi="Aptos"/>
                <w:b w:val="0"/>
                <w:color w:val="111827"/>
                <w:sz w:val="12"/>
              </w:rPr>
              <w:t>$8.20</w:t>
            </w:r>
          </w:p>
        </w:tc>
        <w:tc>
          <w:tcPr>
            <w:tcW w:type="dxa" w:w="576"/>
            <w:vAlign w:val="center"/>
            <w:shd w:fill="F5F7FA"/>
          </w:tcPr>
          <w:p>
            <w:pPr>
              <w:spacing w:after="0" w:before="0" w:line="240" w:lineRule="auto"/>
            </w:pPr>
            <w:r/>
            <w:r>
              <w:rPr>
                <w:rFonts w:ascii="Aptos" w:hAnsi="Aptos"/>
                <w:b w:val="0"/>
                <w:color w:val="111827"/>
                <w:sz w:val="12"/>
              </w:rPr>
              <w:t>$10.20</w:t>
            </w:r>
          </w:p>
        </w:tc>
        <w:tc>
          <w:tcPr>
            <w:tcW w:type="dxa" w:w="864"/>
            <w:vAlign w:val="center"/>
            <w:shd w:fill="F5F7FA"/>
          </w:tcPr>
          <w:p>
            <w:pPr>
              <w:spacing w:after="0" w:before="0" w:line="240" w:lineRule="auto"/>
            </w:pPr>
            <w:r/>
            <w:r>
              <w:rPr>
                <w:rFonts w:ascii="Aptos" w:hAnsi="Aptos"/>
                <w:b w:val="0"/>
                <w:color w:val="111827"/>
                <w:sz w:val="12"/>
              </w:rPr>
              <w:t>$182.18</w:t>
            </w:r>
          </w:p>
        </w:tc>
        <w:tc>
          <w:tcPr>
            <w:tcW w:type="dxa" w:w="936"/>
            <w:vAlign w:val="center"/>
            <w:shd w:fill="F5F7FA"/>
          </w:tcPr>
          <w:p>
            <w:pPr>
              <w:spacing w:after="0" w:before="0" w:line="240" w:lineRule="auto"/>
            </w:pPr>
            <w:r/>
            <w:r>
              <w:rPr>
                <w:rFonts w:ascii="Aptos" w:hAnsi="Aptos"/>
                <w:b w:val="0"/>
                <w:color w:val="111827"/>
                <w:sz w:val="12"/>
              </w:rPr>
              <w:t>$322.72</w:t>
            </w:r>
          </w:p>
        </w:tc>
        <w:tc>
          <w:tcPr>
            <w:tcW w:type="dxa" w:w="936"/>
            <w:vAlign w:val="center"/>
            <w:shd w:fill="F5F7FA"/>
          </w:tcPr>
          <w:p>
            <w:pPr>
              <w:spacing w:after="0" w:before="0" w:line="240" w:lineRule="auto"/>
            </w:pPr>
            <w:r/>
            <w:r>
              <w:rPr>
                <w:rFonts w:ascii="Aptos" w:hAnsi="Aptos"/>
                <w:b w:val="0"/>
                <w:color w:val="111827"/>
                <w:sz w:val="12"/>
              </w:rPr>
              <w:t>$32.27</w:t>
            </w:r>
          </w:p>
        </w:tc>
        <w:tc>
          <w:tcPr>
            <w:tcW w:type="dxa" w:w="720"/>
            <w:vAlign w:val="center"/>
            <w:shd w:fill="F5F7FA"/>
          </w:tcPr>
          <w:p>
            <w:pPr>
              <w:spacing w:after="0" w:before="0" w:line="240" w:lineRule="auto"/>
            </w:pPr>
            <w:r/>
            <w:r>
              <w:rPr>
                <w:rFonts w:ascii="Aptos" w:hAnsi="Aptos"/>
                <w:b w:val="0"/>
                <w:color w:val="111827"/>
                <w:sz w:val="12"/>
              </w:rPr>
              <w:t>645 bps</w:t>
            </w:r>
          </w:p>
        </w:tc>
      </w:tr>
      <w:tr>
        <w:tc>
          <w:tcPr>
            <w:tcW w:type="dxa" w:w="2232"/>
            <w:vAlign w:val="center"/>
          </w:tcPr>
          <w:p>
            <w:pPr>
              <w:spacing w:after="0" w:before="0" w:line="240" w:lineRule="auto"/>
            </w:pPr>
            <w:r/>
            <w:r>
              <w:rPr>
                <w:rFonts w:ascii="Aptos" w:hAnsi="Aptos"/>
                <w:b/>
                <w:color w:val="111827"/>
                <w:sz w:val="12"/>
              </w:rPr>
              <w:t>Laptop/phone premium electronics ($500)</w:t>
            </w:r>
          </w:p>
        </w:tc>
        <w:tc>
          <w:tcPr>
            <w:tcW w:type="dxa" w:w="936"/>
            <w:vAlign w:val="center"/>
          </w:tcPr>
          <w:p>
            <w:pPr>
              <w:spacing w:after="0" w:before="0" w:line="240" w:lineRule="auto"/>
            </w:pPr>
            <w:r/>
            <w:r>
              <w:rPr>
                <w:rFonts w:ascii="Aptos" w:hAnsi="Aptos"/>
                <w:b w:val="0"/>
                <w:color w:val="111827"/>
                <w:sz w:val="12"/>
              </w:rPr>
              <w:t>High recovery</w:t>
            </w:r>
          </w:p>
        </w:tc>
        <w:tc>
          <w:tcPr>
            <w:tcW w:type="dxa" w:w="864"/>
            <w:vAlign w:val="center"/>
          </w:tcPr>
          <w:p>
            <w:pPr>
              <w:spacing w:after="0" w:before="0" w:line="240" w:lineRule="auto"/>
            </w:pPr>
            <w:r/>
            <w:r>
              <w:rPr>
                <w:rFonts w:ascii="Aptos" w:hAnsi="Aptos"/>
                <w:b w:val="0"/>
                <w:color w:val="111827"/>
                <w:sz w:val="12"/>
              </w:rPr>
              <w:t>$275.85</w:t>
            </w:r>
          </w:p>
        </w:tc>
        <w:tc>
          <w:tcPr>
            <w:tcW w:type="dxa" w:w="648"/>
            <w:vAlign w:val="center"/>
          </w:tcPr>
          <w:p>
            <w:pPr>
              <w:spacing w:after="0" w:before="0" w:line="240" w:lineRule="auto"/>
            </w:pPr>
            <w:r/>
            <w:r>
              <w:rPr>
                <w:rFonts w:ascii="Aptos" w:hAnsi="Aptos"/>
                <w:b w:val="0"/>
                <w:color w:val="111827"/>
                <w:sz w:val="12"/>
              </w:rPr>
              <w:t>$6.56</w:t>
            </w:r>
          </w:p>
        </w:tc>
        <w:tc>
          <w:tcPr>
            <w:tcW w:type="dxa" w:w="576"/>
            <w:vAlign w:val="center"/>
          </w:tcPr>
          <w:p>
            <w:pPr>
              <w:spacing w:after="0" w:before="0" w:line="240" w:lineRule="auto"/>
            </w:pPr>
            <w:r/>
            <w:r>
              <w:rPr>
                <w:rFonts w:ascii="Aptos" w:hAnsi="Aptos"/>
                <w:b w:val="0"/>
                <w:color w:val="111827"/>
                <w:sz w:val="12"/>
              </w:rPr>
              <w:t>$8.67</w:t>
            </w:r>
          </w:p>
        </w:tc>
        <w:tc>
          <w:tcPr>
            <w:tcW w:type="dxa" w:w="864"/>
            <w:vAlign w:val="center"/>
          </w:tcPr>
          <w:p>
            <w:pPr>
              <w:spacing w:after="0" w:before="0" w:line="240" w:lineRule="auto"/>
            </w:pPr>
            <w:r/>
            <w:r>
              <w:rPr>
                <w:rFonts w:ascii="Aptos" w:hAnsi="Aptos"/>
                <w:b w:val="0"/>
                <w:color w:val="111827"/>
                <w:sz w:val="12"/>
              </w:rPr>
              <w:t>$260.62</w:t>
            </w:r>
          </w:p>
        </w:tc>
        <w:tc>
          <w:tcPr>
            <w:tcW w:type="dxa" w:w="936"/>
            <w:vAlign w:val="center"/>
          </w:tcPr>
          <w:p>
            <w:pPr>
              <w:spacing w:after="0" w:before="0" w:line="240" w:lineRule="auto"/>
            </w:pPr>
            <w:r/>
            <w:r>
              <w:rPr>
                <w:rFonts w:ascii="Aptos" w:hAnsi="Aptos"/>
                <w:b w:val="0"/>
                <w:color w:val="111827"/>
                <w:sz w:val="12"/>
              </w:rPr>
              <w:t>$244.28</w:t>
            </w:r>
          </w:p>
        </w:tc>
        <w:tc>
          <w:tcPr>
            <w:tcW w:type="dxa" w:w="936"/>
            <w:vAlign w:val="center"/>
          </w:tcPr>
          <w:p>
            <w:pPr>
              <w:spacing w:after="0" w:before="0" w:line="240" w:lineRule="auto"/>
            </w:pPr>
            <w:r/>
            <w:r>
              <w:rPr>
                <w:rFonts w:ascii="Aptos" w:hAnsi="Aptos"/>
                <w:b w:val="0"/>
                <w:color w:val="111827"/>
                <w:sz w:val="12"/>
              </w:rPr>
              <w:t>$24.43</w:t>
            </w:r>
          </w:p>
        </w:tc>
        <w:tc>
          <w:tcPr>
            <w:tcW w:type="dxa" w:w="720"/>
            <w:vAlign w:val="center"/>
          </w:tcPr>
          <w:p>
            <w:pPr>
              <w:spacing w:after="0" w:before="0" w:line="240" w:lineRule="auto"/>
            </w:pPr>
            <w:r/>
            <w:r>
              <w:rPr>
                <w:rFonts w:ascii="Aptos" w:hAnsi="Aptos"/>
                <w:b w:val="0"/>
                <w:color w:val="111827"/>
                <w:sz w:val="12"/>
              </w:rPr>
              <w:t>489 bps</w:t>
            </w:r>
          </w:p>
        </w:tc>
      </w:tr>
      <w:tr>
        <w:tc>
          <w:tcPr>
            <w:tcW w:type="dxa" w:w="2232"/>
            <w:vAlign w:val="center"/>
            <w:shd w:fill="F5F7FA"/>
          </w:tcPr>
          <w:p>
            <w:pPr>
              <w:spacing w:after="0" w:before="0" w:line="240" w:lineRule="auto"/>
            </w:pPr>
            <w:r/>
            <w:r>
              <w:rPr>
                <w:rFonts w:ascii="Aptos" w:hAnsi="Aptos"/>
                <w:b/>
                <w:color w:val="111827"/>
                <w:sz w:val="12"/>
              </w:rPr>
              <w:t>Furniture product ($500)</w:t>
            </w:r>
          </w:p>
        </w:tc>
        <w:tc>
          <w:tcPr>
            <w:tcW w:type="dxa" w:w="936"/>
            <w:vAlign w:val="center"/>
            <w:shd w:fill="F5F7FA"/>
          </w:tcPr>
          <w:p>
            <w:pPr>
              <w:spacing w:after="0" w:before="0" w:line="240" w:lineRule="auto"/>
            </w:pPr>
            <w:r/>
            <w:r>
              <w:rPr>
                <w:rFonts w:ascii="Aptos" w:hAnsi="Aptos"/>
                <w:b w:val="0"/>
                <w:color w:val="111827"/>
                <w:sz w:val="12"/>
              </w:rPr>
              <w:t>Low recovery</w:t>
            </w:r>
          </w:p>
        </w:tc>
        <w:tc>
          <w:tcPr>
            <w:tcW w:type="dxa" w:w="864"/>
            <w:vAlign w:val="center"/>
            <w:shd w:fill="F5F7FA"/>
          </w:tcPr>
          <w:p>
            <w:pPr>
              <w:spacing w:after="0" w:before="0" w:line="240" w:lineRule="auto"/>
            </w:pPr>
            <w:r/>
            <w:r>
              <w:rPr>
                <w:rFonts w:ascii="Aptos" w:hAnsi="Aptos"/>
                <w:b w:val="0"/>
                <w:color w:val="111827"/>
                <w:sz w:val="12"/>
              </w:rPr>
              <w:t>$25.90</w:t>
            </w:r>
          </w:p>
        </w:tc>
        <w:tc>
          <w:tcPr>
            <w:tcW w:type="dxa" w:w="648"/>
            <w:vAlign w:val="center"/>
            <w:shd w:fill="F5F7FA"/>
          </w:tcPr>
          <w:p>
            <w:pPr>
              <w:spacing w:after="0" w:before="0" w:line="240" w:lineRule="auto"/>
            </w:pPr>
            <w:r/>
            <w:r>
              <w:rPr>
                <w:rFonts w:ascii="Aptos" w:hAnsi="Aptos"/>
                <w:b w:val="0"/>
                <w:color w:val="111827"/>
                <w:sz w:val="12"/>
              </w:rPr>
              <w:t>$123.62</w:t>
            </w:r>
          </w:p>
        </w:tc>
        <w:tc>
          <w:tcPr>
            <w:tcW w:type="dxa" w:w="576"/>
            <w:vAlign w:val="center"/>
            <w:shd w:fill="F5F7FA"/>
          </w:tcPr>
          <w:p>
            <w:pPr>
              <w:spacing w:after="0" w:before="0" w:line="240" w:lineRule="auto"/>
            </w:pPr>
            <w:r/>
            <w:r>
              <w:rPr>
                <w:rFonts w:ascii="Aptos" w:hAnsi="Aptos"/>
                <w:b w:val="0"/>
                <w:color w:val="111827"/>
                <w:sz w:val="12"/>
              </w:rPr>
              <w:t>$12.00</w:t>
            </w:r>
          </w:p>
        </w:tc>
        <w:tc>
          <w:tcPr>
            <w:tcW w:type="dxa" w:w="864"/>
            <w:vAlign w:val="center"/>
            <w:shd w:fill="F5F7FA"/>
          </w:tcPr>
          <w:p>
            <w:pPr>
              <w:spacing w:after="0" w:before="0" w:line="240" w:lineRule="auto"/>
            </w:pPr>
            <w:r/>
            <w:r>
              <w:rPr>
                <w:rFonts w:ascii="Aptos" w:hAnsi="Aptos"/>
                <w:b w:val="0"/>
                <w:color w:val="111827"/>
                <w:sz w:val="12"/>
              </w:rPr>
              <w:t>$-109.72</w:t>
            </w:r>
          </w:p>
        </w:tc>
        <w:tc>
          <w:tcPr>
            <w:tcW w:type="dxa" w:w="936"/>
            <w:vAlign w:val="center"/>
            <w:shd w:fill="F5F7FA"/>
          </w:tcPr>
          <w:p>
            <w:pPr>
              <w:spacing w:after="0" w:before="0" w:line="240" w:lineRule="auto"/>
            </w:pPr>
            <w:r/>
            <w:r>
              <w:rPr>
                <w:rFonts w:ascii="Aptos" w:hAnsi="Aptos"/>
                <w:b w:val="0"/>
                <w:color w:val="111827"/>
                <w:sz w:val="12"/>
              </w:rPr>
              <w:t>$610.02</w:t>
            </w:r>
          </w:p>
        </w:tc>
        <w:tc>
          <w:tcPr>
            <w:tcW w:type="dxa" w:w="936"/>
            <w:vAlign w:val="center"/>
            <w:shd w:fill="F5F7FA"/>
          </w:tcPr>
          <w:p>
            <w:pPr>
              <w:spacing w:after="0" w:before="0" w:line="240" w:lineRule="auto"/>
            </w:pPr>
            <w:r/>
            <w:r>
              <w:rPr>
                <w:rFonts w:ascii="Aptos" w:hAnsi="Aptos"/>
                <w:b w:val="0"/>
                <w:color w:val="111827"/>
                <w:sz w:val="12"/>
              </w:rPr>
              <w:t>$109.80</w:t>
            </w:r>
          </w:p>
        </w:tc>
        <w:tc>
          <w:tcPr>
            <w:tcW w:type="dxa" w:w="720"/>
            <w:vAlign w:val="center"/>
            <w:shd w:fill="F5F7FA"/>
          </w:tcPr>
          <w:p>
            <w:pPr>
              <w:spacing w:after="0" w:before="0" w:line="240" w:lineRule="auto"/>
            </w:pPr>
            <w:r/>
            <w:r>
              <w:rPr>
                <w:rFonts w:ascii="Aptos" w:hAnsi="Aptos"/>
                <w:b w:val="0"/>
                <w:color w:val="111827"/>
                <w:sz w:val="12"/>
              </w:rPr>
              <w:t>2,196 bps</w:t>
            </w:r>
          </w:p>
        </w:tc>
      </w:tr>
      <w:tr>
        <w:tc>
          <w:tcPr>
            <w:tcW w:type="dxa" w:w="2232"/>
            <w:vAlign w:val="center"/>
          </w:tcPr>
          <w:p>
            <w:pPr>
              <w:spacing w:after="0" w:before="0" w:line="240" w:lineRule="auto"/>
            </w:pPr>
            <w:r/>
            <w:r>
              <w:rPr>
                <w:rFonts w:ascii="Aptos" w:hAnsi="Aptos"/>
                <w:b/>
                <w:color w:val="111827"/>
                <w:sz w:val="12"/>
              </w:rPr>
              <w:t>Furniture product ($500)</w:t>
            </w:r>
          </w:p>
        </w:tc>
        <w:tc>
          <w:tcPr>
            <w:tcW w:type="dxa" w:w="936"/>
            <w:vAlign w:val="center"/>
          </w:tcPr>
          <w:p>
            <w:pPr>
              <w:spacing w:after="0" w:before="0" w:line="240" w:lineRule="auto"/>
            </w:pPr>
            <w:r/>
            <w:r>
              <w:rPr>
                <w:rFonts w:ascii="Aptos" w:hAnsi="Aptos"/>
                <w:b w:val="0"/>
                <w:color w:val="111827"/>
                <w:sz w:val="12"/>
              </w:rPr>
              <w:t>Base</w:t>
            </w:r>
          </w:p>
        </w:tc>
        <w:tc>
          <w:tcPr>
            <w:tcW w:type="dxa" w:w="864"/>
            <w:vAlign w:val="center"/>
          </w:tcPr>
          <w:p>
            <w:pPr>
              <w:spacing w:after="0" w:before="0" w:line="240" w:lineRule="auto"/>
            </w:pPr>
            <w:r/>
            <w:r>
              <w:rPr>
                <w:rFonts w:ascii="Aptos" w:hAnsi="Aptos"/>
                <w:b w:val="0"/>
                <w:color w:val="111827"/>
                <w:sz w:val="12"/>
              </w:rPr>
              <w:t>$95.16</w:t>
            </w:r>
          </w:p>
        </w:tc>
        <w:tc>
          <w:tcPr>
            <w:tcW w:type="dxa" w:w="648"/>
            <w:vAlign w:val="center"/>
          </w:tcPr>
          <w:p>
            <w:pPr>
              <w:spacing w:after="0" w:before="0" w:line="240" w:lineRule="auto"/>
            </w:pPr>
            <w:r/>
            <w:r>
              <w:rPr>
                <w:rFonts w:ascii="Aptos" w:hAnsi="Aptos"/>
                <w:b w:val="0"/>
                <w:color w:val="111827"/>
                <w:sz w:val="12"/>
              </w:rPr>
              <w:t>$98.90</w:t>
            </w:r>
          </w:p>
        </w:tc>
        <w:tc>
          <w:tcPr>
            <w:tcW w:type="dxa" w:w="576"/>
            <w:vAlign w:val="center"/>
          </w:tcPr>
          <w:p>
            <w:pPr>
              <w:spacing w:after="0" w:before="0" w:line="240" w:lineRule="auto"/>
            </w:pPr>
            <w:r/>
            <w:r>
              <w:rPr>
                <w:rFonts w:ascii="Aptos" w:hAnsi="Aptos"/>
                <w:b w:val="0"/>
                <w:color w:val="111827"/>
                <w:sz w:val="12"/>
              </w:rPr>
              <w:t>$10.00</w:t>
            </w:r>
          </w:p>
        </w:tc>
        <w:tc>
          <w:tcPr>
            <w:tcW w:type="dxa" w:w="864"/>
            <w:vAlign w:val="center"/>
          </w:tcPr>
          <w:p>
            <w:pPr>
              <w:spacing w:after="0" w:before="0" w:line="240" w:lineRule="auto"/>
            </w:pPr>
            <w:r/>
            <w:r>
              <w:rPr>
                <w:rFonts w:ascii="Aptos" w:hAnsi="Aptos"/>
                <w:b w:val="0"/>
                <w:color w:val="111827"/>
                <w:sz w:val="12"/>
              </w:rPr>
              <w:t>$-13.74</w:t>
            </w:r>
          </w:p>
        </w:tc>
        <w:tc>
          <w:tcPr>
            <w:tcW w:type="dxa" w:w="936"/>
            <w:vAlign w:val="center"/>
          </w:tcPr>
          <w:p>
            <w:pPr>
              <w:spacing w:after="0" w:before="0" w:line="240" w:lineRule="auto"/>
            </w:pPr>
            <w:r/>
            <w:r>
              <w:rPr>
                <w:rFonts w:ascii="Aptos" w:hAnsi="Aptos"/>
                <w:b w:val="0"/>
                <w:color w:val="111827"/>
                <w:sz w:val="12"/>
              </w:rPr>
              <w:t>$514.04</w:t>
            </w:r>
          </w:p>
        </w:tc>
        <w:tc>
          <w:tcPr>
            <w:tcW w:type="dxa" w:w="936"/>
            <w:vAlign w:val="center"/>
          </w:tcPr>
          <w:p>
            <w:pPr>
              <w:spacing w:after="0" w:before="0" w:line="240" w:lineRule="auto"/>
            </w:pPr>
            <w:r/>
            <w:r>
              <w:rPr>
                <w:rFonts w:ascii="Aptos" w:hAnsi="Aptos"/>
                <w:b w:val="0"/>
                <w:color w:val="111827"/>
                <w:sz w:val="12"/>
              </w:rPr>
              <w:t>$92.53</w:t>
            </w:r>
          </w:p>
        </w:tc>
        <w:tc>
          <w:tcPr>
            <w:tcW w:type="dxa" w:w="720"/>
            <w:vAlign w:val="center"/>
          </w:tcPr>
          <w:p>
            <w:pPr>
              <w:spacing w:after="0" w:before="0" w:line="240" w:lineRule="auto"/>
            </w:pPr>
            <w:r/>
            <w:r>
              <w:rPr>
                <w:rFonts w:ascii="Aptos" w:hAnsi="Aptos"/>
                <w:b w:val="0"/>
                <w:color w:val="111827"/>
                <w:sz w:val="12"/>
              </w:rPr>
              <w:t>1,851 bps</w:t>
            </w:r>
          </w:p>
        </w:tc>
      </w:tr>
      <w:tr>
        <w:tc>
          <w:tcPr>
            <w:tcW w:type="dxa" w:w="2232"/>
            <w:vAlign w:val="center"/>
            <w:shd w:fill="F5F7FA"/>
          </w:tcPr>
          <w:p>
            <w:pPr>
              <w:spacing w:after="0" w:before="0" w:line="240" w:lineRule="auto"/>
            </w:pPr>
            <w:r/>
            <w:r>
              <w:rPr>
                <w:rFonts w:ascii="Aptos" w:hAnsi="Aptos"/>
                <w:b/>
                <w:color w:val="111827"/>
                <w:sz w:val="12"/>
              </w:rPr>
              <w:t>Furniture product ($500)</w:t>
            </w:r>
          </w:p>
        </w:tc>
        <w:tc>
          <w:tcPr>
            <w:tcW w:type="dxa" w:w="936"/>
            <w:vAlign w:val="center"/>
            <w:shd w:fill="F5F7FA"/>
          </w:tcPr>
          <w:p>
            <w:pPr>
              <w:spacing w:after="0" w:before="0" w:line="240" w:lineRule="auto"/>
            </w:pPr>
            <w:r/>
            <w:r>
              <w:rPr>
                <w:rFonts w:ascii="Aptos" w:hAnsi="Aptos"/>
                <w:b w:val="0"/>
                <w:color w:val="111827"/>
                <w:sz w:val="12"/>
              </w:rPr>
              <w:t>High recovery</w:t>
            </w:r>
          </w:p>
        </w:tc>
        <w:tc>
          <w:tcPr>
            <w:tcW w:type="dxa" w:w="864"/>
            <w:vAlign w:val="center"/>
            <w:shd w:fill="F5F7FA"/>
          </w:tcPr>
          <w:p>
            <w:pPr>
              <w:spacing w:after="0" w:before="0" w:line="240" w:lineRule="auto"/>
            </w:pPr>
            <w:r/>
            <w:r>
              <w:rPr>
                <w:rFonts w:ascii="Aptos" w:hAnsi="Aptos"/>
                <w:b w:val="0"/>
                <w:color w:val="111827"/>
                <w:sz w:val="12"/>
              </w:rPr>
              <w:t>$163.28</w:t>
            </w:r>
          </w:p>
        </w:tc>
        <w:tc>
          <w:tcPr>
            <w:tcW w:type="dxa" w:w="648"/>
            <w:vAlign w:val="center"/>
            <w:shd w:fill="F5F7FA"/>
          </w:tcPr>
          <w:p>
            <w:pPr>
              <w:spacing w:after="0" w:before="0" w:line="240" w:lineRule="auto"/>
            </w:pPr>
            <w:r/>
            <w:r>
              <w:rPr>
                <w:rFonts w:ascii="Aptos" w:hAnsi="Aptos"/>
                <w:b w:val="0"/>
                <w:color w:val="111827"/>
                <w:sz w:val="12"/>
              </w:rPr>
              <w:t>$79.12</w:t>
            </w:r>
          </w:p>
        </w:tc>
        <w:tc>
          <w:tcPr>
            <w:tcW w:type="dxa" w:w="576"/>
            <w:vAlign w:val="center"/>
            <w:shd w:fill="F5F7FA"/>
          </w:tcPr>
          <w:p>
            <w:pPr>
              <w:spacing w:after="0" w:before="0" w:line="240" w:lineRule="auto"/>
            </w:pPr>
            <w:r/>
            <w:r>
              <w:rPr>
                <w:rFonts w:ascii="Aptos" w:hAnsi="Aptos"/>
                <w:b w:val="0"/>
                <w:color w:val="111827"/>
                <w:sz w:val="12"/>
              </w:rPr>
              <w:t>$8.50</w:t>
            </w:r>
          </w:p>
        </w:tc>
        <w:tc>
          <w:tcPr>
            <w:tcW w:type="dxa" w:w="864"/>
            <w:vAlign w:val="center"/>
            <w:shd w:fill="F5F7FA"/>
          </w:tcPr>
          <w:p>
            <w:pPr>
              <w:spacing w:after="0" w:before="0" w:line="240" w:lineRule="auto"/>
            </w:pPr>
            <w:r/>
            <w:r>
              <w:rPr>
                <w:rFonts w:ascii="Aptos" w:hAnsi="Aptos"/>
                <w:b w:val="0"/>
                <w:color w:val="111827"/>
                <w:sz w:val="12"/>
              </w:rPr>
              <w:t>$75.66</w:t>
            </w:r>
          </w:p>
        </w:tc>
        <w:tc>
          <w:tcPr>
            <w:tcW w:type="dxa" w:w="936"/>
            <w:vAlign w:val="center"/>
            <w:shd w:fill="F5F7FA"/>
          </w:tcPr>
          <w:p>
            <w:pPr>
              <w:spacing w:after="0" w:before="0" w:line="240" w:lineRule="auto"/>
            </w:pPr>
            <w:r/>
            <w:r>
              <w:rPr>
                <w:rFonts w:ascii="Aptos" w:hAnsi="Aptos"/>
                <w:b w:val="0"/>
                <w:color w:val="111827"/>
                <w:sz w:val="12"/>
              </w:rPr>
              <w:t>$424.64</w:t>
            </w:r>
          </w:p>
        </w:tc>
        <w:tc>
          <w:tcPr>
            <w:tcW w:type="dxa" w:w="936"/>
            <w:vAlign w:val="center"/>
            <w:shd w:fill="F5F7FA"/>
          </w:tcPr>
          <w:p>
            <w:pPr>
              <w:spacing w:after="0" w:before="0" w:line="240" w:lineRule="auto"/>
            </w:pPr>
            <w:r/>
            <w:r>
              <w:rPr>
                <w:rFonts w:ascii="Aptos" w:hAnsi="Aptos"/>
                <w:b w:val="0"/>
                <w:color w:val="111827"/>
                <w:sz w:val="12"/>
              </w:rPr>
              <w:t>$76.44</w:t>
            </w:r>
          </w:p>
        </w:tc>
        <w:tc>
          <w:tcPr>
            <w:tcW w:type="dxa" w:w="720"/>
            <w:vAlign w:val="center"/>
            <w:shd w:fill="F5F7FA"/>
          </w:tcPr>
          <w:p>
            <w:pPr>
              <w:spacing w:after="0" w:before="0" w:line="240" w:lineRule="auto"/>
            </w:pPr>
            <w:r/>
            <w:r>
              <w:rPr>
                <w:rFonts w:ascii="Aptos" w:hAnsi="Aptos"/>
                <w:b w:val="0"/>
                <w:color w:val="111827"/>
                <w:sz w:val="12"/>
              </w:rPr>
              <w:t>1,529 bps</w:t>
            </w:r>
          </w:p>
        </w:tc>
      </w:tr>
      <w:tr>
        <w:tc>
          <w:tcPr>
            <w:tcW w:type="dxa" w:w="2232"/>
            <w:vAlign w:val="center"/>
          </w:tcPr>
          <w:p>
            <w:pPr>
              <w:spacing w:after="0" w:before="0" w:line="240" w:lineRule="auto"/>
            </w:pPr>
            <w:r/>
            <w:r>
              <w:rPr>
                <w:rFonts w:ascii="Aptos" w:hAnsi="Aptos"/>
                <w:b/>
                <w:color w:val="111827"/>
                <w:sz w:val="12"/>
              </w:rPr>
              <w:t>Premium apparel/accessory ($500)</w:t>
            </w:r>
          </w:p>
        </w:tc>
        <w:tc>
          <w:tcPr>
            <w:tcW w:type="dxa" w:w="936"/>
            <w:vAlign w:val="center"/>
          </w:tcPr>
          <w:p>
            <w:pPr>
              <w:spacing w:after="0" w:before="0" w:line="240" w:lineRule="auto"/>
            </w:pPr>
            <w:r/>
            <w:r>
              <w:rPr>
                <w:rFonts w:ascii="Aptos" w:hAnsi="Aptos"/>
                <w:b w:val="0"/>
                <w:color w:val="111827"/>
                <w:sz w:val="12"/>
              </w:rPr>
              <w:t>Low recovery</w:t>
            </w:r>
          </w:p>
        </w:tc>
        <w:tc>
          <w:tcPr>
            <w:tcW w:type="dxa" w:w="864"/>
            <w:vAlign w:val="center"/>
          </w:tcPr>
          <w:p>
            <w:pPr>
              <w:spacing w:after="0" w:before="0" w:line="240" w:lineRule="auto"/>
            </w:pPr>
            <w:r/>
            <w:r>
              <w:rPr>
                <w:rFonts w:ascii="Aptos" w:hAnsi="Aptos"/>
                <w:b w:val="0"/>
                <w:color w:val="111827"/>
                <w:sz w:val="12"/>
              </w:rPr>
              <w:t>$181.83</w:t>
            </w:r>
          </w:p>
        </w:tc>
        <w:tc>
          <w:tcPr>
            <w:tcW w:type="dxa" w:w="648"/>
            <w:vAlign w:val="center"/>
          </w:tcPr>
          <w:p>
            <w:pPr>
              <w:spacing w:after="0" w:before="0" w:line="240" w:lineRule="auto"/>
            </w:pPr>
            <w:r/>
            <w:r>
              <w:rPr>
                <w:rFonts w:ascii="Aptos" w:hAnsi="Aptos"/>
                <w:b w:val="0"/>
                <w:color w:val="111827"/>
                <w:sz w:val="12"/>
              </w:rPr>
              <w:t>$9.88</w:t>
            </w:r>
          </w:p>
        </w:tc>
        <w:tc>
          <w:tcPr>
            <w:tcW w:type="dxa" w:w="576"/>
            <w:vAlign w:val="center"/>
          </w:tcPr>
          <w:p>
            <w:pPr>
              <w:spacing w:after="0" w:before="0" w:line="240" w:lineRule="auto"/>
            </w:pPr>
            <w:r/>
            <w:r>
              <w:rPr>
                <w:rFonts w:ascii="Aptos" w:hAnsi="Aptos"/>
                <w:b w:val="0"/>
                <w:color w:val="111827"/>
                <w:sz w:val="12"/>
              </w:rPr>
              <w:t>$7.20</w:t>
            </w:r>
          </w:p>
        </w:tc>
        <w:tc>
          <w:tcPr>
            <w:tcW w:type="dxa" w:w="864"/>
            <w:vAlign w:val="center"/>
          </w:tcPr>
          <w:p>
            <w:pPr>
              <w:spacing w:after="0" w:before="0" w:line="240" w:lineRule="auto"/>
            </w:pPr>
            <w:r/>
            <w:r>
              <w:rPr>
                <w:rFonts w:ascii="Aptos" w:hAnsi="Aptos"/>
                <w:b w:val="0"/>
                <w:color w:val="111827"/>
                <w:sz w:val="12"/>
              </w:rPr>
              <w:t>$164.76</w:t>
            </w:r>
          </w:p>
        </w:tc>
        <w:tc>
          <w:tcPr>
            <w:tcW w:type="dxa" w:w="936"/>
            <w:vAlign w:val="center"/>
          </w:tcPr>
          <w:p>
            <w:pPr>
              <w:spacing w:after="0" w:before="0" w:line="240" w:lineRule="auto"/>
            </w:pPr>
            <w:r/>
            <w:r>
              <w:rPr>
                <w:rFonts w:ascii="Aptos" w:hAnsi="Aptos"/>
                <w:b w:val="0"/>
                <w:color w:val="111827"/>
                <w:sz w:val="12"/>
              </w:rPr>
              <w:t>$339.09</w:t>
            </w:r>
          </w:p>
        </w:tc>
        <w:tc>
          <w:tcPr>
            <w:tcW w:type="dxa" w:w="936"/>
            <w:vAlign w:val="center"/>
          </w:tcPr>
          <w:p>
            <w:pPr>
              <w:spacing w:after="0" w:before="0" w:line="240" w:lineRule="auto"/>
            </w:pPr>
            <w:r/>
            <w:r>
              <w:rPr>
                <w:rFonts w:ascii="Aptos" w:hAnsi="Aptos"/>
                <w:b w:val="0"/>
                <w:color w:val="111827"/>
                <w:sz w:val="12"/>
              </w:rPr>
              <w:t>$67.82</w:t>
            </w:r>
          </w:p>
        </w:tc>
        <w:tc>
          <w:tcPr>
            <w:tcW w:type="dxa" w:w="720"/>
            <w:vAlign w:val="center"/>
          </w:tcPr>
          <w:p>
            <w:pPr>
              <w:spacing w:after="0" w:before="0" w:line="240" w:lineRule="auto"/>
            </w:pPr>
            <w:r/>
            <w:r>
              <w:rPr>
                <w:rFonts w:ascii="Aptos" w:hAnsi="Aptos"/>
                <w:b w:val="0"/>
                <w:color w:val="111827"/>
                <w:sz w:val="12"/>
              </w:rPr>
              <w:t>1,356 bps</w:t>
            </w:r>
          </w:p>
        </w:tc>
      </w:tr>
      <w:tr>
        <w:tc>
          <w:tcPr>
            <w:tcW w:type="dxa" w:w="2232"/>
            <w:vAlign w:val="center"/>
            <w:shd w:fill="F5F7FA"/>
          </w:tcPr>
          <w:p>
            <w:pPr>
              <w:spacing w:after="0" w:before="0" w:line="240" w:lineRule="auto"/>
            </w:pPr>
            <w:r/>
            <w:r>
              <w:rPr>
                <w:rFonts w:ascii="Aptos" w:hAnsi="Aptos"/>
                <w:b/>
                <w:color w:val="111827"/>
                <w:sz w:val="12"/>
              </w:rPr>
              <w:t>Premium apparel/accessory ($500)</w:t>
            </w:r>
          </w:p>
        </w:tc>
        <w:tc>
          <w:tcPr>
            <w:tcW w:type="dxa" w:w="936"/>
            <w:vAlign w:val="center"/>
            <w:shd w:fill="F5F7FA"/>
          </w:tcPr>
          <w:p>
            <w:pPr>
              <w:spacing w:after="0" w:before="0" w:line="240" w:lineRule="auto"/>
            </w:pPr>
            <w:r/>
            <w:r>
              <w:rPr>
                <w:rFonts w:ascii="Aptos" w:hAnsi="Aptos"/>
                <w:b w:val="0"/>
                <w:color w:val="111827"/>
                <w:sz w:val="12"/>
              </w:rPr>
              <w:t>Base</w:t>
            </w:r>
          </w:p>
        </w:tc>
        <w:tc>
          <w:tcPr>
            <w:tcW w:type="dxa" w:w="864"/>
            <w:vAlign w:val="center"/>
            <w:shd w:fill="F5F7FA"/>
          </w:tcPr>
          <w:p>
            <w:pPr>
              <w:spacing w:after="0" w:before="0" w:line="240" w:lineRule="auto"/>
            </w:pPr>
            <w:r/>
            <w:r>
              <w:rPr>
                <w:rFonts w:ascii="Aptos" w:hAnsi="Aptos"/>
                <w:b w:val="0"/>
                <w:color w:val="111827"/>
                <w:sz w:val="12"/>
              </w:rPr>
              <w:t>$269.18</w:t>
            </w:r>
          </w:p>
        </w:tc>
        <w:tc>
          <w:tcPr>
            <w:tcW w:type="dxa" w:w="648"/>
            <w:vAlign w:val="center"/>
            <w:shd w:fill="F5F7FA"/>
          </w:tcPr>
          <w:p>
            <w:pPr>
              <w:spacing w:after="0" w:before="0" w:line="240" w:lineRule="auto"/>
            </w:pPr>
            <w:r/>
            <w:r>
              <w:rPr>
                <w:rFonts w:ascii="Aptos" w:hAnsi="Aptos"/>
                <w:b w:val="0"/>
                <w:color w:val="111827"/>
                <w:sz w:val="12"/>
              </w:rPr>
              <w:t>$7.90</w:t>
            </w:r>
          </w:p>
        </w:tc>
        <w:tc>
          <w:tcPr>
            <w:tcW w:type="dxa" w:w="576"/>
            <w:vAlign w:val="center"/>
            <w:shd w:fill="F5F7FA"/>
          </w:tcPr>
          <w:p>
            <w:pPr>
              <w:spacing w:after="0" w:before="0" w:line="240" w:lineRule="auto"/>
            </w:pPr>
            <w:r/>
            <w:r>
              <w:rPr>
                <w:rFonts w:ascii="Aptos" w:hAnsi="Aptos"/>
                <w:b w:val="0"/>
                <w:color w:val="111827"/>
                <w:sz w:val="12"/>
              </w:rPr>
              <w:t>$6.00</w:t>
            </w:r>
          </w:p>
        </w:tc>
        <w:tc>
          <w:tcPr>
            <w:tcW w:type="dxa" w:w="864"/>
            <w:vAlign w:val="center"/>
            <w:shd w:fill="F5F7FA"/>
          </w:tcPr>
          <w:p>
            <w:pPr>
              <w:spacing w:after="0" w:before="0" w:line="240" w:lineRule="auto"/>
            </w:pPr>
            <w:r/>
            <w:r>
              <w:rPr>
                <w:rFonts w:ascii="Aptos" w:hAnsi="Aptos"/>
                <w:b w:val="0"/>
                <w:color w:val="111827"/>
                <w:sz w:val="12"/>
              </w:rPr>
              <w:t>$255.28</w:t>
            </w:r>
          </w:p>
        </w:tc>
        <w:tc>
          <w:tcPr>
            <w:tcW w:type="dxa" w:w="936"/>
            <w:vAlign w:val="center"/>
            <w:shd w:fill="F5F7FA"/>
          </w:tcPr>
          <w:p>
            <w:pPr>
              <w:spacing w:after="0" w:before="0" w:line="240" w:lineRule="auto"/>
            </w:pPr>
            <w:r/>
            <w:r>
              <w:rPr>
                <w:rFonts w:ascii="Aptos" w:hAnsi="Aptos"/>
                <w:b w:val="0"/>
                <w:color w:val="111827"/>
                <w:sz w:val="12"/>
              </w:rPr>
              <w:t>$248.57</w:t>
            </w:r>
          </w:p>
        </w:tc>
        <w:tc>
          <w:tcPr>
            <w:tcW w:type="dxa" w:w="936"/>
            <w:vAlign w:val="center"/>
            <w:shd w:fill="F5F7FA"/>
          </w:tcPr>
          <w:p>
            <w:pPr>
              <w:spacing w:after="0" w:before="0" w:line="240" w:lineRule="auto"/>
            </w:pPr>
            <w:r/>
            <w:r>
              <w:rPr>
                <w:rFonts w:ascii="Aptos" w:hAnsi="Aptos"/>
                <w:b w:val="0"/>
                <w:color w:val="111827"/>
                <w:sz w:val="12"/>
              </w:rPr>
              <w:t>$49.71</w:t>
            </w:r>
          </w:p>
        </w:tc>
        <w:tc>
          <w:tcPr>
            <w:tcW w:type="dxa" w:w="720"/>
            <w:vAlign w:val="center"/>
            <w:shd w:fill="F5F7FA"/>
          </w:tcPr>
          <w:p>
            <w:pPr>
              <w:spacing w:after="0" w:before="0" w:line="240" w:lineRule="auto"/>
            </w:pPr>
            <w:r/>
            <w:r>
              <w:rPr>
                <w:rFonts w:ascii="Aptos" w:hAnsi="Aptos"/>
                <w:b w:val="0"/>
                <w:color w:val="111827"/>
                <w:sz w:val="12"/>
              </w:rPr>
              <w:t>994 bps</w:t>
            </w:r>
          </w:p>
        </w:tc>
      </w:tr>
      <w:tr>
        <w:tc>
          <w:tcPr>
            <w:tcW w:type="dxa" w:w="2232"/>
            <w:vAlign w:val="center"/>
          </w:tcPr>
          <w:p>
            <w:pPr>
              <w:spacing w:after="0" w:before="0" w:line="240" w:lineRule="auto"/>
            </w:pPr>
            <w:r/>
            <w:r>
              <w:rPr>
                <w:rFonts w:ascii="Aptos" w:hAnsi="Aptos"/>
                <w:b/>
                <w:color w:val="111827"/>
                <w:sz w:val="12"/>
              </w:rPr>
              <w:t>Premium apparel/accessory ($500)</w:t>
            </w:r>
          </w:p>
        </w:tc>
        <w:tc>
          <w:tcPr>
            <w:tcW w:type="dxa" w:w="936"/>
            <w:vAlign w:val="center"/>
          </w:tcPr>
          <w:p>
            <w:pPr>
              <w:spacing w:after="0" w:before="0" w:line="240" w:lineRule="auto"/>
            </w:pPr>
            <w:r/>
            <w:r>
              <w:rPr>
                <w:rFonts w:ascii="Aptos" w:hAnsi="Aptos"/>
                <w:b w:val="0"/>
                <w:color w:val="111827"/>
                <w:sz w:val="12"/>
              </w:rPr>
              <w:t>High recovery</w:t>
            </w:r>
          </w:p>
        </w:tc>
        <w:tc>
          <w:tcPr>
            <w:tcW w:type="dxa" w:w="864"/>
            <w:vAlign w:val="center"/>
          </w:tcPr>
          <w:p>
            <w:pPr>
              <w:spacing w:after="0" w:before="0" w:line="240" w:lineRule="auto"/>
            </w:pPr>
            <w:r/>
            <w:r>
              <w:rPr>
                <w:rFonts w:ascii="Aptos" w:hAnsi="Aptos"/>
                <w:b w:val="0"/>
                <w:color w:val="111827"/>
                <w:sz w:val="12"/>
              </w:rPr>
              <w:t>$345.70</w:t>
            </w:r>
          </w:p>
        </w:tc>
        <w:tc>
          <w:tcPr>
            <w:tcW w:type="dxa" w:w="648"/>
            <w:vAlign w:val="center"/>
          </w:tcPr>
          <w:p>
            <w:pPr>
              <w:spacing w:after="0" w:before="0" w:line="240" w:lineRule="auto"/>
            </w:pPr>
            <w:r/>
            <w:r>
              <w:rPr>
                <w:rFonts w:ascii="Aptos" w:hAnsi="Aptos"/>
                <w:b w:val="0"/>
                <w:color w:val="111827"/>
                <w:sz w:val="12"/>
              </w:rPr>
              <w:t>$6.32</w:t>
            </w:r>
          </w:p>
        </w:tc>
        <w:tc>
          <w:tcPr>
            <w:tcW w:type="dxa" w:w="576"/>
            <w:vAlign w:val="center"/>
          </w:tcPr>
          <w:p>
            <w:pPr>
              <w:spacing w:after="0" w:before="0" w:line="240" w:lineRule="auto"/>
            </w:pPr>
            <w:r/>
            <w:r>
              <w:rPr>
                <w:rFonts w:ascii="Aptos" w:hAnsi="Aptos"/>
                <w:b w:val="0"/>
                <w:color w:val="111827"/>
                <w:sz w:val="12"/>
              </w:rPr>
              <w:t>$5.10</w:t>
            </w:r>
          </w:p>
        </w:tc>
        <w:tc>
          <w:tcPr>
            <w:tcW w:type="dxa" w:w="864"/>
            <w:vAlign w:val="center"/>
          </w:tcPr>
          <w:p>
            <w:pPr>
              <w:spacing w:after="0" w:before="0" w:line="240" w:lineRule="auto"/>
            </w:pPr>
            <w:r/>
            <w:r>
              <w:rPr>
                <w:rFonts w:ascii="Aptos" w:hAnsi="Aptos"/>
                <w:b w:val="0"/>
                <w:color w:val="111827"/>
                <w:sz w:val="12"/>
              </w:rPr>
              <w:t>$334.28</w:t>
            </w:r>
          </w:p>
        </w:tc>
        <w:tc>
          <w:tcPr>
            <w:tcW w:type="dxa" w:w="936"/>
            <w:vAlign w:val="center"/>
          </w:tcPr>
          <w:p>
            <w:pPr>
              <w:spacing w:after="0" w:before="0" w:line="240" w:lineRule="auto"/>
            </w:pPr>
            <w:r/>
            <w:r>
              <w:rPr>
                <w:rFonts w:ascii="Aptos" w:hAnsi="Aptos"/>
                <w:b w:val="0"/>
                <w:color w:val="111827"/>
                <w:sz w:val="12"/>
              </w:rPr>
              <w:t>$169.57</w:t>
            </w:r>
          </w:p>
        </w:tc>
        <w:tc>
          <w:tcPr>
            <w:tcW w:type="dxa" w:w="936"/>
            <w:vAlign w:val="center"/>
          </w:tcPr>
          <w:p>
            <w:pPr>
              <w:spacing w:after="0" w:before="0" w:line="240" w:lineRule="auto"/>
            </w:pPr>
            <w:r/>
            <w:r>
              <w:rPr>
                <w:rFonts w:ascii="Aptos" w:hAnsi="Aptos"/>
                <w:b w:val="0"/>
                <w:color w:val="111827"/>
                <w:sz w:val="12"/>
              </w:rPr>
              <w:t>$33.91</w:t>
            </w:r>
          </w:p>
        </w:tc>
        <w:tc>
          <w:tcPr>
            <w:tcW w:type="dxa" w:w="720"/>
            <w:vAlign w:val="center"/>
          </w:tcPr>
          <w:p>
            <w:pPr>
              <w:spacing w:after="0" w:before="0" w:line="240" w:lineRule="auto"/>
            </w:pPr>
            <w:r/>
            <w:r>
              <w:rPr>
                <w:rFonts w:ascii="Aptos" w:hAnsi="Aptos"/>
                <w:b w:val="0"/>
                <w:color w:val="111827"/>
                <w:sz w:val="12"/>
              </w:rPr>
              <w:t>678 bps</w:t>
            </w:r>
          </w:p>
        </w:tc>
      </w:tr>
    </w:tbl>
    <w:p>
      <w:pPr>
        <w:spacing w:after="0"/>
      </w:pPr>
    </w:p>
    <w:p>
      <w:pPr>
        <w:pStyle w:val="Caption"/>
        <w:jc w:val="left"/>
      </w:pPr>
      <w:r>
        <w:rPr>
          <w:b/>
        </w:rPr>
        <w:t>Table 3. Scenario results</w:t>
      </w:r>
      <w:r>
        <w:rPr>
          <w:i/>
          <w:color w:val="6B7280"/>
        </w:rPr>
        <w:t xml:space="preserve">  Source: Model</w:t>
      </w:r>
    </w:p>
    <w:p>
      <w:pPr>
        <w:pStyle w:val="Heading2"/>
      </w:pPr>
      <w:r>
        <w:t>Returnless-refund comparison</w:t>
      </w:r>
    </w:p>
    <w:tbl>
      <w:tblPr>
        <w:tblStyle w:val="TableGrid"/>
        <w:tblW w:type="auto" w:w="0"/>
        <w:jc w:val="center"/>
        <w:tblLayout w:type="fixed"/>
        <w:tblLook w:firstColumn="1" w:firstRow="1" w:lastColumn="0" w:lastRow="0" w:noHBand="0" w:noVBand="1" w:val="04A0"/>
      </w:tblPr>
      <w:tblGrid>
        <w:gridCol w:w="1656"/>
        <w:gridCol w:w="1656"/>
        <w:gridCol w:w="1656"/>
        <w:gridCol w:w="1656"/>
        <w:gridCol w:w="1656"/>
        <w:gridCol w:w="1656"/>
      </w:tblGrid>
      <w:tr>
        <w:trPr>
          <w:tblHeader w:val="true"/>
        </w:trPr>
        <w:tc>
          <w:tcPr>
            <w:tcW w:type="dxa" w:w="2376"/>
            <w:vAlign w:val="center"/>
            <w:shd w:fill="17324D"/>
            <w:tcBorders>
              <w:bottom w:val="single" w:sz="8" w:color="FFFFFF"/>
            </w:tcBorders>
          </w:tcPr>
          <w:p>
            <w:pPr>
              <w:spacing w:after="0" w:before="0" w:line="240" w:lineRule="auto"/>
              <w:jc w:val="left"/>
            </w:pPr>
            <w:r/>
            <w:r>
              <w:rPr>
                <w:rFonts w:ascii="Aptos" w:hAnsi="Aptos"/>
                <w:b/>
                <w:color w:val="FFFFFF"/>
                <w:sz w:val="14"/>
              </w:rPr>
              <w:t>Product</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4"/>
              </w:rPr>
              <w:t>Retrieved tax</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4"/>
              </w:rPr>
              <w:t>Returnless tax</w:t>
            </w:r>
          </w:p>
        </w:tc>
        <w:tc>
          <w:tcPr>
            <w:tcW w:type="dxa" w:w="1080"/>
            <w:vAlign w:val="center"/>
            <w:shd w:fill="17324D"/>
            <w:tcBorders>
              <w:bottom w:val="single" w:sz="8" w:color="FFFFFF"/>
            </w:tcBorders>
          </w:tcPr>
          <w:p>
            <w:pPr>
              <w:spacing w:after="0" w:before="0" w:line="240" w:lineRule="auto"/>
              <w:jc w:val="left"/>
            </w:pPr>
            <w:r/>
            <w:r>
              <w:rPr>
                <w:rFonts w:ascii="Aptos" w:hAnsi="Aptos"/>
                <w:b/>
                <w:color w:val="FFFFFF"/>
                <w:sz w:val="14"/>
              </w:rPr>
              <w:t>Retrieval advantage</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4"/>
              </w:rPr>
              <w:t>Immediate rule</w:t>
            </w:r>
          </w:p>
        </w:tc>
        <w:tc>
          <w:tcPr>
            <w:tcW w:type="dxa" w:w="3024"/>
            <w:vAlign w:val="center"/>
            <w:shd w:fill="17324D"/>
            <w:tcBorders>
              <w:bottom w:val="single" w:sz="8" w:color="FFFFFF"/>
            </w:tcBorders>
          </w:tcPr>
          <w:p>
            <w:pPr>
              <w:spacing w:after="0" w:before="0" w:line="240" w:lineRule="auto"/>
              <w:jc w:val="left"/>
            </w:pPr>
            <w:r/>
            <w:r>
              <w:rPr>
                <w:rFonts w:ascii="Aptos" w:hAnsi="Aptos"/>
                <w:b/>
                <w:color w:val="FFFFFF"/>
                <w:sz w:val="14"/>
              </w:rPr>
              <w:t>Strategic factors</w:t>
            </w:r>
          </w:p>
        </w:tc>
      </w:tr>
      <w:tr>
        <w:tc>
          <w:tcPr>
            <w:tcW w:type="dxa" w:w="2376"/>
            <w:vAlign w:val="center"/>
          </w:tcPr>
          <w:p>
            <w:pPr>
              <w:spacing w:after="0" w:before="0" w:line="240" w:lineRule="auto"/>
            </w:pPr>
            <w:r/>
            <w:r>
              <w:rPr>
                <w:rFonts w:ascii="Aptos" w:hAnsi="Aptos"/>
                <w:b/>
                <w:color w:val="111827"/>
                <w:sz w:val="14"/>
              </w:rPr>
              <w:t>Basic clothing item ($20)</w:t>
            </w:r>
          </w:p>
        </w:tc>
        <w:tc>
          <w:tcPr>
            <w:tcW w:type="dxa" w:w="936"/>
            <w:vAlign w:val="center"/>
          </w:tcPr>
          <w:p>
            <w:pPr>
              <w:spacing w:after="0" w:before="0" w:line="240" w:lineRule="auto"/>
            </w:pPr>
            <w:r/>
            <w:r>
              <w:rPr>
                <w:rFonts w:ascii="Aptos" w:hAnsi="Aptos"/>
                <w:b w:val="0"/>
                <w:color w:val="111827"/>
                <w:sz w:val="14"/>
              </w:rPr>
              <w:t>$17.97</w:t>
            </w:r>
          </w:p>
        </w:tc>
        <w:tc>
          <w:tcPr>
            <w:tcW w:type="dxa" w:w="936"/>
            <w:vAlign w:val="center"/>
          </w:tcPr>
          <w:p>
            <w:pPr>
              <w:spacing w:after="0" w:before="0" w:line="240" w:lineRule="auto"/>
            </w:pPr>
            <w:r/>
            <w:r>
              <w:rPr>
                <w:rFonts w:ascii="Aptos" w:hAnsi="Aptos"/>
                <w:b w:val="0"/>
                <w:color w:val="111827"/>
                <w:sz w:val="14"/>
              </w:rPr>
              <w:t>$20.00</w:t>
            </w:r>
          </w:p>
        </w:tc>
        <w:tc>
          <w:tcPr>
            <w:tcW w:type="dxa" w:w="1080"/>
            <w:vAlign w:val="center"/>
          </w:tcPr>
          <w:p>
            <w:pPr>
              <w:spacing w:after="0" w:before="0" w:line="240" w:lineRule="auto"/>
            </w:pPr>
            <w:r/>
            <w:r>
              <w:rPr>
                <w:rFonts w:ascii="Aptos" w:hAnsi="Aptos"/>
                <w:b w:val="0"/>
                <w:color w:val="111827"/>
                <w:sz w:val="14"/>
              </w:rPr>
              <w:t>$2.03</w:t>
            </w:r>
          </w:p>
        </w:tc>
        <w:tc>
          <w:tcPr>
            <w:tcW w:type="dxa" w:w="1008"/>
            <w:vAlign w:val="center"/>
          </w:tcPr>
          <w:p>
            <w:pPr>
              <w:spacing w:after="0" w:before="0" w:line="240" w:lineRule="auto"/>
            </w:pPr>
            <w:r/>
            <w:r>
              <w:rPr>
                <w:rFonts w:ascii="Aptos" w:hAnsi="Aptos"/>
                <w:b w:val="0"/>
                <w:color w:val="111827"/>
                <w:sz w:val="14"/>
              </w:rPr>
              <w:t>Retrieve</w:t>
            </w:r>
          </w:p>
        </w:tc>
        <w:tc>
          <w:tcPr>
            <w:tcW w:type="dxa" w:w="3024"/>
            <w:vAlign w:val="center"/>
          </w:tcPr>
          <w:p>
            <w:pPr>
              <w:spacing w:after="0" w:before="0" w:line="240" w:lineRule="auto"/>
            </w:pPr>
            <w:r/>
            <w:r>
              <w:rPr>
                <w:rFonts w:ascii="Aptos" w:hAnsi="Aptos"/>
                <w:b w:val="0"/>
                <w:color w:val="111827"/>
                <w:sz w:val="14"/>
              </w:rPr>
              <w:t>Account history, vendor credit, customer service</w:t>
            </w:r>
          </w:p>
        </w:tc>
      </w:tr>
      <w:tr>
        <w:tc>
          <w:tcPr>
            <w:tcW w:type="dxa" w:w="2376"/>
            <w:vAlign w:val="center"/>
            <w:shd w:fill="F5F7FA"/>
          </w:tcPr>
          <w:p>
            <w:pPr>
              <w:spacing w:after="0" w:before="0" w:line="240" w:lineRule="auto"/>
            </w:pPr>
            <w:r/>
            <w:r>
              <w:rPr>
                <w:rFonts w:ascii="Aptos" w:hAnsi="Aptos"/>
                <w:b/>
                <w:color w:val="111827"/>
                <w:sz w:val="14"/>
              </w:rPr>
              <w:t>Cosmetic/personal-care item ($20)</w:t>
            </w:r>
          </w:p>
        </w:tc>
        <w:tc>
          <w:tcPr>
            <w:tcW w:type="dxa" w:w="936"/>
            <w:vAlign w:val="center"/>
            <w:shd w:fill="F5F7FA"/>
          </w:tcPr>
          <w:p>
            <w:pPr>
              <w:spacing w:after="0" w:before="0" w:line="240" w:lineRule="auto"/>
            </w:pPr>
            <w:r/>
            <w:r>
              <w:rPr>
                <w:rFonts w:ascii="Aptos" w:hAnsi="Aptos"/>
                <w:b w:val="0"/>
                <w:color w:val="111827"/>
                <w:sz w:val="14"/>
              </w:rPr>
              <w:t>$20.31</w:t>
            </w:r>
          </w:p>
        </w:tc>
        <w:tc>
          <w:tcPr>
            <w:tcW w:type="dxa" w:w="936"/>
            <w:vAlign w:val="center"/>
            <w:shd w:fill="F5F7FA"/>
          </w:tcPr>
          <w:p>
            <w:pPr>
              <w:spacing w:after="0" w:before="0" w:line="240" w:lineRule="auto"/>
            </w:pPr>
            <w:r/>
            <w:r>
              <w:rPr>
                <w:rFonts w:ascii="Aptos" w:hAnsi="Aptos"/>
                <w:b w:val="0"/>
                <w:color w:val="111827"/>
                <w:sz w:val="14"/>
              </w:rPr>
              <w:t>$20.00</w:t>
            </w:r>
          </w:p>
        </w:tc>
        <w:tc>
          <w:tcPr>
            <w:tcW w:type="dxa" w:w="1080"/>
            <w:vAlign w:val="center"/>
            <w:shd w:fill="F5F7FA"/>
          </w:tcPr>
          <w:p>
            <w:pPr>
              <w:spacing w:after="0" w:before="0" w:line="240" w:lineRule="auto"/>
            </w:pPr>
            <w:r/>
            <w:r>
              <w:rPr>
                <w:rFonts w:ascii="Aptos" w:hAnsi="Aptos"/>
                <w:b w:val="0"/>
                <w:color w:val="111827"/>
                <w:sz w:val="14"/>
              </w:rPr>
              <w:t>$-0.31</w:t>
            </w:r>
          </w:p>
        </w:tc>
        <w:tc>
          <w:tcPr>
            <w:tcW w:type="dxa" w:w="1008"/>
            <w:vAlign w:val="center"/>
            <w:shd w:fill="F5F7FA"/>
          </w:tcPr>
          <w:p>
            <w:pPr>
              <w:spacing w:after="0" w:before="0" w:line="240" w:lineRule="auto"/>
            </w:pPr>
            <w:r/>
            <w:r>
              <w:rPr>
                <w:rFonts w:ascii="Aptos" w:hAnsi="Aptos"/>
                <w:b w:val="0"/>
                <w:color w:val="111827"/>
                <w:sz w:val="14"/>
              </w:rPr>
              <w:t>Returnless</w:t>
            </w:r>
          </w:p>
        </w:tc>
        <w:tc>
          <w:tcPr>
            <w:tcW w:type="dxa" w:w="3024"/>
            <w:vAlign w:val="center"/>
            <w:shd w:fill="F5F7FA"/>
          </w:tcPr>
          <w:p>
            <w:pPr>
              <w:spacing w:after="0" w:before="0" w:line="240" w:lineRule="auto"/>
            </w:pPr>
            <w:r/>
            <w:r>
              <w:rPr>
                <w:rFonts w:ascii="Aptos" w:hAnsi="Aptos"/>
                <w:b w:val="0"/>
                <w:color w:val="111827"/>
                <w:sz w:val="14"/>
              </w:rPr>
              <w:t>Safety/integrity and abuse controls</w:t>
            </w:r>
          </w:p>
        </w:tc>
      </w:tr>
      <w:tr>
        <w:tc>
          <w:tcPr>
            <w:tcW w:type="dxa" w:w="2376"/>
            <w:vAlign w:val="center"/>
          </w:tcPr>
          <w:p>
            <w:pPr>
              <w:spacing w:after="0" w:before="0" w:line="240" w:lineRule="auto"/>
            </w:pPr>
            <w:r/>
            <w:r>
              <w:rPr>
                <w:rFonts w:ascii="Aptos" w:hAnsi="Aptos"/>
                <w:b/>
                <w:color w:val="111827"/>
                <w:sz w:val="14"/>
              </w:rPr>
              <w:t>Small household product ($20)</w:t>
            </w:r>
          </w:p>
        </w:tc>
        <w:tc>
          <w:tcPr>
            <w:tcW w:type="dxa" w:w="936"/>
            <w:vAlign w:val="center"/>
          </w:tcPr>
          <w:p>
            <w:pPr>
              <w:spacing w:after="0" w:before="0" w:line="240" w:lineRule="auto"/>
            </w:pPr>
            <w:r/>
            <w:r>
              <w:rPr>
                <w:rFonts w:ascii="Aptos" w:hAnsi="Aptos"/>
                <w:b w:val="0"/>
                <w:color w:val="111827"/>
                <w:sz w:val="14"/>
              </w:rPr>
              <w:t>$24.71</w:t>
            </w:r>
          </w:p>
        </w:tc>
        <w:tc>
          <w:tcPr>
            <w:tcW w:type="dxa" w:w="936"/>
            <w:vAlign w:val="center"/>
          </w:tcPr>
          <w:p>
            <w:pPr>
              <w:spacing w:after="0" w:before="0" w:line="240" w:lineRule="auto"/>
            </w:pPr>
            <w:r/>
            <w:r>
              <w:rPr>
                <w:rFonts w:ascii="Aptos" w:hAnsi="Aptos"/>
                <w:b w:val="0"/>
                <w:color w:val="111827"/>
                <w:sz w:val="14"/>
              </w:rPr>
              <w:t>$20.00</w:t>
            </w:r>
          </w:p>
        </w:tc>
        <w:tc>
          <w:tcPr>
            <w:tcW w:type="dxa" w:w="1080"/>
            <w:vAlign w:val="center"/>
          </w:tcPr>
          <w:p>
            <w:pPr>
              <w:spacing w:after="0" w:before="0" w:line="240" w:lineRule="auto"/>
            </w:pPr>
            <w:r/>
            <w:r>
              <w:rPr>
                <w:rFonts w:ascii="Aptos" w:hAnsi="Aptos"/>
                <w:b w:val="0"/>
                <w:color w:val="111827"/>
                <w:sz w:val="14"/>
              </w:rPr>
              <w:t>$-4.71</w:t>
            </w:r>
          </w:p>
        </w:tc>
        <w:tc>
          <w:tcPr>
            <w:tcW w:type="dxa" w:w="1008"/>
            <w:vAlign w:val="center"/>
          </w:tcPr>
          <w:p>
            <w:pPr>
              <w:spacing w:after="0" w:before="0" w:line="240" w:lineRule="auto"/>
            </w:pPr>
            <w:r/>
            <w:r>
              <w:rPr>
                <w:rFonts w:ascii="Aptos" w:hAnsi="Aptos"/>
                <w:b w:val="0"/>
                <w:color w:val="111827"/>
                <w:sz w:val="14"/>
              </w:rPr>
              <w:t>Returnless</w:t>
            </w:r>
          </w:p>
        </w:tc>
        <w:tc>
          <w:tcPr>
            <w:tcW w:type="dxa" w:w="3024"/>
            <w:vAlign w:val="center"/>
          </w:tcPr>
          <w:p>
            <w:pPr>
              <w:spacing w:after="0" w:before="0" w:line="240" w:lineRule="auto"/>
            </w:pPr>
            <w:r/>
            <w:r>
              <w:rPr>
                <w:rFonts w:ascii="Aptos" w:hAnsi="Aptos"/>
                <w:b w:val="0"/>
                <w:color w:val="111827"/>
                <w:sz w:val="14"/>
              </w:rPr>
              <w:t>Account history, vendor credit, customer service</w:t>
            </w:r>
          </w:p>
        </w:tc>
      </w:tr>
      <w:tr>
        <w:tc>
          <w:tcPr>
            <w:tcW w:type="dxa" w:w="2376"/>
            <w:vAlign w:val="center"/>
            <w:shd w:fill="F5F7FA"/>
          </w:tcPr>
          <w:p>
            <w:pPr>
              <w:spacing w:after="0" w:before="0" w:line="240" w:lineRule="auto"/>
            </w:pPr>
            <w:r/>
            <w:r>
              <w:rPr>
                <w:rFonts w:ascii="Aptos" w:hAnsi="Aptos"/>
                <w:b/>
                <w:color w:val="111827"/>
                <w:sz w:val="14"/>
              </w:rPr>
              <w:t>Footwear/premium apparel ($100)</w:t>
            </w:r>
          </w:p>
        </w:tc>
        <w:tc>
          <w:tcPr>
            <w:tcW w:type="dxa" w:w="936"/>
            <w:vAlign w:val="center"/>
            <w:shd w:fill="F5F7FA"/>
          </w:tcPr>
          <w:p>
            <w:pPr>
              <w:spacing w:after="0" w:before="0" w:line="240" w:lineRule="auto"/>
            </w:pPr>
            <w:r/>
            <w:r>
              <w:rPr>
                <w:rFonts w:ascii="Aptos" w:hAnsi="Aptos"/>
                <w:b w:val="0"/>
                <w:color w:val="111827"/>
                <w:sz w:val="14"/>
              </w:rPr>
              <w:t>$58.30</w:t>
            </w:r>
          </w:p>
        </w:tc>
        <w:tc>
          <w:tcPr>
            <w:tcW w:type="dxa" w:w="936"/>
            <w:vAlign w:val="center"/>
            <w:shd w:fill="F5F7FA"/>
          </w:tcPr>
          <w:p>
            <w:pPr>
              <w:spacing w:after="0" w:before="0" w:line="240" w:lineRule="auto"/>
            </w:pPr>
            <w:r/>
            <w:r>
              <w:rPr>
                <w:rFonts w:ascii="Aptos" w:hAnsi="Aptos"/>
                <w:b w:val="0"/>
                <w:color w:val="111827"/>
                <w:sz w:val="14"/>
              </w:rPr>
              <w:t>$100.00</w:t>
            </w:r>
          </w:p>
        </w:tc>
        <w:tc>
          <w:tcPr>
            <w:tcW w:type="dxa" w:w="1080"/>
            <w:vAlign w:val="center"/>
            <w:shd w:fill="F5F7FA"/>
          </w:tcPr>
          <w:p>
            <w:pPr>
              <w:spacing w:after="0" w:before="0" w:line="240" w:lineRule="auto"/>
            </w:pPr>
            <w:r/>
            <w:r>
              <w:rPr>
                <w:rFonts w:ascii="Aptos" w:hAnsi="Aptos"/>
                <w:b w:val="0"/>
                <w:color w:val="111827"/>
                <w:sz w:val="14"/>
              </w:rPr>
              <w:t>$41.70</w:t>
            </w:r>
          </w:p>
        </w:tc>
        <w:tc>
          <w:tcPr>
            <w:tcW w:type="dxa" w:w="1008"/>
            <w:vAlign w:val="center"/>
            <w:shd w:fill="F5F7FA"/>
          </w:tcPr>
          <w:p>
            <w:pPr>
              <w:spacing w:after="0" w:before="0" w:line="240" w:lineRule="auto"/>
            </w:pPr>
            <w:r/>
            <w:r>
              <w:rPr>
                <w:rFonts w:ascii="Aptos" w:hAnsi="Aptos"/>
                <w:b w:val="0"/>
                <w:color w:val="111827"/>
                <w:sz w:val="14"/>
              </w:rPr>
              <w:t>Retrieve</w:t>
            </w:r>
          </w:p>
        </w:tc>
        <w:tc>
          <w:tcPr>
            <w:tcW w:type="dxa" w:w="3024"/>
            <w:vAlign w:val="center"/>
            <w:shd w:fill="F5F7FA"/>
          </w:tcPr>
          <w:p>
            <w:pPr>
              <w:spacing w:after="0" w:before="0" w:line="240" w:lineRule="auto"/>
            </w:pPr>
            <w:r/>
            <w:r>
              <w:rPr>
                <w:rFonts w:ascii="Aptos" w:hAnsi="Aptos"/>
                <w:b w:val="0"/>
                <w:color w:val="111827"/>
                <w:sz w:val="14"/>
              </w:rPr>
              <w:t>Serial/authentication and fraud deterrence</w:t>
            </w:r>
          </w:p>
        </w:tc>
      </w:tr>
      <w:tr>
        <w:tc>
          <w:tcPr>
            <w:tcW w:type="dxa" w:w="2376"/>
            <w:vAlign w:val="center"/>
          </w:tcPr>
          <w:p>
            <w:pPr>
              <w:spacing w:after="0" w:before="0" w:line="240" w:lineRule="auto"/>
            </w:pPr>
            <w:r/>
            <w:r>
              <w:rPr>
                <w:rFonts w:ascii="Aptos" w:hAnsi="Aptos"/>
                <w:b/>
                <w:color w:val="111827"/>
                <w:sz w:val="14"/>
              </w:rPr>
              <w:t>Headphones/small electronics ($100)</w:t>
            </w:r>
          </w:p>
        </w:tc>
        <w:tc>
          <w:tcPr>
            <w:tcW w:type="dxa" w:w="936"/>
            <w:vAlign w:val="center"/>
          </w:tcPr>
          <w:p>
            <w:pPr>
              <w:spacing w:after="0" w:before="0" w:line="240" w:lineRule="auto"/>
            </w:pPr>
            <w:r/>
            <w:r>
              <w:rPr>
                <w:rFonts w:ascii="Aptos" w:hAnsi="Aptos"/>
                <w:b w:val="0"/>
                <w:color w:val="111827"/>
                <w:sz w:val="14"/>
              </w:rPr>
              <w:t>$77.44</w:t>
            </w:r>
          </w:p>
        </w:tc>
        <w:tc>
          <w:tcPr>
            <w:tcW w:type="dxa" w:w="936"/>
            <w:vAlign w:val="center"/>
          </w:tcPr>
          <w:p>
            <w:pPr>
              <w:spacing w:after="0" w:before="0" w:line="240" w:lineRule="auto"/>
            </w:pPr>
            <w:r/>
            <w:r>
              <w:rPr>
                <w:rFonts w:ascii="Aptos" w:hAnsi="Aptos"/>
                <w:b w:val="0"/>
                <w:color w:val="111827"/>
                <w:sz w:val="14"/>
              </w:rPr>
              <w:t>$100.00</w:t>
            </w:r>
          </w:p>
        </w:tc>
        <w:tc>
          <w:tcPr>
            <w:tcW w:type="dxa" w:w="1080"/>
            <w:vAlign w:val="center"/>
          </w:tcPr>
          <w:p>
            <w:pPr>
              <w:spacing w:after="0" w:before="0" w:line="240" w:lineRule="auto"/>
            </w:pPr>
            <w:r/>
            <w:r>
              <w:rPr>
                <w:rFonts w:ascii="Aptos" w:hAnsi="Aptos"/>
                <w:b w:val="0"/>
                <w:color w:val="111827"/>
                <w:sz w:val="14"/>
              </w:rPr>
              <w:t>$22.56</w:t>
            </w:r>
          </w:p>
        </w:tc>
        <w:tc>
          <w:tcPr>
            <w:tcW w:type="dxa" w:w="1008"/>
            <w:vAlign w:val="center"/>
          </w:tcPr>
          <w:p>
            <w:pPr>
              <w:spacing w:after="0" w:before="0" w:line="240" w:lineRule="auto"/>
            </w:pPr>
            <w:r/>
            <w:r>
              <w:rPr>
                <w:rFonts w:ascii="Aptos" w:hAnsi="Aptos"/>
                <w:b w:val="0"/>
                <w:color w:val="111827"/>
                <w:sz w:val="14"/>
              </w:rPr>
              <w:t>Retrieve</w:t>
            </w:r>
          </w:p>
        </w:tc>
        <w:tc>
          <w:tcPr>
            <w:tcW w:type="dxa" w:w="3024"/>
            <w:vAlign w:val="center"/>
          </w:tcPr>
          <w:p>
            <w:pPr>
              <w:spacing w:after="0" w:before="0" w:line="240" w:lineRule="auto"/>
            </w:pPr>
            <w:r/>
            <w:r>
              <w:rPr>
                <w:rFonts w:ascii="Aptos" w:hAnsi="Aptos"/>
                <w:b w:val="0"/>
                <w:color w:val="111827"/>
                <w:sz w:val="14"/>
              </w:rPr>
              <w:t>Serial/authentication and fraud deterrence</w:t>
            </w:r>
          </w:p>
        </w:tc>
      </w:tr>
      <w:tr>
        <w:tc>
          <w:tcPr>
            <w:tcW w:type="dxa" w:w="2376"/>
            <w:vAlign w:val="center"/>
            <w:shd w:fill="F5F7FA"/>
          </w:tcPr>
          <w:p>
            <w:pPr>
              <w:spacing w:after="0" w:before="0" w:line="240" w:lineRule="auto"/>
            </w:pPr>
            <w:r/>
            <w:r>
              <w:rPr>
                <w:rFonts w:ascii="Aptos" w:hAnsi="Aptos"/>
                <w:b/>
                <w:color w:val="111827"/>
                <w:sz w:val="14"/>
              </w:rPr>
              <w:t>Small appliance ($100)</w:t>
            </w:r>
          </w:p>
        </w:tc>
        <w:tc>
          <w:tcPr>
            <w:tcW w:type="dxa" w:w="936"/>
            <w:vAlign w:val="center"/>
            <w:shd w:fill="F5F7FA"/>
          </w:tcPr>
          <w:p>
            <w:pPr>
              <w:spacing w:after="0" w:before="0" w:line="240" w:lineRule="auto"/>
            </w:pPr>
            <w:r/>
            <w:r>
              <w:rPr>
                <w:rFonts w:ascii="Aptos" w:hAnsi="Aptos"/>
                <w:b w:val="0"/>
                <w:color w:val="111827"/>
                <w:sz w:val="14"/>
              </w:rPr>
              <w:t>$96.23</w:t>
            </w:r>
          </w:p>
        </w:tc>
        <w:tc>
          <w:tcPr>
            <w:tcW w:type="dxa" w:w="936"/>
            <w:vAlign w:val="center"/>
            <w:shd w:fill="F5F7FA"/>
          </w:tcPr>
          <w:p>
            <w:pPr>
              <w:spacing w:after="0" w:before="0" w:line="240" w:lineRule="auto"/>
            </w:pPr>
            <w:r/>
            <w:r>
              <w:rPr>
                <w:rFonts w:ascii="Aptos" w:hAnsi="Aptos"/>
                <w:b w:val="0"/>
                <w:color w:val="111827"/>
                <w:sz w:val="14"/>
              </w:rPr>
              <w:t>$100.00</w:t>
            </w:r>
          </w:p>
        </w:tc>
        <w:tc>
          <w:tcPr>
            <w:tcW w:type="dxa" w:w="1080"/>
            <w:vAlign w:val="center"/>
            <w:shd w:fill="F5F7FA"/>
          </w:tcPr>
          <w:p>
            <w:pPr>
              <w:spacing w:after="0" w:before="0" w:line="240" w:lineRule="auto"/>
            </w:pPr>
            <w:r/>
            <w:r>
              <w:rPr>
                <w:rFonts w:ascii="Aptos" w:hAnsi="Aptos"/>
                <w:b w:val="0"/>
                <w:color w:val="111827"/>
                <w:sz w:val="14"/>
              </w:rPr>
              <w:t>$3.77</w:t>
            </w:r>
          </w:p>
        </w:tc>
        <w:tc>
          <w:tcPr>
            <w:tcW w:type="dxa" w:w="1008"/>
            <w:vAlign w:val="center"/>
            <w:shd w:fill="F5F7FA"/>
          </w:tcPr>
          <w:p>
            <w:pPr>
              <w:spacing w:after="0" w:before="0" w:line="240" w:lineRule="auto"/>
            </w:pPr>
            <w:r/>
            <w:r>
              <w:rPr>
                <w:rFonts w:ascii="Aptos" w:hAnsi="Aptos"/>
                <w:b w:val="0"/>
                <w:color w:val="111827"/>
                <w:sz w:val="14"/>
              </w:rPr>
              <w:t>Retrieve</w:t>
            </w:r>
          </w:p>
        </w:tc>
        <w:tc>
          <w:tcPr>
            <w:tcW w:type="dxa" w:w="3024"/>
            <w:vAlign w:val="center"/>
            <w:shd w:fill="F5F7FA"/>
          </w:tcPr>
          <w:p>
            <w:pPr>
              <w:spacing w:after="0" w:before="0" w:line="240" w:lineRule="auto"/>
            </w:pPr>
            <w:r/>
            <w:r>
              <w:rPr>
                <w:rFonts w:ascii="Aptos" w:hAnsi="Aptos"/>
                <w:b w:val="0"/>
                <w:color w:val="111827"/>
                <w:sz w:val="14"/>
              </w:rPr>
              <w:t>Account history, vendor credit, customer service</w:t>
            </w:r>
          </w:p>
        </w:tc>
      </w:tr>
      <w:tr>
        <w:tc>
          <w:tcPr>
            <w:tcW w:type="dxa" w:w="2376"/>
            <w:vAlign w:val="center"/>
          </w:tcPr>
          <w:p>
            <w:pPr>
              <w:spacing w:after="0" w:before="0" w:line="240" w:lineRule="auto"/>
            </w:pPr>
            <w:r/>
            <w:r>
              <w:rPr>
                <w:rFonts w:ascii="Aptos" w:hAnsi="Aptos"/>
                <w:b/>
                <w:color w:val="111827"/>
                <w:sz w:val="14"/>
              </w:rPr>
              <w:t>Laptop/phone premium electronics ($500)</w:t>
            </w:r>
          </w:p>
        </w:tc>
        <w:tc>
          <w:tcPr>
            <w:tcW w:type="dxa" w:w="936"/>
            <w:vAlign w:val="center"/>
          </w:tcPr>
          <w:p>
            <w:pPr>
              <w:spacing w:after="0" w:before="0" w:line="240" w:lineRule="auto"/>
            </w:pPr>
            <w:r/>
            <w:r>
              <w:rPr>
                <w:rFonts w:ascii="Aptos" w:hAnsi="Aptos"/>
                <w:b w:val="0"/>
                <w:color w:val="111827"/>
                <w:sz w:val="14"/>
              </w:rPr>
              <w:t>$322.72</w:t>
            </w:r>
          </w:p>
        </w:tc>
        <w:tc>
          <w:tcPr>
            <w:tcW w:type="dxa" w:w="936"/>
            <w:vAlign w:val="center"/>
          </w:tcPr>
          <w:p>
            <w:pPr>
              <w:spacing w:after="0" w:before="0" w:line="240" w:lineRule="auto"/>
            </w:pPr>
            <w:r/>
            <w:r>
              <w:rPr>
                <w:rFonts w:ascii="Aptos" w:hAnsi="Aptos"/>
                <w:b w:val="0"/>
                <w:color w:val="111827"/>
                <w:sz w:val="14"/>
              </w:rPr>
              <w:t>$500.00</w:t>
            </w:r>
          </w:p>
        </w:tc>
        <w:tc>
          <w:tcPr>
            <w:tcW w:type="dxa" w:w="1080"/>
            <w:vAlign w:val="center"/>
          </w:tcPr>
          <w:p>
            <w:pPr>
              <w:spacing w:after="0" w:before="0" w:line="240" w:lineRule="auto"/>
            </w:pPr>
            <w:r/>
            <w:r>
              <w:rPr>
                <w:rFonts w:ascii="Aptos" w:hAnsi="Aptos"/>
                <w:b w:val="0"/>
                <w:color w:val="111827"/>
                <w:sz w:val="14"/>
              </w:rPr>
              <w:t>$177.28</w:t>
            </w:r>
          </w:p>
        </w:tc>
        <w:tc>
          <w:tcPr>
            <w:tcW w:type="dxa" w:w="1008"/>
            <w:vAlign w:val="center"/>
          </w:tcPr>
          <w:p>
            <w:pPr>
              <w:spacing w:after="0" w:before="0" w:line="240" w:lineRule="auto"/>
            </w:pPr>
            <w:r/>
            <w:r>
              <w:rPr>
                <w:rFonts w:ascii="Aptos" w:hAnsi="Aptos"/>
                <w:b w:val="0"/>
                <w:color w:val="111827"/>
                <w:sz w:val="14"/>
              </w:rPr>
              <w:t>Retrieve</w:t>
            </w:r>
          </w:p>
        </w:tc>
        <w:tc>
          <w:tcPr>
            <w:tcW w:type="dxa" w:w="3024"/>
            <w:vAlign w:val="center"/>
          </w:tcPr>
          <w:p>
            <w:pPr>
              <w:spacing w:after="0" w:before="0" w:line="240" w:lineRule="auto"/>
            </w:pPr>
            <w:r/>
            <w:r>
              <w:rPr>
                <w:rFonts w:ascii="Aptos" w:hAnsi="Aptos"/>
                <w:b w:val="0"/>
                <w:color w:val="111827"/>
                <w:sz w:val="14"/>
              </w:rPr>
              <w:t>Serial/authentication and fraud deterrence</w:t>
            </w:r>
          </w:p>
        </w:tc>
      </w:tr>
      <w:tr>
        <w:tc>
          <w:tcPr>
            <w:tcW w:type="dxa" w:w="2376"/>
            <w:vAlign w:val="center"/>
            <w:shd w:fill="F5F7FA"/>
          </w:tcPr>
          <w:p>
            <w:pPr>
              <w:spacing w:after="0" w:before="0" w:line="240" w:lineRule="auto"/>
            </w:pPr>
            <w:r/>
            <w:r>
              <w:rPr>
                <w:rFonts w:ascii="Aptos" w:hAnsi="Aptos"/>
                <w:b/>
                <w:color w:val="111827"/>
                <w:sz w:val="14"/>
              </w:rPr>
              <w:t>Furniture product ($500)</w:t>
            </w:r>
          </w:p>
        </w:tc>
        <w:tc>
          <w:tcPr>
            <w:tcW w:type="dxa" w:w="936"/>
            <w:vAlign w:val="center"/>
            <w:shd w:fill="F5F7FA"/>
          </w:tcPr>
          <w:p>
            <w:pPr>
              <w:spacing w:after="0" w:before="0" w:line="240" w:lineRule="auto"/>
            </w:pPr>
            <w:r/>
            <w:r>
              <w:rPr>
                <w:rFonts w:ascii="Aptos" w:hAnsi="Aptos"/>
                <w:b w:val="0"/>
                <w:color w:val="111827"/>
                <w:sz w:val="14"/>
              </w:rPr>
              <w:t>$514.04</w:t>
            </w:r>
          </w:p>
        </w:tc>
        <w:tc>
          <w:tcPr>
            <w:tcW w:type="dxa" w:w="936"/>
            <w:vAlign w:val="center"/>
            <w:shd w:fill="F5F7FA"/>
          </w:tcPr>
          <w:p>
            <w:pPr>
              <w:spacing w:after="0" w:before="0" w:line="240" w:lineRule="auto"/>
            </w:pPr>
            <w:r/>
            <w:r>
              <w:rPr>
                <w:rFonts w:ascii="Aptos" w:hAnsi="Aptos"/>
                <w:b w:val="0"/>
                <w:color w:val="111827"/>
                <w:sz w:val="14"/>
              </w:rPr>
              <w:t>$500.00</w:t>
            </w:r>
          </w:p>
        </w:tc>
        <w:tc>
          <w:tcPr>
            <w:tcW w:type="dxa" w:w="1080"/>
            <w:vAlign w:val="center"/>
            <w:shd w:fill="F5F7FA"/>
          </w:tcPr>
          <w:p>
            <w:pPr>
              <w:spacing w:after="0" w:before="0" w:line="240" w:lineRule="auto"/>
            </w:pPr>
            <w:r/>
            <w:r>
              <w:rPr>
                <w:rFonts w:ascii="Aptos" w:hAnsi="Aptos"/>
                <w:b w:val="0"/>
                <w:color w:val="111827"/>
                <w:sz w:val="14"/>
              </w:rPr>
              <w:t>$-14.04</w:t>
            </w:r>
          </w:p>
        </w:tc>
        <w:tc>
          <w:tcPr>
            <w:tcW w:type="dxa" w:w="1008"/>
            <w:vAlign w:val="center"/>
            <w:shd w:fill="F5F7FA"/>
          </w:tcPr>
          <w:p>
            <w:pPr>
              <w:spacing w:after="0" w:before="0" w:line="240" w:lineRule="auto"/>
            </w:pPr>
            <w:r/>
            <w:r>
              <w:rPr>
                <w:rFonts w:ascii="Aptos" w:hAnsi="Aptos"/>
                <w:b w:val="0"/>
                <w:color w:val="111827"/>
                <w:sz w:val="14"/>
              </w:rPr>
              <w:t>Returnless</w:t>
            </w:r>
          </w:p>
        </w:tc>
        <w:tc>
          <w:tcPr>
            <w:tcW w:type="dxa" w:w="3024"/>
            <w:vAlign w:val="center"/>
            <w:shd w:fill="F5F7FA"/>
          </w:tcPr>
          <w:p>
            <w:pPr>
              <w:spacing w:after="0" w:before="0" w:line="240" w:lineRule="auto"/>
            </w:pPr>
            <w:r/>
            <w:r>
              <w:rPr>
                <w:rFonts w:ascii="Aptos" w:hAnsi="Aptos"/>
                <w:b w:val="0"/>
                <w:color w:val="111827"/>
                <w:sz w:val="14"/>
              </w:rPr>
              <w:t>Local routing and damage evidence</w:t>
            </w:r>
          </w:p>
        </w:tc>
      </w:tr>
      <w:tr>
        <w:tc>
          <w:tcPr>
            <w:tcW w:type="dxa" w:w="2376"/>
            <w:vAlign w:val="center"/>
          </w:tcPr>
          <w:p>
            <w:pPr>
              <w:spacing w:after="0" w:before="0" w:line="240" w:lineRule="auto"/>
            </w:pPr>
            <w:r/>
            <w:r>
              <w:rPr>
                <w:rFonts w:ascii="Aptos" w:hAnsi="Aptos"/>
                <w:b/>
                <w:color w:val="111827"/>
                <w:sz w:val="14"/>
              </w:rPr>
              <w:t>Premium apparel/accessory ($500)</w:t>
            </w:r>
          </w:p>
        </w:tc>
        <w:tc>
          <w:tcPr>
            <w:tcW w:type="dxa" w:w="936"/>
            <w:vAlign w:val="center"/>
          </w:tcPr>
          <w:p>
            <w:pPr>
              <w:spacing w:after="0" w:before="0" w:line="240" w:lineRule="auto"/>
            </w:pPr>
            <w:r/>
            <w:r>
              <w:rPr>
                <w:rFonts w:ascii="Aptos" w:hAnsi="Aptos"/>
                <w:b w:val="0"/>
                <w:color w:val="111827"/>
                <w:sz w:val="14"/>
              </w:rPr>
              <w:t>$248.57</w:t>
            </w:r>
          </w:p>
        </w:tc>
        <w:tc>
          <w:tcPr>
            <w:tcW w:type="dxa" w:w="936"/>
            <w:vAlign w:val="center"/>
          </w:tcPr>
          <w:p>
            <w:pPr>
              <w:spacing w:after="0" w:before="0" w:line="240" w:lineRule="auto"/>
            </w:pPr>
            <w:r/>
            <w:r>
              <w:rPr>
                <w:rFonts w:ascii="Aptos" w:hAnsi="Aptos"/>
                <w:b w:val="0"/>
                <w:color w:val="111827"/>
                <w:sz w:val="14"/>
              </w:rPr>
              <w:t>$500.00</w:t>
            </w:r>
          </w:p>
        </w:tc>
        <w:tc>
          <w:tcPr>
            <w:tcW w:type="dxa" w:w="1080"/>
            <w:vAlign w:val="center"/>
          </w:tcPr>
          <w:p>
            <w:pPr>
              <w:spacing w:after="0" w:before="0" w:line="240" w:lineRule="auto"/>
            </w:pPr>
            <w:r/>
            <w:r>
              <w:rPr>
                <w:rFonts w:ascii="Aptos" w:hAnsi="Aptos"/>
                <w:b w:val="0"/>
                <w:color w:val="111827"/>
                <w:sz w:val="14"/>
              </w:rPr>
              <w:t>$251.43</w:t>
            </w:r>
          </w:p>
        </w:tc>
        <w:tc>
          <w:tcPr>
            <w:tcW w:type="dxa" w:w="1008"/>
            <w:vAlign w:val="center"/>
          </w:tcPr>
          <w:p>
            <w:pPr>
              <w:spacing w:after="0" w:before="0" w:line="240" w:lineRule="auto"/>
            </w:pPr>
            <w:r/>
            <w:r>
              <w:rPr>
                <w:rFonts w:ascii="Aptos" w:hAnsi="Aptos"/>
                <w:b w:val="0"/>
                <w:color w:val="111827"/>
                <w:sz w:val="14"/>
              </w:rPr>
              <w:t>Retrieve</w:t>
            </w:r>
          </w:p>
        </w:tc>
        <w:tc>
          <w:tcPr>
            <w:tcW w:type="dxa" w:w="3024"/>
            <w:vAlign w:val="center"/>
          </w:tcPr>
          <w:p>
            <w:pPr>
              <w:spacing w:after="0" w:before="0" w:line="240" w:lineRule="auto"/>
            </w:pPr>
            <w:r/>
            <w:r>
              <w:rPr>
                <w:rFonts w:ascii="Aptos" w:hAnsi="Aptos"/>
                <w:b w:val="0"/>
                <w:color w:val="111827"/>
                <w:sz w:val="14"/>
              </w:rPr>
              <w:t>Serial/authentication and fraud deterrence</w:t>
            </w:r>
          </w:p>
        </w:tc>
      </w:tr>
    </w:tbl>
    <w:p>
      <w:pPr>
        <w:spacing w:after="0"/>
      </w:pPr>
    </w:p>
    <w:p>
      <w:pPr>
        <w:pStyle w:val="Caption"/>
        <w:jc w:val="left"/>
      </w:pPr>
      <w:r>
        <w:rPr>
          <w:b/>
        </w:rPr>
        <w:t>Table 4. Retrieved versus returnless refund</w:t>
      </w:r>
      <w:r>
        <w:rPr>
          <w:i/>
          <w:color w:val="6B7280"/>
        </w:rPr>
        <w:t xml:space="preserve">  Source: Returnless tax excludes strategic abuse, safety, customer-service and public-relations effects.</w:t>
      </w:r>
    </w:p>
    <w:p>
      <w:pPr>
        <w:sectPr>
          <w:pgSz w:w="12240" w:h="15840"/>
          <w:pgMar w:top="1008" w:right="1152" w:bottom="1008" w:left="1152" w:header="720" w:footer="720" w:gutter="0"/>
          <w:cols w:space="720"/>
          <w:docGrid w:linePitch="360"/>
        </w:sectPr>
      </w:pPr>
    </w:p>
    <w:p>
      <w:pPr>
        <w:pStyle w:val="Heading2"/>
      </w:pPr>
      <w:r>
        <w:t>Break-even thresholds</w:t>
      </w:r>
    </w:p>
    <w:tbl>
      <w:tblPr>
        <w:tblStyle w:val="TableGrid"/>
        <w:tblW w:type="auto" w:w="0"/>
        <w:jc w:val="center"/>
        <w:tblLayout w:type="fixed"/>
        <w:tblLook w:firstColumn="1" w:firstRow="1" w:lastColumn="0" w:lastRow="0" w:noHBand="0" w:noVBand="1" w:val="04A0"/>
      </w:tblPr>
      <w:tblGrid>
        <w:gridCol w:w="1584"/>
        <w:gridCol w:w="1584"/>
        <w:gridCol w:w="1584"/>
        <w:gridCol w:w="1584"/>
        <w:gridCol w:w="1584"/>
        <w:gridCol w:w="1584"/>
        <w:gridCol w:w="1584"/>
        <w:gridCol w:w="1584"/>
        <w:gridCol w:w="1584"/>
      </w:tblGrid>
      <w:tr>
        <w:trPr>
          <w:tblHeader w:val="true"/>
        </w:trPr>
        <w:tc>
          <w:tcPr>
            <w:tcW w:type="dxa" w:w="2448"/>
            <w:vAlign w:val="center"/>
            <w:shd w:fill="17324D"/>
            <w:tcBorders>
              <w:bottom w:val="single" w:sz="8" w:color="FFFFFF"/>
            </w:tcBorders>
          </w:tcPr>
          <w:p>
            <w:pPr>
              <w:spacing w:after="0" w:before="0" w:line="240" w:lineRule="auto"/>
              <w:jc w:val="left"/>
            </w:pPr>
            <w:r/>
            <w:r>
              <w:rPr>
                <w:rFonts w:ascii="Aptos" w:hAnsi="Aptos"/>
                <w:b/>
                <w:color w:val="FFFFFF"/>
                <w:sz w:val="13"/>
              </w:rPr>
              <w:t>Product</w:t>
            </w:r>
          </w:p>
        </w:tc>
        <w:tc>
          <w:tcPr>
            <w:tcW w:type="dxa" w:w="1440"/>
            <w:vAlign w:val="center"/>
            <w:shd w:fill="17324D"/>
            <w:tcBorders>
              <w:bottom w:val="single" w:sz="8" w:color="FFFFFF"/>
            </w:tcBorders>
          </w:tcPr>
          <w:p>
            <w:pPr>
              <w:spacing w:after="0" w:before="0" w:line="240" w:lineRule="auto"/>
              <w:jc w:val="left"/>
            </w:pPr>
            <w:r/>
            <w:r>
              <w:rPr>
                <w:rFonts w:ascii="Aptos" w:hAnsi="Aptos"/>
                <w:b/>
                <w:color w:val="FFFFFF"/>
                <w:sz w:val="13"/>
              </w:rPr>
              <w:t>Required gross recovery</w:t>
            </w:r>
          </w:p>
        </w:tc>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3"/>
              </w:rPr>
              <w:t>Required % retail</w:t>
            </w:r>
          </w:p>
        </w:tc>
        <w:tc>
          <w:tcPr>
            <w:tcW w:type="dxa" w:w="1440"/>
            <w:vAlign w:val="center"/>
            <w:shd w:fill="17324D"/>
            <w:tcBorders>
              <w:bottom w:val="single" w:sz="8" w:color="FFFFFF"/>
            </w:tcBorders>
          </w:tcPr>
          <w:p>
            <w:pPr>
              <w:spacing w:after="0" w:before="0" w:line="240" w:lineRule="auto"/>
              <w:jc w:val="left"/>
            </w:pPr>
            <w:r/>
            <w:r>
              <w:rPr>
                <w:rFonts w:ascii="Aptos" w:hAnsi="Aptos"/>
                <w:b/>
                <w:color w:val="FFFFFF"/>
                <w:sz w:val="13"/>
              </w:rPr>
              <w:t>Min correct-item probability</w:t>
            </w:r>
          </w:p>
        </w:tc>
        <w:tc>
          <w:tcPr>
            <w:tcW w:type="dxa" w:w="1440"/>
            <w:vAlign w:val="center"/>
            <w:shd w:fill="17324D"/>
            <w:tcBorders>
              <w:bottom w:val="single" w:sz="8" w:color="FFFFFF"/>
            </w:tcBorders>
          </w:tcPr>
          <w:p>
            <w:pPr>
              <w:spacing w:after="0" w:before="0" w:line="240" w:lineRule="auto"/>
              <w:jc w:val="left"/>
            </w:pPr>
            <w:r/>
            <w:r>
              <w:rPr>
                <w:rFonts w:ascii="Aptos" w:hAnsi="Aptos"/>
                <w:b/>
                <w:color w:val="FFFFFF"/>
                <w:sz w:val="13"/>
              </w:rPr>
              <w:t>Modeled correct-item probability</w:t>
            </w:r>
          </w:p>
        </w:tc>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3"/>
              </w:rPr>
              <w:t>Max inspection minutes</w:t>
            </w:r>
          </w:p>
        </w:tc>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3"/>
              </w:rPr>
              <w:t>Max reverse freight</w:t>
            </w:r>
          </w:p>
        </w:tc>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3"/>
              </w:rPr>
              <w:t>Price threshold</w:t>
            </w:r>
          </w:p>
        </w:tc>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3"/>
              </w:rPr>
              <w:t>Max refurb cost</w:t>
            </w:r>
          </w:p>
        </w:tc>
      </w:tr>
      <w:tr>
        <w:tc>
          <w:tcPr>
            <w:tcW w:type="dxa" w:w="2448"/>
            <w:vAlign w:val="center"/>
          </w:tcPr>
          <w:p>
            <w:pPr>
              <w:spacing w:after="0" w:before="0" w:line="240" w:lineRule="auto"/>
            </w:pPr>
            <w:r/>
            <w:r>
              <w:rPr>
                <w:rFonts w:ascii="Aptos" w:hAnsi="Aptos"/>
                <w:b/>
                <w:color w:val="111827"/>
                <w:sz w:val="13"/>
              </w:rPr>
              <w:t>Basic clothing item ($20)</w:t>
            </w:r>
          </w:p>
        </w:tc>
        <w:tc>
          <w:tcPr>
            <w:tcW w:type="dxa" w:w="1440"/>
            <w:vAlign w:val="center"/>
          </w:tcPr>
          <w:p>
            <w:pPr>
              <w:spacing w:after="0" w:before="0" w:line="240" w:lineRule="auto"/>
            </w:pPr>
            <w:r/>
            <w:r>
              <w:rPr>
                <w:rFonts w:ascii="Aptos" w:hAnsi="Aptos"/>
                <w:b w:val="0"/>
                <w:color w:val="111827"/>
                <w:sz w:val="13"/>
              </w:rPr>
              <w:t>$9.18</w:t>
            </w:r>
          </w:p>
        </w:tc>
        <w:tc>
          <w:tcPr>
            <w:tcW w:type="dxa" w:w="1152"/>
            <w:vAlign w:val="center"/>
          </w:tcPr>
          <w:p>
            <w:pPr>
              <w:spacing w:after="0" w:before="0" w:line="240" w:lineRule="auto"/>
            </w:pPr>
            <w:r/>
            <w:r>
              <w:rPr>
                <w:rFonts w:ascii="Aptos" w:hAnsi="Aptos"/>
                <w:b w:val="0"/>
                <w:color w:val="111827"/>
                <w:sz w:val="13"/>
              </w:rPr>
              <w:t>45.9%</w:t>
            </w:r>
          </w:p>
        </w:tc>
        <w:tc>
          <w:tcPr>
            <w:tcW w:type="dxa" w:w="1440"/>
            <w:vAlign w:val="center"/>
          </w:tcPr>
          <w:p>
            <w:pPr>
              <w:spacing w:after="0" w:before="0" w:line="240" w:lineRule="auto"/>
            </w:pPr>
            <w:r/>
            <w:r>
              <w:rPr>
                <w:rFonts w:ascii="Aptos" w:hAnsi="Aptos"/>
                <w:b w:val="0"/>
                <w:color w:val="111827"/>
                <w:sz w:val="13"/>
              </w:rPr>
              <w:t>78.7%</w:t>
            </w:r>
          </w:p>
        </w:tc>
        <w:tc>
          <w:tcPr>
            <w:tcW w:type="dxa" w:w="1440"/>
            <w:vAlign w:val="center"/>
          </w:tcPr>
          <w:p>
            <w:pPr>
              <w:spacing w:after="0" w:before="0" w:line="240" w:lineRule="auto"/>
            </w:pPr>
            <w:r/>
            <w:r>
              <w:rPr>
                <w:rFonts w:ascii="Aptos" w:hAnsi="Aptos"/>
                <w:b w:val="0"/>
                <w:color w:val="111827"/>
                <w:sz w:val="13"/>
              </w:rPr>
              <w:t>98.0%</w:t>
            </w:r>
          </w:p>
        </w:tc>
        <w:tc>
          <w:tcPr>
            <w:tcW w:type="dxa" w:w="1152"/>
            <w:vAlign w:val="center"/>
          </w:tcPr>
          <w:p>
            <w:pPr>
              <w:spacing w:after="0" w:before="0" w:line="240" w:lineRule="auto"/>
            </w:pPr>
            <w:r/>
            <w:r>
              <w:rPr>
                <w:rFonts w:ascii="Aptos" w:hAnsi="Aptos"/>
                <w:b w:val="0"/>
                <w:color w:val="111827"/>
                <w:sz w:val="13"/>
              </w:rPr>
              <w:t>7.0</w:t>
            </w:r>
          </w:p>
        </w:tc>
        <w:tc>
          <w:tcPr>
            <w:tcW w:type="dxa" w:w="1152"/>
            <w:vAlign w:val="center"/>
          </w:tcPr>
          <w:p>
            <w:pPr>
              <w:spacing w:after="0" w:before="0" w:line="240" w:lineRule="auto"/>
            </w:pPr>
            <w:r/>
            <w:r>
              <w:rPr>
                <w:rFonts w:ascii="Aptos" w:hAnsi="Aptos"/>
                <w:b w:val="0"/>
                <w:color w:val="111827"/>
                <w:sz w:val="13"/>
              </w:rPr>
              <w:t>$5.73</w:t>
            </w:r>
          </w:p>
        </w:tc>
        <w:tc>
          <w:tcPr>
            <w:tcW w:type="dxa" w:w="1152"/>
            <w:vAlign w:val="center"/>
          </w:tcPr>
          <w:p>
            <w:pPr>
              <w:spacing w:after="0" w:before="0" w:line="240" w:lineRule="auto"/>
            </w:pPr>
            <w:r/>
            <w:r>
              <w:rPr>
                <w:rFonts w:ascii="Aptos" w:hAnsi="Aptos"/>
                <w:b w:val="0"/>
                <w:color w:val="111827"/>
                <w:sz w:val="13"/>
              </w:rPr>
              <w:t>$16.08</w:t>
            </w:r>
          </w:p>
        </w:tc>
        <w:tc>
          <w:tcPr>
            <w:tcW w:type="dxa" w:w="1152"/>
            <w:vAlign w:val="center"/>
          </w:tcPr>
          <w:p>
            <w:pPr>
              <w:spacing w:after="0" w:before="0" w:line="240" w:lineRule="auto"/>
            </w:pPr>
            <w:r/>
            <w:r>
              <w:rPr>
                <w:rFonts w:ascii="Aptos" w:hAnsi="Aptos"/>
                <w:b w:val="0"/>
                <w:color w:val="111827"/>
                <w:sz w:val="13"/>
              </w:rPr>
              <w:t>-</w:t>
            </w:r>
          </w:p>
        </w:tc>
      </w:tr>
      <w:tr>
        <w:tc>
          <w:tcPr>
            <w:tcW w:type="dxa" w:w="2448"/>
            <w:vAlign w:val="center"/>
            <w:shd w:fill="F5F7FA"/>
          </w:tcPr>
          <w:p>
            <w:pPr>
              <w:spacing w:after="0" w:before="0" w:line="240" w:lineRule="auto"/>
            </w:pPr>
            <w:r/>
            <w:r>
              <w:rPr>
                <w:rFonts w:ascii="Aptos" w:hAnsi="Aptos"/>
                <w:b/>
                <w:color w:val="111827"/>
                <w:sz w:val="13"/>
              </w:rPr>
              <w:t>Cosmetic/personal-care item ($20)</w:t>
            </w:r>
          </w:p>
        </w:tc>
        <w:tc>
          <w:tcPr>
            <w:tcW w:type="dxa" w:w="1440"/>
            <w:vAlign w:val="center"/>
            <w:shd w:fill="F5F7FA"/>
          </w:tcPr>
          <w:p>
            <w:pPr>
              <w:spacing w:after="0" w:before="0" w:line="240" w:lineRule="auto"/>
            </w:pPr>
            <w:r/>
            <w:r>
              <w:rPr>
                <w:rFonts w:ascii="Aptos" w:hAnsi="Aptos"/>
                <w:b w:val="0"/>
                <w:color w:val="111827"/>
                <w:sz w:val="13"/>
              </w:rPr>
              <w:t>$6.71</w:t>
            </w:r>
          </w:p>
        </w:tc>
        <w:tc>
          <w:tcPr>
            <w:tcW w:type="dxa" w:w="1152"/>
            <w:vAlign w:val="center"/>
            <w:shd w:fill="F5F7FA"/>
          </w:tcPr>
          <w:p>
            <w:pPr>
              <w:spacing w:after="0" w:before="0" w:line="240" w:lineRule="auto"/>
            </w:pPr>
            <w:r/>
            <w:r>
              <w:rPr>
                <w:rFonts w:ascii="Aptos" w:hAnsi="Aptos"/>
                <w:b w:val="0"/>
                <w:color w:val="111827"/>
                <w:sz w:val="13"/>
              </w:rPr>
              <w:t>33.6%</w:t>
            </w:r>
          </w:p>
        </w:tc>
        <w:tc>
          <w:tcPr>
            <w:tcW w:type="dxa" w:w="1440"/>
            <w:vAlign w:val="center"/>
            <w:shd w:fill="F5F7FA"/>
          </w:tcPr>
          <w:p>
            <w:pPr>
              <w:spacing w:after="0" w:before="0" w:line="240" w:lineRule="auto"/>
            </w:pPr>
            <w:r/>
            <w:r>
              <w:rPr>
                <w:rFonts w:ascii="Aptos" w:hAnsi="Aptos"/>
                <w:b w:val="0"/>
                <w:color w:val="111827"/>
                <w:sz w:val="13"/>
              </w:rPr>
              <w:t>103.3%</w:t>
            </w:r>
          </w:p>
        </w:tc>
        <w:tc>
          <w:tcPr>
            <w:tcW w:type="dxa" w:w="1440"/>
            <w:vAlign w:val="center"/>
            <w:shd w:fill="F5F7FA"/>
          </w:tcPr>
          <w:p>
            <w:pPr>
              <w:spacing w:after="0" w:before="0" w:line="240" w:lineRule="auto"/>
            </w:pPr>
            <w:r/>
            <w:r>
              <w:rPr>
                <w:rFonts w:ascii="Aptos" w:hAnsi="Aptos"/>
                <w:b w:val="0"/>
                <w:color w:val="111827"/>
                <w:sz w:val="13"/>
              </w:rPr>
              <w:t>99.0%</w:t>
            </w:r>
          </w:p>
        </w:tc>
        <w:tc>
          <w:tcPr>
            <w:tcW w:type="dxa" w:w="1152"/>
            <w:vAlign w:val="center"/>
            <w:shd w:fill="F5F7FA"/>
          </w:tcPr>
          <w:p>
            <w:pPr>
              <w:spacing w:after="0" w:before="0" w:line="240" w:lineRule="auto"/>
            </w:pPr>
            <w:r/>
            <w:r>
              <w:rPr>
                <w:rFonts w:ascii="Aptos" w:hAnsi="Aptos"/>
                <w:b w:val="0"/>
                <w:color w:val="111827"/>
                <w:sz w:val="13"/>
              </w:rPr>
              <w:t>0.9</w:t>
            </w:r>
          </w:p>
        </w:tc>
        <w:tc>
          <w:tcPr>
            <w:tcW w:type="dxa" w:w="1152"/>
            <w:vAlign w:val="center"/>
            <w:shd w:fill="F5F7FA"/>
          </w:tcPr>
          <w:p>
            <w:pPr>
              <w:spacing w:after="0" w:before="0" w:line="240" w:lineRule="auto"/>
            </w:pPr>
            <w:r/>
            <w:r>
              <w:rPr>
                <w:rFonts w:ascii="Aptos" w:hAnsi="Aptos"/>
                <w:b w:val="0"/>
                <w:color w:val="111827"/>
                <w:sz w:val="13"/>
              </w:rPr>
              <w:t>$2.94</w:t>
            </w:r>
          </w:p>
        </w:tc>
        <w:tc>
          <w:tcPr>
            <w:tcW w:type="dxa" w:w="1152"/>
            <w:vAlign w:val="center"/>
            <w:shd w:fill="F5F7FA"/>
          </w:tcPr>
          <w:p>
            <w:pPr>
              <w:spacing w:after="0" w:before="0" w:line="240" w:lineRule="auto"/>
            </w:pPr>
            <w:r/>
            <w:r>
              <w:rPr>
                <w:rFonts w:ascii="Aptos" w:hAnsi="Aptos"/>
                <w:b w:val="0"/>
                <w:color w:val="111827"/>
                <w:sz w:val="13"/>
              </w:rPr>
              <w:t>$20.91</w:t>
            </w:r>
          </w:p>
        </w:tc>
        <w:tc>
          <w:tcPr>
            <w:tcW w:type="dxa" w:w="1152"/>
            <w:vAlign w:val="center"/>
            <w:shd w:fill="F5F7FA"/>
          </w:tcPr>
          <w:p>
            <w:pPr>
              <w:spacing w:after="0" w:before="0" w:line="240" w:lineRule="auto"/>
            </w:pPr>
            <w:r/>
            <w:r>
              <w:rPr>
                <w:rFonts w:ascii="Aptos" w:hAnsi="Aptos"/>
                <w:b w:val="0"/>
                <w:color w:val="111827"/>
                <w:sz w:val="13"/>
              </w:rPr>
              <w:t>-</w:t>
            </w:r>
          </w:p>
        </w:tc>
      </w:tr>
      <w:tr>
        <w:tc>
          <w:tcPr>
            <w:tcW w:type="dxa" w:w="2448"/>
            <w:vAlign w:val="center"/>
          </w:tcPr>
          <w:p>
            <w:pPr>
              <w:spacing w:after="0" w:before="0" w:line="240" w:lineRule="auto"/>
            </w:pPr>
            <w:r/>
            <w:r>
              <w:rPr>
                <w:rFonts w:ascii="Aptos" w:hAnsi="Aptos"/>
                <w:b/>
                <w:color w:val="111827"/>
                <w:sz w:val="13"/>
              </w:rPr>
              <w:t>Small household product ($20)</w:t>
            </w:r>
          </w:p>
        </w:tc>
        <w:tc>
          <w:tcPr>
            <w:tcW w:type="dxa" w:w="1440"/>
            <w:vAlign w:val="center"/>
          </w:tcPr>
          <w:p>
            <w:pPr>
              <w:spacing w:after="0" w:before="0" w:line="240" w:lineRule="auto"/>
            </w:pPr>
            <w:r/>
            <w:r>
              <w:rPr>
                <w:rFonts w:ascii="Aptos" w:hAnsi="Aptos"/>
                <w:b w:val="0"/>
                <w:color w:val="111827"/>
                <w:sz w:val="13"/>
              </w:rPr>
              <w:t>$12.49</w:t>
            </w:r>
          </w:p>
        </w:tc>
        <w:tc>
          <w:tcPr>
            <w:tcW w:type="dxa" w:w="1152"/>
            <w:vAlign w:val="center"/>
          </w:tcPr>
          <w:p>
            <w:pPr>
              <w:spacing w:after="0" w:before="0" w:line="240" w:lineRule="auto"/>
            </w:pPr>
            <w:r/>
            <w:r>
              <w:rPr>
                <w:rFonts w:ascii="Aptos" w:hAnsi="Aptos"/>
                <w:b w:val="0"/>
                <w:color w:val="111827"/>
                <w:sz w:val="13"/>
              </w:rPr>
              <w:t>62.4%</w:t>
            </w:r>
          </w:p>
        </w:tc>
        <w:tc>
          <w:tcPr>
            <w:tcW w:type="dxa" w:w="1440"/>
            <w:vAlign w:val="center"/>
          </w:tcPr>
          <w:p>
            <w:pPr>
              <w:spacing w:after="0" w:before="0" w:line="240" w:lineRule="auto"/>
            </w:pPr>
            <w:r/>
            <w:r>
              <w:rPr>
                <w:rFonts w:ascii="Aptos" w:hAnsi="Aptos"/>
                <w:b w:val="0"/>
                <w:color w:val="111827"/>
                <w:sz w:val="13"/>
              </w:rPr>
              <w:t>163.0%</w:t>
            </w:r>
          </w:p>
        </w:tc>
        <w:tc>
          <w:tcPr>
            <w:tcW w:type="dxa" w:w="1440"/>
            <w:vAlign w:val="center"/>
          </w:tcPr>
          <w:p>
            <w:pPr>
              <w:spacing w:after="0" w:before="0" w:line="240" w:lineRule="auto"/>
            </w:pPr>
            <w:r/>
            <w:r>
              <w:rPr>
                <w:rFonts w:ascii="Aptos" w:hAnsi="Aptos"/>
                <w:b w:val="0"/>
                <w:color w:val="111827"/>
                <w:sz w:val="13"/>
              </w:rPr>
              <w:t>99.0%</w:t>
            </w:r>
          </w:p>
        </w:tc>
        <w:tc>
          <w:tcPr>
            <w:tcW w:type="dxa" w:w="1152"/>
            <w:vAlign w:val="center"/>
          </w:tcPr>
          <w:p>
            <w:pPr>
              <w:spacing w:after="0" w:before="0" w:line="240" w:lineRule="auto"/>
            </w:pPr>
            <w:r/>
            <w:r>
              <w:rPr>
                <w:rFonts w:ascii="Aptos" w:hAnsi="Aptos"/>
                <w:b w:val="0"/>
                <w:color w:val="111827"/>
                <w:sz w:val="13"/>
              </w:rPr>
              <w:t>0.0</w:t>
            </w:r>
          </w:p>
        </w:tc>
        <w:tc>
          <w:tcPr>
            <w:tcW w:type="dxa" w:w="1152"/>
            <w:vAlign w:val="center"/>
          </w:tcPr>
          <w:p>
            <w:pPr>
              <w:spacing w:after="0" w:before="0" w:line="240" w:lineRule="auto"/>
            </w:pPr>
            <w:r/>
            <w:r>
              <w:rPr>
                <w:rFonts w:ascii="Aptos" w:hAnsi="Aptos"/>
                <w:b w:val="0"/>
                <w:color w:val="111827"/>
                <w:sz w:val="13"/>
              </w:rPr>
              <w:t>$2.49</w:t>
            </w:r>
          </w:p>
        </w:tc>
        <w:tc>
          <w:tcPr>
            <w:tcW w:type="dxa" w:w="1152"/>
            <w:vAlign w:val="center"/>
          </w:tcPr>
          <w:p>
            <w:pPr>
              <w:spacing w:after="0" w:before="0" w:line="240" w:lineRule="auto"/>
            </w:pPr>
            <w:r/>
            <w:r>
              <w:rPr>
                <w:rFonts w:ascii="Aptos" w:hAnsi="Aptos"/>
                <w:b w:val="0"/>
                <w:color w:val="111827"/>
                <w:sz w:val="13"/>
              </w:rPr>
              <w:t>$31.52</w:t>
            </w:r>
          </w:p>
        </w:tc>
        <w:tc>
          <w:tcPr>
            <w:tcW w:type="dxa" w:w="1152"/>
            <w:vAlign w:val="center"/>
          </w:tcPr>
          <w:p>
            <w:pPr>
              <w:spacing w:after="0" w:before="0" w:line="240" w:lineRule="auto"/>
            </w:pPr>
            <w:r/>
            <w:r>
              <w:rPr>
                <w:rFonts w:ascii="Aptos" w:hAnsi="Aptos"/>
                <w:b w:val="0"/>
                <w:color w:val="111827"/>
                <w:sz w:val="13"/>
              </w:rPr>
              <w:t>$-3.68</w:t>
            </w:r>
          </w:p>
        </w:tc>
      </w:tr>
      <w:tr>
        <w:tc>
          <w:tcPr>
            <w:tcW w:type="dxa" w:w="2448"/>
            <w:vAlign w:val="center"/>
            <w:shd w:fill="F5F7FA"/>
          </w:tcPr>
          <w:p>
            <w:pPr>
              <w:spacing w:after="0" w:before="0" w:line="240" w:lineRule="auto"/>
            </w:pPr>
            <w:r/>
            <w:r>
              <w:rPr>
                <w:rFonts w:ascii="Aptos" w:hAnsi="Aptos"/>
                <w:b/>
                <w:color w:val="111827"/>
                <w:sz w:val="13"/>
              </w:rPr>
              <w:t>Footwear/premium apparel ($100)</w:t>
            </w:r>
          </w:p>
        </w:tc>
        <w:tc>
          <w:tcPr>
            <w:tcW w:type="dxa" w:w="1440"/>
            <w:vAlign w:val="center"/>
            <w:shd w:fill="F5F7FA"/>
          </w:tcPr>
          <w:p>
            <w:pPr>
              <w:spacing w:after="0" w:before="0" w:line="240" w:lineRule="auto"/>
            </w:pPr>
            <w:r/>
            <w:r>
              <w:rPr>
                <w:rFonts w:ascii="Aptos" w:hAnsi="Aptos"/>
                <w:b w:val="0"/>
                <w:color w:val="111827"/>
                <w:sz w:val="13"/>
              </w:rPr>
              <w:t>$14.77</w:t>
            </w:r>
          </w:p>
        </w:tc>
        <w:tc>
          <w:tcPr>
            <w:tcW w:type="dxa" w:w="1152"/>
            <w:vAlign w:val="center"/>
            <w:shd w:fill="F5F7FA"/>
          </w:tcPr>
          <w:p>
            <w:pPr>
              <w:spacing w:after="0" w:before="0" w:line="240" w:lineRule="auto"/>
            </w:pPr>
            <w:r/>
            <w:r>
              <w:rPr>
                <w:rFonts w:ascii="Aptos" w:hAnsi="Aptos"/>
                <w:b w:val="0"/>
                <w:color w:val="111827"/>
                <w:sz w:val="13"/>
              </w:rPr>
              <w:t>14.8%</w:t>
            </w:r>
          </w:p>
        </w:tc>
        <w:tc>
          <w:tcPr>
            <w:tcW w:type="dxa" w:w="1440"/>
            <w:vAlign w:val="center"/>
            <w:shd w:fill="F5F7FA"/>
          </w:tcPr>
          <w:p>
            <w:pPr>
              <w:spacing w:after="0" w:before="0" w:line="240" w:lineRule="auto"/>
            </w:pPr>
            <w:r/>
            <w:r>
              <w:rPr>
                <w:rFonts w:ascii="Aptos" w:hAnsi="Aptos"/>
                <w:b w:val="0"/>
                <w:color w:val="111827"/>
                <w:sz w:val="13"/>
              </w:rPr>
              <w:t>23.9%</w:t>
            </w:r>
          </w:p>
        </w:tc>
        <w:tc>
          <w:tcPr>
            <w:tcW w:type="dxa" w:w="1440"/>
            <w:vAlign w:val="center"/>
            <w:shd w:fill="F5F7FA"/>
          </w:tcPr>
          <w:p>
            <w:pPr>
              <w:spacing w:after="0" w:before="0" w:line="240" w:lineRule="auto"/>
            </w:pPr>
            <w:r/>
            <w:r>
              <w:rPr>
                <w:rFonts w:ascii="Aptos" w:hAnsi="Aptos"/>
                <w:b w:val="0"/>
                <w:color w:val="111827"/>
                <w:sz w:val="13"/>
              </w:rPr>
              <w:t>97.0%</w:t>
            </w:r>
          </w:p>
        </w:tc>
        <w:tc>
          <w:tcPr>
            <w:tcW w:type="dxa" w:w="1152"/>
            <w:vAlign w:val="center"/>
            <w:shd w:fill="F5F7FA"/>
          </w:tcPr>
          <w:p>
            <w:pPr>
              <w:spacing w:after="0" w:before="0" w:line="240" w:lineRule="auto"/>
            </w:pPr>
            <w:r/>
            <w:r>
              <w:rPr>
                <w:rFonts w:ascii="Aptos" w:hAnsi="Aptos"/>
                <w:b w:val="0"/>
                <w:color w:val="111827"/>
                <w:sz w:val="13"/>
              </w:rPr>
              <w:t>94.1</w:t>
            </w:r>
          </w:p>
        </w:tc>
        <w:tc>
          <w:tcPr>
            <w:tcW w:type="dxa" w:w="1152"/>
            <w:vAlign w:val="center"/>
            <w:shd w:fill="F5F7FA"/>
          </w:tcPr>
          <w:p>
            <w:pPr>
              <w:spacing w:after="0" w:before="0" w:line="240" w:lineRule="auto"/>
            </w:pPr>
            <w:r/>
            <w:r>
              <w:rPr>
                <w:rFonts w:ascii="Aptos" w:hAnsi="Aptos"/>
                <w:b w:val="0"/>
                <w:color w:val="111827"/>
                <w:sz w:val="13"/>
              </w:rPr>
              <w:t>$47.20</w:t>
            </w:r>
          </w:p>
        </w:tc>
        <w:tc>
          <w:tcPr>
            <w:tcW w:type="dxa" w:w="1152"/>
            <w:vAlign w:val="center"/>
            <w:shd w:fill="F5F7FA"/>
          </w:tcPr>
          <w:p>
            <w:pPr>
              <w:spacing w:after="0" w:before="0" w:line="240" w:lineRule="auto"/>
            </w:pPr>
            <w:r/>
            <w:r>
              <w:rPr>
                <w:rFonts w:ascii="Aptos" w:hAnsi="Aptos"/>
                <w:b w:val="0"/>
                <w:color w:val="111827"/>
                <w:sz w:val="13"/>
              </w:rPr>
              <w:t>$24.25</w:t>
            </w:r>
          </w:p>
        </w:tc>
        <w:tc>
          <w:tcPr>
            <w:tcW w:type="dxa" w:w="1152"/>
            <w:vAlign w:val="center"/>
            <w:shd w:fill="F5F7FA"/>
          </w:tcPr>
          <w:p>
            <w:pPr>
              <w:spacing w:after="0" w:before="0" w:line="240" w:lineRule="auto"/>
            </w:pPr>
            <w:r/>
            <w:r>
              <w:rPr>
                <w:rFonts w:ascii="Aptos" w:hAnsi="Aptos"/>
                <w:b w:val="0"/>
                <w:color w:val="111827"/>
                <w:sz w:val="13"/>
              </w:rPr>
              <w:t>$2.24</w:t>
            </w:r>
          </w:p>
        </w:tc>
      </w:tr>
      <w:tr>
        <w:tc>
          <w:tcPr>
            <w:tcW w:type="dxa" w:w="2448"/>
            <w:vAlign w:val="center"/>
          </w:tcPr>
          <w:p>
            <w:pPr>
              <w:spacing w:after="0" w:before="0" w:line="240" w:lineRule="auto"/>
            </w:pPr>
            <w:r/>
            <w:r>
              <w:rPr>
                <w:rFonts w:ascii="Aptos" w:hAnsi="Aptos"/>
                <w:b/>
                <w:color w:val="111827"/>
                <w:sz w:val="13"/>
              </w:rPr>
              <w:t>Headphones/small electronics ($100)</w:t>
            </w:r>
          </w:p>
        </w:tc>
        <w:tc>
          <w:tcPr>
            <w:tcW w:type="dxa" w:w="1440"/>
            <w:vAlign w:val="center"/>
          </w:tcPr>
          <w:p>
            <w:pPr>
              <w:spacing w:after="0" w:before="0" w:line="240" w:lineRule="auto"/>
            </w:pPr>
            <w:r/>
            <w:r>
              <w:rPr>
                <w:rFonts w:ascii="Aptos" w:hAnsi="Aptos"/>
                <w:b w:val="0"/>
                <w:color w:val="111827"/>
                <w:sz w:val="13"/>
              </w:rPr>
              <w:t>$24.68</w:t>
            </w:r>
          </w:p>
        </w:tc>
        <w:tc>
          <w:tcPr>
            <w:tcW w:type="dxa" w:w="1152"/>
            <w:vAlign w:val="center"/>
          </w:tcPr>
          <w:p>
            <w:pPr>
              <w:spacing w:after="0" w:before="0" w:line="240" w:lineRule="auto"/>
            </w:pPr>
            <w:r/>
            <w:r>
              <w:rPr>
                <w:rFonts w:ascii="Aptos" w:hAnsi="Aptos"/>
                <w:b w:val="0"/>
                <w:color w:val="111827"/>
                <w:sz w:val="13"/>
              </w:rPr>
              <w:t>24.7%</w:t>
            </w:r>
          </w:p>
        </w:tc>
        <w:tc>
          <w:tcPr>
            <w:tcW w:type="dxa" w:w="1440"/>
            <w:vAlign w:val="center"/>
          </w:tcPr>
          <w:p>
            <w:pPr>
              <w:spacing w:after="0" w:before="0" w:line="240" w:lineRule="auto"/>
            </w:pPr>
            <w:r/>
            <w:r>
              <w:rPr>
                <w:rFonts w:ascii="Aptos" w:hAnsi="Aptos"/>
                <w:b w:val="0"/>
                <w:color w:val="111827"/>
                <w:sz w:val="13"/>
              </w:rPr>
              <w:t>45.0%</w:t>
            </w:r>
          </w:p>
        </w:tc>
        <w:tc>
          <w:tcPr>
            <w:tcW w:type="dxa" w:w="1440"/>
            <w:vAlign w:val="center"/>
          </w:tcPr>
          <w:p>
            <w:pPr>
              <w:spacing w:after="0" w:before="0" w:line="240" w:lineRule="auto"/>
            </w:pPr>
            <w:r/>
            <w:r>
              <w:rPr>
                <w:rFonts w:ascii="Aptos" w:hAnsi="Aptos"/>
                <w:b w:val="0"/>
                <w:color w:val="111827"/>
                <w:sz w:val="13"/>
              </w:rPr>
              <w:t>95.0%</w:t>
            </w:r>
          </w:p>
        </w:tc>
        <w:tc>
          <w:tcPr>
            <w:tcW w:type="dxa" w:w="1152"/>
            <w:vAlign w:val="center"/>
          </w:tcPr>
          <w:p>
            <w:pPr>
              <w:spacing w:after="0" w:before="0" w:line="240" w:lineRule="auto"/>
            </w:pPr>
            <w:r/>
            <w:r>
              <w:rPr>
                <w:rFonts w:ascii="Aptos" w:hAnsi="Aptos"/>
                <w:b w:val="0"/>
                <w:color w:val="111827"/>
                <w:sz w:val="13"/>
              </w:rPr>
              <w:t>54.9</w:t>
            </w:r>
          </w:p>
        </w:tc>
        <w:tc>
          <w:tcPr>
            <w:tcW w:type="dxa" w:w="1152"/>
            <w:vAlign w:val="center"/>
          </w:tcPr>
          <w:p>
            <w:pPr>
              <w:spacing w:after="0" w:before="0" w:line="240" w:lineRule="auto"/>
            </w:pPr>
            <w:r/>
            <w:r>
              <w:rPr>
                <w:rFonts w:ascii="Aptos" w:hAnsi="Aptos"/>
                <w:b w:val="0"/>
                <w:color w:val="111827"/>
                <w:sz w:val="13"/>
              </w:rPr>
              <w:t>$29.37</w:t>
            </w:r>
          </w:p>
        </w:tc>
        <w:tc>
          <w:tcPr>
            <w:tcW w:type="dxa" w:w="1152"/>
            <w:vAlign w:val="center"/>
          </w:tcPr>
          <w:p>
            <w:pPr>
              <w:spacing w:after="0" w:before="0" w:line="240" w:lineRule="auto"/>
            </w:pPr>
            <w:r/>
            <w:r>
              <w:rPr>
                <w:rFonts w:ascii="Aptos" w:hAnsi="Aptos"/>
                <w:b w:val="0"/>
                <w:color w:val="111827"/>
                <w:sz w:val="13"/>
              </w:rPr>
              <w:t>$43.27</w:t>
            </w:r>
          </w:p>
        </w:tc>
        <w:tc>
          <w:tcPr>
            <w:tcW w:type="dxa" w:w="1152"/>
            <w:vAlign w:val="center"/>
          </w:tcPr>
          <w:p>
            <w:pPr>
              <w:spacing w:after="0" w:before="0" w:line="240" w:lineRule="auto"/>
            </w:pPr>
            <w:r/>
            <w:r>
              <w:rPr>
                <w:rFonts w:ascii="Aptos" w:hAnsi="Aptos"/>
                <w:b w:val="0"/>
                <w:color w:val="111827"/>
                <w:sz w:val="13"/>
              </w:rPr>
              <w:t>$18.20</w:t>
            </w:r>
          </w:p>
        </w:tc>
      </w:tr>
      <w:tr>
        <w:tc>
          <w:tcPr>
            <w:tcW w:type="dxa" w:w="2448"/>
            <w:vAlign w:val="center"/>
            <w:shd w:fill="F5F7FA"/>
          </w:tcPr>
          <w:p>
            <w:pPr>
              <w:spacing w:after="0" w:before="0" w:line="240" w:lineRule="auto"/>
            </w:pPr>
            <w:r/>
            <w:r>
              <w:rPr>
                <w:rFonts w:ascii="Aptos" w:hAnsi="Aptos"/>
                <w:b/>
                <w:color w:val="111827"/>
                <w:sz w:val="13"/>
              </w:rPr>
              <w:t>Small appliance ($100)</w:t>
            </w:r>
          </w:p>
        </w:tc>
        <w:tc>
          <w:tcPr>
            <w:tcW w:type="dxa" w:w="1440"/>
            <w:vAlign w:val="center"/>
            <w:shd w:fill="F5F7FA"/>
          </w:tcPr>
          <w:p>
            <w:pPr>
              <w:spacing w:after="0" w:before="0" w:line="240" w:lineRule="auto"/>
            </w:pPr>
            <w:r/>
            <w:r>
              <w:rPr>
                <w:rFonts w:ascii="Aptos" w:hAnsi="Aptos"/>
                <w:b w:val="0"/>
                <w:color w:val="111827"/>
                <w:sz w:val="13"/>
              </w:rPr>
              <w:t>$36.79</w:t>
            </w:r>
          </w:p>
        </w:tc>
        <w:tc>
          <w:tcPr>
            <w:tcW w:type="dxa" w:w="1152"/>
            <w:vAlign w:val="center"/>
            <w:shd w:fill="F5F7FA"/>
          </w:tcPr>
          <w:p>
            <w:pPr>
              <w:spacing w:after="0" w:before="0" w:line="240" w:lineRule="auto"/>
            </w:pPr>
            <w:r/>
            <w:r>
              <w:rPr>
                <w:rFonts w:ascii="Aptos" w:hAnsi="Aptos"/>
                <w:b w:val="0"/>
                <w:color w:val="111827"/>
                <w:sz w:val="13"/>
              </w:rPr>
              <w:t>36.8%</w:t>
            </w:r>
          </w:p>
        </w:tc>
        <w:tc>
          <w:tcPr>
            <w:tcW w:type="dxa" w:w="1440"/>
            <w:vAlign w:val="center"/>
            <w:shd w:fill="F5F7FA"/>
          </w:tcPr>
          <w:p>
            <w:pPr>
              <w:spacing w:after="0" w:before="0" w:line="240" w:lineRule="auto"/>
            </w:pPr>
            <w:r/>
            <w:r>
              <w:rPr>
                <w:rFonts w:ascii="Aptos" w:hAnsi="Aptos"/>
                <w:b w:val="0"/>
                <w:color w:val="111827"/>
                <w:sz w:val="13"/>
              </w:rPr>
              <w:t>85.6%</w:t>
            </w:r>
          </w:p>
        </w:tc>
        <w:tc>
          <w:tcPr>
            <w:tcW w:type="dxa" w:w="1440"/>
            <w:vAlign w:val="center"/>
            <w:shd w:fill="F5F7FA"/>
          </w:tcPr>
          <w:p>
            <w:pPr>
              <w:spacing w:after="0" w:before="0" w:line="240" w:lineRule="auto"/>
            </w:pPr>
            <w:r/>
            <w:r>
              <w:rPr>
                <w:rFonts w:ascii="Aptos" w:hAnsi="Aptos"/>
                <w:b w:val="0"/>
                <w:color w:val="111827"/>
                <w:sz w:val="13"/>
              </w:rPr>
              <w:t>97.0%</w:t>
            </w:r>
          </w:p>
        </w:tc>
        <w:tc>
          <w:tcPr>
            <w:tcW w:type="dxa" w:w="1152"/>
            <w:vAlign w:val="center"/>
            <w:shd w:fill="F5F7FA"/>
          </w:tcPr>
          <w:p>
            <w:pPr>
              <w:spacing w:after="0" w:before="0" w:line="240" w:lineRule="auto"/>
            </w:pPr>
            <w:r/>
            <w:r>
              <w:rPr>
                <w:rFonts w:ascii="Aptos" w:hAnsi="Aptos"/>
                <w:b w:val="0"/>
                <w:color w:val="111827"/>
                <w:sz w:val="13"/>
              </w:rPr>
              <w:t>18.4</w:t>
            </w:r>
          </w:p>
        </w:tc>
        <w:tc>
          <w:tcPr>
            <w:tcW w:type="dxa" w:w="1152"/>
            <w:vAlign w:val="center"/>
            <w:shd w:fill="F5F7FA"/>
          </w:tcPr>
          <w:p>
            <w:pPr>
              <w:spacing w:after="0" w:before="0" w:line="240" w:lineRule="auto"/>
            </w:pPr>
            <w:r/>
            <w:r>
              <w:rPr>
                <w:rFonts w:ascii="Aptos" w:hAnsi="Aptos"/>
                <w:b w:val="0"/>
                <w:color w:val="111827"/>
                <w:sz w:val="13"/>
              </w:rPr>
              <w:t>$17.34</w:t>
            </w:r>
          </w:p>
        </w:tc>
        <w:tc>
          <w:tcPr>
            <w:tcW w:type="dxa" w:w="1152"/>
            <w:vAlign w:val="center"/>
            <w:shd w:fill="F5F7FA"/>
          </w:tcPr>
          <w:p>
            <w:pPr>
              <w:spacing w:after="0" w:before="0" w:line="240" w:lineRule="auto"/>
            </w:pPr>
            <w:r/>
            <w:r>
              <w:rPr>
                <w:rFonts w:ascii="Aptos" w:hAnsi="Aptos"/>
                <w:b w:val="0"/>
                <w:color w:val="111827"/>
                <w:sz w:val="13"/>
              </w:rPr>
              <w:t>$87.63</w:t>
            </w:r>
          </w:p>
        </w:tc>
        <w:tc>
          <w:tcPr>
            <w:tcW w:type="dxa" w:w="1152"/>
            <w:vAlign w:val="center"/>
            <w:shd w:fill="F5F7FA"/>
          </w:tcPr>
          <w:p>
            <w:pPr>
              <w:spacing w:after="0" w:before="0" w:line="240" w:lineRule="auto"/>
            </w:pPr>
            <w:r/>
            <w:r>
              <w:rPr>
                <w:rFonts w:ascii="Aptos" w:hAnsi="Aptos"/>
                <w:b w:val="0"/>
                <w:color w:val="111827"/>
                <w:sz w:val="13"/>
              </w:rPr>
              <w:t>$10.91</w:t>
            </w:r>
          </w:p>
        </w:tc>
      </w:tr>
      <w:tr>
        <w:tc>
          <w:tcPr>
            <w:tcW w:type="dxa" w:w="2448"/>
            <w:vAlign w:val="center"/>
          </w:tcPr>
          <w:p>
            <w:pPr>
              <w:spacing w:after="0" w:before="0" w:line="240" w:lineRule="auto"/>
            </w:pPr>
            <w:r/>
            <w:r>
              <w:rPr>
                <w:rFonts w:ascii="Aptos" w:hAnsi="Aptos"/>
                <w:b/>
                <w:color w:val="111827"/>
                <w:sz w:val="13"/>
              </w:rPr>
              <w:t>Laptop/phone premium electronics ($500)</w:t>
            </w:r>
          </w:p>
        </w:tc>
        <w:tc>
          <w:tcPr>
            <w:tcW w:type="dxa" w:w="1440"/>
            <w:vAlign w:val="center"/>
          </w:tcPr>
          <w:p>
            <w:pPr>
              <w:spacing w:after="0" w:before="0" w:line="240" w:lineRule="auto"/>
            </w:pPr>
            <w:r/>
            <w:r>
              <w:rPr>
                <w:rFonts w:ascii="Aptos" w:hAnsi="Aptos"/>
                <w:b w:val="0"/>
                <w:color w:val="111827"/>
                <w:sz w:val="13"/>
              </w:rPr>
              <w:t>$54.51</w:t>
            </w:r>
          </w:p>
        </w:tc>
        <w:tc>
          <w:tcPr>
            <w:tcW w:type="dxa" w:w="1152"/>
            <w:vAlign w:val="center"/>
          </w:tcPr>
          <w:p>
            <w:pPr>
              <w:spacing w:after="0" w:before="0" w:line="240" w:lineRule="auto"/>
            </w:pPr>
            <w:r/>
            <w:r>
              <w:rPr>
                <w:rFonts w:ascii="Aptos" w:hAnsi="Aptos"/>
                <w:b w:val="0"/>
                <w:color w:val="111827"/>
                <w:sz w:val="13"/>
              </w:rPr>
              <w:t>10.9%</w:t>
            </w:r>
          </w:p>
        </w:tc>
        <w:tc>
          <w:tcPr>
            <w:tcW w:type="dxa" w:w="1440"/>
            <w:vAlign w:val="center"/>
          </w:tcPr>
          <w:p>
            <w:pPr>
              <w:spacing w:after="0" w:before="0" w:line="240" w:lineRule="auto"/>
            </w:pPr>
            <w:r/>
            <w:r>
              <w:rPr>
                <w:rFonts w:ascii="Aptos" w:hAnsi="Aptos"/>
                <w:b w:val="0"/>
                <w:color w:val="111827"/>
                <w:sz w:val="13"/>
              </w:rPr>
              <w:t>18.6%</w:t>
            </w:r>
          </w:p>
        </w:tc>
        <w:tc>
          <w:tcPr>
            <w:tcW w:type="dxa" w:w="1440"/>
            <w:vAlign w:val="center"/>
          </w:tcPr>
          <w:p>
            <w:pPr>
              <w:spacing w:after="0" w:before="0" w:line="240" w:lineRule="auto"/>
            </w:pPr>
            <w:r/>
            <w:r>
              <w:rPr>
                <w:rFonts w:ascii="Aptos" w:hAnsi="Aptos"/>
                <w:b w:val="0"/>
                <w:color w:val="111827"/>
                <w:sz w:val="13"/>
              </w:rPr>
              <w:t>93.0%</w:t>
            </w:r>
          </w:p>
        </w:tc>
        <w:tc>
          <w:tcPr>
            <w:tcW w:type="dxa" w:w="1152"/>
            <w:vAlign w:val="center"/>
          </w:tcPr>
          <w:p>
            <w:pPr>
              <w:spacing w:after="0" w:before="0" w:line="240" w:lineRule="auto"/>
            </w:pPr>
            <w:r/>
            <w:r>
              <w:rPr>
                <w:rFonts w:ascii="Aptos" w:hAnsi="Aptos"/>
                <w:b w:val="0"/>
                <w:color w:val="111827"/>
                <w:sz w:val="13"/>
              </w:rPr>
              <w:t>339.5</w:t>
            </w:r>
          </w:p>
        </w:tc>
        <w:tc>
          <w:tcPr>
            <w:tcW w:type="dxa" w:w="1152"/>
            <w:vAlign w:val="center"/>
          </w:tcPr>
          <w:p>
            <w:pPr>
              <w:spacing w:after="0" w:before="0" w:line="240" w:lineRule="auto"/>
            </w:pPr>
            <w:r/>
            <w:r>
              <w:rPr>
                <w:rFonts w:ascii="Aptos" w:hAnsi="Aptos"/>
                <w:b w:val="0"/>
                <w:color w:val="111827"/>
                <w:sz w:val="13"/>
              </w:rPr>
              <w:t>$190.38</w:t>
            </w:r>
          </w:p>
        </w:tc>
        <w:tc>
          <w:tcPr>
            <w:tcW w:type="dxa" w:w="1152"/>
            <w:vAlign w:val="center"/>
          </w:tcPr>
          <w:p>
            <w:pPr>
              <w:spacing w:after="0" w:before="0" w:line="240" w:lineRule="auto"/>
            </w:pPr>
            <w:r/>
            <w:r>
              <w:rPr>
                <w:rFonts w:ascii="Aptos" w:hAnsi="Aptos"/>
                <w:b w:val="0"/>
                <w:color w:val="111827"/>
                <w:sz w:val="13"/>
              </w:rPr>
              <w:t>$81.49</w:t>
            </w:r>
          </w:p>
        </w:tc>
        <w:tc>
          <w:tcPr>
            <w:tcW w:type="dxa" w:w="1152"/>
            <w:vAlign w:val="center"/>
          </w:tcPr>
          <w:p>
            <w:pPr>
              <w:spacing w:after="0" w:before="0" w:line="240" w:lineRule="auto"/>
            </w:pPr>
            <w:r/>
            <w:r>
              <w:rPr>
                <w:rFonts w:ascii="Aptos" w:hAnsi="Aptos"/>
                <w:b w:val="0"/>
                <w:color w:val="111827"/>
                <w:sz w:val="13"/>
              </w:rPr>
              <w:t>$102.70</w:t>
            </w:r>
          </w:p>
        </w:tc>
      </w:tr>
      <w:tr>
        <w:tc>
          <w:tcPr>
            <w:tcW w:type="dxa" w:w="2448"/>
            <w:vAlign w:val="center"/>
            <w:shd w:fill="F5F7FA"/>
          </w:tcPr>
          <w:p>
            <w:pPr>
              <w:spacing w:after="0" w:before="0" w:line="240" w:lineRule="auto"/>
            </w:pPr>
            <w:r/>
            <w:r>
              <w:rPr>
                <w:rFonts w:ascii="Aptos" w:hAnsi="Aptos"/>
                <w:b/>
                <w:color w:val="111827"/>
                <w:sz w:val="13"/>
              </w:rPr>
              <w:t>Furniture product ($500)</w:t>
            </w:r>
          </w:p>
        </w:tc>
        <w:tc>
          <w:tcPr>
            <w:tcW w:type="dxa" w:w="1440"/>
            <w:vAlign w:val="center"/>
            <w:shd w:fill="F5F7FA"/>
          </w:tcPr>
          <w:p>
            <w:pPr>
              <w:spacing w:after="0" w:before="0" w:line="240" w:lineRule="auto"/>
            </w:pPr>
            <w:r/>
            <w:r>
              <w:rPr>
                <w:rFonts w:ascii="Aptos" w:hAnsi="Aptos"/>
                <w:b w:val="0"/>
                <w:color w:val="111827"/>
                <w:sz w:val="13"/>
              </w:rPr>
              <w:t>$209.34</w:t>
            </w:r>
          </w:p>
        </w:tc>
        <w:tc>
          <w:tcPr>
            <w:tcW w:type="dxa" w:w="1152"/>
            <w:vAlign w:val="center"/>
            <w:shd w:fill="F5F7FA"/>
          </w:tcPr>
          <w:p>
            <w:pPr>
              <w:spacing w:after="0" w:before="0" w:line="240" w:lineRule="auto"/>
            </w:pPr>
            <w:r/>
            <w:r>
              <w:rPr>
                <w:rFonts w:ascii="Aptos" w:hAnsi="Aptos"/>
                <w:b w:val="0"/>
                <w:color w:val="111827"/>
                <w:sz w:val="13"/>
              </w:rPr>
              <w:t>41.9%</w:t>
            </w:r>
          </w:p>
        </w:tc>
        <w:tc>
          <w:tcPr>
            <w:tcW w:type="dxa" w:w="1440"/>
            <w:vAlign w:val="center"/>
            <w:shd w:fill="F5F7FA"/>
          </w:tcPr>
          <w:p>
            <w:pPr>
              <w:spacing w:after="0" w:before="0" w:line="240" w:lineRule="auto"/>
            </w:pPr>
            <w:r/>
            <w:r>
              <w:rPr>
                <w:rFonts w:ascii="Aptos" w:hAnsi="Aptos"/>
                <w:b w:val="0"/>
                <w:color w:val="111827"/>
                <w:sz w:val="13"/>
              </w:rPr>
              <w:t>106.3%</w:t>
            </w:r>
          </w:p>
        </w:tc>
        <w:tc>
          <w:tcPr>
            <w:tcW w:type="dxa" w:w="1440"/>
            <w:vAlign w:val="center"/>
            <w:shd w:fill="F5F7FA"/>
          </w:tcPr>
          <w:p>
            <w:pPr>
              <w:spacing w:after="0" w:before="0" w:line="240" w:lineRule="auto"/>
            </w:pPr>
            <w:r/>
            <w:r>
              <w:rPr>
                <w:rFonts w:ascii="Aptos" w:hAnsi="Aptos"/>
                <w:b w:val="0"/>
                <w:color w:val="111827"/>
                <w:sz w:val="13"/>
              </w:rPr>
              <w:t>99.0%</w:t>
            </w:r>
          </w:p>
        </w:tc>
        <w:tc>
          <w:tcPr>
            <w:tcW w:type="dxa" w:w="1152"/>
            <w:vAlign w:val="center"/>
            <w:shd w:fill="F5F7FA"/>
          </w:tcPr>
          <w:p>
            <w:pPr>
              <w:spacing w:after="0" w:before="0" w:line="240" w:lineRule="auto"/>
            </w:pPr>
            <w:r/>
            <w:r>
              <w:rPr>
                <w:rFonts w:ascii="Aptos" w:hAnsi="Aptos"/>
                <w:b w:val="0"/>
                <w:color w:val="111827"/>
                <w:sz w:val="13"/>
              </w:rPr>
              <w:t>0.0</w:t>
            </w:r>
          </w:p>
        </w:tc>
        <w:tc>
          <w:tcPr>
            <w:tcW w:type="dxa" w:w="1152"/>
            <w:vAlign w:val="center"/>
            <w:shd w:fill="F5F7FA"/>
          </w:tcPr>
          <w:p>
            <w:pPr>
              <w:spacing w:after="0" w:before="0" w:line="240" w:lineRule="auto"/>
            </w:pPr>
            <w:r/>
            <w:r>
              <w:rPr>
                <w:rFonts w:ascii="Aptos" w:hAnsi="Aptos"/>
                <w:b w:val="0"/>
                <w:color w:val="111827"/>
                <w:sz w:val="13"/>
              </w:rPr>
              <w:t>$85.16</w:t>
            </w:r>
          </w:p>
        </w:tc>
        <w:tc>
          <w:tcPr>
            <w:tcW w:type="dxa" w:w="1152"/>
            <w:vAlign w:val="center"/>
            <w:shd w:fill="F5F7FA"/>
          </w:tcPr>
          <w:p>
            <w:pPr>
              <w:spacing w:after="0" w:before="0" w:line="240" w:lineRule="auto"/>
            </w:pPr>
            <w:r/>
            <w:r>
              <w:rPr>
                <w:rFonts w:ascii="Aptos" w:hAnsi="Aptos"/>
                <w:b w:val="0"/>
                <w:color w:val="111827"/>
                <w:sz w:val="13"/>
              </w:rPr>
              <w:t>$539.45</w:t>
            </w:r>
          </w:p>
        </w:tc>
        <w:tc>
          <w:tcPr>
            <w:tcW w:type="dxa" w:w="1152"/>
            <w:vAlign w:val="center"/>
            <w:shd w:fill="F5F7FA"/>
          </w:tcPr>
          <w:p>
            <w:pPr>
              <w:spacing w:after="0" w:before="0" w:line="240" w:lineRule="auto"/>
            </w:pPr>
            <w:r/>
            <w:r>
              <w:rPr>
                <w:rFonts w:ascii="Aptos" w:hAnsi="Aptos"/>
                <w:b w:val="0"/>
                <w:color w:val="111827"/>
                <w:sz w:val="13"/>
              </w:rPr>
              <w:t>$-1.37</w:t>
            </w:r>
          </w:p>
        </w:tc>
      </w:tr>
      <w:tr>
        <w:tc>
          <w:tcPr>
            <w:tcW w:type="dxa" w:w="2448"/>
            <w:vAlign w:val="center"/>
          </w:tcPr>
          <w:p>
            <w:pPr>
              <w:spacing w:after="0" w:before="0" w:line="240" w:lineRule="auto"/>
            </w:pPr>
            <w:r/>
            <w:r>
              <w:rPr>
                <w:rFonts w:ascii="Aptos" w:hAnsi="Aptos"/>
                <w:b/>
                <w:color w:val="111827"/>
                <w:sz w:val="13"/>
              </w:rPr>
              <w:t>Premium apparel/accessory ($500)</w:t>
            </w:r>
          </w:p>
        </w:tc>
        <w:tc>
          <w:tcPr>
            <w:tcW w:type="dxa" w:w="1440"/>
            <w:vAlign w:val="center"/>
          </w:tcPr>
          <w:p>
            <w:pPr>
              <w:spacing w:after="0" w:before="0" w:line="240" w:lineRule="auto"/>
            </w:pPr>
            <w:r/>
            <w:r>
              <w:rPr>
                <w:rFonts w:ascii="Aptos" w:hAnsi="Aptos"/>
                <w:b w:val="0"/>
                <w:color w:val="111827"/>
                <w:sz w:val="13"/>
              </w:rPr>
              <w:t>$38.13</w:t>
            </w:r>
          </w:p>
        </w:tc>
        <w:tc>
          <w:tcPr>
            <w:tcW w:type="dxa" w:w="1152"/>
            <w:vAlign w:val="center"/>
          </w:tcPr>
          <w:p>
            <w:pPr>
              <w:spacing w:after="0" w:before="0" w:line="240" w:lineRule="auto"/>
            </w:pPr>
            <w:r/>
            <w:r>
              <w:rPr>
                <w:rFonts w:ascii="Aptos" w:hAnsi="Aptos"/>
                <w:b w:val="0"/>
                <w:color w:val="111827"/>
                <w:sz w:val="13"/>
              </w:rPr>
              <w:t>7.6%</w:t>
            </w:r>
          </w:p>
        </w:tc>
        <w:tc>
          <w:tcPr>
            <w:tcW w:type="dxa" w:w="1440"/>
            <w:vAlign w:val="center"/>
          </w:tcPr>
          <w:p>
            <w:pPr>
              <w:spacing w:after="0" w:before="0" w:line="240" w:lineRule="auto"/>
            </w:pPr>
            <w:r/>
            <w:r>
              <w:rPr>
                <w:rFonts w:ascii="Aptos" w:hAnsi="Aptos"/>
                <w:b w:val="0"/>
                <w:color w:val="111827"/>
                <w:sz w:val="13"/>
              </w:rPr>
              <w:t>10.7%</w:t>
            </w:r>
          </w:p>
        </w:tc>
        <w:tc>
          <w:tcPr>
            <w:tcW w:type="dxa" w:w="1440"/>
            <w:vAlign w:val="center"/>
          </w:tcPr>
          <w:p>
            <w:pPr>
              <w:spacing w:after="0" w:before="0" w:line="240" w:lineRule="auto"/>
            </w:pPr>
            <w:r/>
            <w:r>
              <w:rPr>
                <w:rFonts w:ascii="Aptos" w:hAnsi="Aptos"/>
                <w:b w:val="0"/>
                <w:color w:val="111827"/>
                <w:sz w:val="13"/>
              </w:rPr>
              <w:t>93.0%</w:t>
            </w:r>
          </w:p>
        </w:tc>
        <w:tc>
          <w:tcPr>
            <w:tcW w:type="dxa" w:w="1152"/>
            <w:vAlign w:val="center"/>
          </w:tcPr>
          <w:p>
            <w:pPr>
              <w:spacing w:after="0" w:before="0" w:line="240" w:lineRule="auto"/>
            </w:pPr>
            <w:r/>
            <w:r>
              <w:rPr>
                <w:rFonts w:ascii="Aptos" w:hAnsi="Aptos"/>
                <w:b w:val="0"/>
                <w:color w:val="111827"/>
                <w:sz w:val="13"/>
              </w:rPr>
              <w:t>435.5</w:t>
            </w:r>
          </w:p>
        </w:tc>
        <w:tc>
          <w:tcPr>
            <w:tcW w:type="dxa" w:w="1152"/>
            <w:vAlign w:val="center"/>
          </w:tcPr>
          <w:p>
            <w:pPr>
              <w:spacing w:after="0" w:before="0" w:line="240" w:lineRule="auto"/>
            </w:pPr>
            <w:r/>
            <w:r>
              <w:rPr>
                <w:rFonts w:ascii="Aptos" w:hAnsi="Aptos"/>
                <w:b w:val="0"/>
                <w:color w:val="111827"/>
                <w:sz w:val="13"/>
              </w:rPr>
              <w:t>$263.18</w:t>
            </w:r>
          </w:p>
        </w:tc>
        <w:tc>
          <w:tcPr>
            <w:tcW w:type="dxa" w:w="1152"/>
            <w:vAlign w:val="center"/>
          </w:tcPr>
          <w:p>
            <w:pPr>
              <w:spacing w:after="0" w:before="0" w:line="240" w:lineRule="auto"/>
            </w:pPr>
            <w:r/>
            <w:r>
              <w:rPr>
                <w:rFonts w:ascii="Aptos" w:hAnsi="Aptos"/>
                <w:b w:val="0"/>
                <w:color w:val="111827"/>
                <w:sz w:val="13"/>
              </w:rPr>
              <w:t>$46.42</w:t>
            </w:r>
          </w:p>
        </w:tc>
        <w:tc>
          <w:tcPr>
            <w:tcW w:type="dxa" w:w="1152"/>
            <w:vAlign w:val="center"/>
          </w:tcPr>
          <w:p>
            <w:pPr>
              <w:spacing w:after="0" w:before="0" w:line="240" w:lineRule="auto"/>
            </w:pPr>
            <w:r/>
            <w:r>
              <w:rPr>
                <w:rFonts w:ascii="Aptos" w:hAnsi="Aptos"/>
                <w:b w:val="0"/>
                <w:color w:val="111827"/>
                <w:sz w:val="13"/>
              </w:rPr>
              <w:t>$30.71</w:t>
            </w:r>
          </w:p>
        </w:tc>
      </w:tr>
    </w:tbl>
    <w:p>
      <w:pPr>
        <w:spacing w:after="0"/>
      </w:pPr>
    </w:p>
    <w:p>
      <w:pPr>
        <w:pStyle w:val="Caption"/>
        <w:jc w:val="left"/>
      </w:pPr>
      <w:r>
        <w:rPr>
          <w:b/>
        </w:rPr>
        <w:t>Table 5. Retrieval and processing thresholds</w:t>
      </w:r>
      <w:r>
        <w:rPr>
          <w:i/>
          <w:color w:val="6B7280"/>
        </w:rPr>
        <w:t xml:space="preserve">  Source: Model. Values above 100% probability indicate retrieval cannot break even under the current condition/recovery structure.</w:t>
      </w:r>
    </w:p>
    <w:p>
      <w:pPr>
        <w:sectPr>
          <w:pgSz w:w="15840" w:h="12240" w:orient="landscape"/>
          <w:pgMar w:top="792" w:right="792" w:bottom="792" w:left="792" w:header="720" w:footer="720" w:gutter="0"/>
          <w:cols w:space="720"/>
          <w:docGrid w:linePitch="360"/>
        </w:sectPr>
      </w:pPr>
    </w:p>
    <w:p>
      <w:pPr>
        <w:pStyle w:val="Heading2"/>
      </w:pPr>
      <w:r>
        <w:t>Sensitivity findings</w:t>
      </w:r>
    </w:p>
    <w:p>
      <w:r>
        <w:rPr>
          <w:b/>
        </w:rPr>
        <w:t xml:space="preserve">Return rate is the largest driver of expected tax per order because it scales the per-return tax directly. </w:t>
      </w:r>
      <w:r>
        <w:t>Operational rankings differ by category. Recovery markdown and condition mix dominate apparel and electronics. DIM charges and freight discount dominate low-value household goods and furniture. Fraud probability matters most for premium electronics and accessories. Seller fees matter where consumer-facing resale remains viable. Product gross margin changes percentage severity, not dollar return tax.</w:t>
      </w:r>
    </w:p>
    <w:tbl>
      <w:tblPr>
        <w:tblStyle w:val="TableGrid"/>
        <w:tblW w:type="auto" w:w="0"/>
        <w:jc w:val="center"/>
        <w:tblLayout w:type="fixed"/>
        <w:tblLook w:firstColumn="1" w:firstRow="1" w:lastColumn="0" w:lastRow="0" w:noHBand="0" w:noVBand="1" w:val="04A0"/>
      </w:tblPr>
      <w:tblGrid>
        <w:gridCol w:w="1987"/>
        <w:gridCol w:w="1987"/>
        <w:gridCol w:w="1987"/>
        <w:gridCol w:w="1987"/>
        <w:gridCol w:w="1987"/>
      </w:tblGrid>
      <w:tr>
        <w:trPr>
          <w:tblHeader w:val="true"/>
        </w:trPr>
        <w:tc>
          <w:tcPr>
            <w:tcW w:type="dxa" w:w="2376"/>
            <w:vAlign w:val="center"/>
            <w:shd w:fill="17324D"/>
            <w:tcBorders>
              <w:bottom w:val="single" w:sz="8" w:color="FFFFFF"/>
            </w:tcBorders>
          </w:tcPr>
          <w:p>
            <w:pPr>
              <w:spacing w:after="0" w:before="0" w:line="240" w:lineRule="auto"/>
              <w:jc w:val="left"/>
            </w:pPr>
            <w:r/>
            <w:r>
              <w:rPr>
                <w:rFonts w:ascii="Aptos" w:hAnsi="Aptos"/>
                <w:b/>
                <w:color w:val="FFFFFF"/>
                <w:sz w:val="13"/>
              </w:rPr>
              <w:t>Product</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3"/>
              </w:rPr>
              <w:t>#1</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3"/>
              </w:rPr>
              <w:t>#2</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3"/>
              </w:rPr>
              <w:t>#3</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3"/>
              </w:rPr>
              <w:t>#4</w:t>
            </w:r>
          </w:p>
        </w:tc>
      </w:tr>
      <w:tr>
        <w:tc>
          <w:tcPr>
            <w:tcW w:type="dxa" w:w="2376"/>
            <w:vAlign w:val="center"/>
          </w:tcPr>
          <w:p>
            <w:pPr>
              <w:spacing w:after="0" w:before="0" w:line="240" w:lineRule="auto"/>
            </w:pPr>
            <w:r/>
            <w:r>
              <w:rPr>
                <w:rFonts w:ascii="Aptos" w:hAnsi="Aptos"/>
                <w:b/>
                <w:color w:val="111827"/>
                <w:sz w:val="13"/>
              </w:rPr>
              <w:t>Basic clothing item ($20)</w:t>
            </w:r>
          </w:p>
        </w:tc>
        <w:tc>
          <w:tcPr>
            <w:tcW w:type="dxa" w:w="1728"/>
            <w:vAlign w:val="center"/>
          </w:tcPr>
          <w:p>
            <w:pPr>
              <w:spacing w:after="0" w:before="0" w:line="240" w:lineRule="auto"/>
            </w:pPr>
            <w:r/>
            <w:r>
              <w:rPr>
                <w:rFonts w:ascii="Aptos" w:hAnsi="Aptos"/>
                <w:b w:val="0"/>
                <w:color w:val="111827"/>
                <w:sz w:val="13"/>
              </w:rPr>
              <w:t>Resale markdown / recovery (+$0.40)</w:t>
            </w:r>
          </w:p>
        </w:tc>
        <w:tc>
          <w:tcPr>
            <w:tcW w:type="dxa" w:w="1728"/>
            <w:vAlign w:val="center"/>
          </w:tcPr>
          <w:p>
            <w:pPr>
              <w:spacing w:after="0" w:before="0" w:line="240" w:lineRule="auto"/>
            </w:pPr>
            <w:r/>
            <w:r>
              <w:rPr>
                <w:rFonts w:ascii="Aptos" w:hAnsi="Aptos"/>
                <w:b w:val="0"/>
                <w:color w:val="111827"/>
                <w:sz w:val="13"/>
              </w:rPr>
              <w:t>Condition mix (+$0.39)</w:t>
            </w:r>
          </w:p>
        </w:tc>
        <w:tc>
          <w:tcPr>
            <w:tcW w:type="dxa" w:w="1728"/>
            <w:vAlign w:val="center"/>
          </w:tcPr>
          <w:p>
            <w:pPr>
              <w:spacing w:after="0" w:before="0" w:line="240" w:lineRule="auto"/>
            </w:pPr>
            <w:r/>
            <w:r>
              <w:rPr>
                <w:rFonts w:ascii="Aptos" w:hAnsi="Aptos"/>
                <w:b w:val="0"/>
                <w:color w:val="111827"/>
                <w:sz w:val="13"/>
              </w:rPr>
              <w:t>Dimensional-weight charges (+$0.27)</w:t>
            </w:r>
          </w:p>
        </w:tc>
        <w:tc>
          <w:tcPr>
            <w:tcW w:type="dxa" w:w="1728"/>
            <w:vAlign w:val="center"/>
          </w:tcPr>
          <w:p>
            <w:pPr>
              <w:spacing w:after="0" w:before="0" w:line="240" w:lineRule="auto"/>
            </w:pPr>
            <w:r/>
            <w:r>
              <w:rPr>
                <w:rFonts w:ascii="Aptos" w:hAnsi="Aptos"/>
                <w:b w:val="0"/>
                <w:color w:val="111827"/>
                <w:sz w:val="13"/>
              </w:rPr>
              <w:t>Inspection labor (+$0.24)</w:t>
            </w:r>
          </w:p>
        </w:tc>
      </w:tr>
      <w:tr>
        <w:tc>
          <w:tcPr>
            <w:tcW w:type="dxa" w:w="2376"/>
            <w:vAlign w:val="center"/>
            <w:shd w:fill="F5F7FA"/>
          </w:tcPr>
          <w:p>
            <w:pPr>
              <w:spacing w:after="0" w:before="0" w:line="240" w:lineRule="auto"/>
            </w:pPr>
            <w:r/>
            <w:r>
              <w:rPr>
                <w:rFonts w:ascii="Aptos" w:hAnsi="Aptos"/>
                <w:b/>
                <w:color w:val="111827"/>
                <w:sz w:val="13"/>
              </w:rPr>
              <w:t>Cosmetic/personal-care item ($20)</w:t>
            </w:r>
          </w:p>
        </w:tc>
        <w:tc>
          <w:tcPr>
            <w:tcW w:type="dxa" w:w="1728"/>
            <w:vAlign w:val="center"/>
            <w:shd w:fill="F5F7FA"/>
          </w:tcPr>
          <w:p>
            <w:pPr>
              <w:spacing w:after="0" w:before="0" w:line="240" w:lineRule="auto"/>
            </w:pPr>
            <w:r/>
            <w:r>
              <w:rPr>
                <w:rFonts w:ascii="Aptos" w:hAnsi="Aptos"/>
                <w:b w:val="0"/>
                <w:color w:val="111827"/>
                <w:sz w:val="13"/>
              </w:rPr>
              <w:t>Condition mix (+$0.17)</w:t>
            </w:r>
          </w:p>
        </w:tc>
        <w:tc>
          <w:tcPr>
            <w:tcW w:type="dxa" w:w="1728"/>
            <w:vAlign w:val="center"/>
            <w:shd w:fill="F5F7FA"/>
          </w:tcPr>
          <w:p>
            <w:pPr>
              <w:spacing w:after="0" w:before="0" w:line="240" w:lineRule="auto"/>
            </w:pPr>
            <w:r/>
            <w:r>
              <w:rPr>
                <w:rFonts w:ascii="Aptos" w:hAnsi="Aptos"/>
                <w:b w:val="0"/>
                <w:color w:val="111827"/>
                <w:sz w:val="13"/>
              </w:rPr>
              <w:t>Resale markdown / recovery (+$0.09)</w:t>
            </w:r>
          </w:p>
        </w:tc>
        <w:tc>
          <w:tcPr>
            <w:tcW w:type="dxa" w:w="1728"/>
            <w:vAlign w:val="center"/>
            <w:shd w:fill="F5F7FA"/>
          </w:tcPr>
          <w:p>
            <w:pPr>
              <w:spacing w:after="0" w:before="0" w:line="240" w:lineRule="auto"/>
            </w:pPr>
            <w:r/>
            <w:r>
              <w:rPr>
                <w:rFonts w:ascii="Aptos" w:hAnsi="Aptos"/>
                <w:b w:val="0"/>
                <w:color w:val="111827"/>
                <w:sz w:val="13"/>
              </w:rPr>
              <w:t>Dimensional-weight charges (+$0.09)</w:t>
            </w:r>
          </w:p>
        </w:tc>
        <w:tc>
          <w:tcPr>
            <w:tcW w:type="dxa" w:w="1728"/>
            <w:vAlign w:val="center"/>
            <w:shd w:fill="F5F7FA"/>
          </w:tcPr>
          <w:p>
            <w:pPr>
              <w:spacing w:after="0" w:before="0" w:line="240" w:lineRule="auto"/>
            </w:pPr>
            <w:r/>
            <w:r>
              <w:rPr>
                <w:rFonts w:ascii="Aptos" w:hAnsi="Aptos"/>
                <w:b w:val="0"/>
                <w:color w:val="111827"/>
                <w:sz w:val="13"/>
              </w:rPr>
              <w:t>Reverse shipping cost (+$0.08)</w:t>
            </w:r>
          </w:p>
        </w:tc>
      </w:tr>
      <w:tr>
        <w:tc>
          <w:tcPr>
            <w:tcW w:type="dxa" w:w="2376"/>
            <w:vAlign w:val="center"/>
          </w:tcPr>
          <w:p>
            <w:pPr>
              <w:spacing w:after="0" w:before="0" w:line="240" w:lineRule="auto"/>
            </w:pPr>
            <w:r/>
            <w:r>
              <w:rPr>
                <w:rFonts w:ascii="Aptos" w:hAnsi="Aptos"/>
                <w:b/>
                <w:color w:val="111827"/>
                <w:sz w:val="13"/>
              </w:rPr>
              <w:t>Small household product ($20)</w:t>
            </w:r>
          </w:p>
        </w:tc>
        <w:tc>
          <w:tcPr>
            <w:tcW w:type="dxa" w:w="1728"/>
            <w:vAlign w:val="center"/>
          </w:tcPr>
          <w:p>
            <w:pPr>
              <w:spacing w:after="0" w:before="0" w:line="240" w:lineRule="auto"/>
            </w:pPr>
            <w:r/>
            <w:r>
              <w:rPr>
                <w:rFonts w:ascii="Aptos" w:hAnsi="Aptos"/>
                <w:b w:val="0"/>
                <w:color w:val="111827"/>
                <w:sz w:val="13"/>
              </w:rPr>
              <w:t>Dimensional-weight charges (+$0.34)</w:t>
            </w:r>
          </w:p>
        </w:tc>
        <w:tc>
          <w:tcPr>
            <w:tcW w:type="dxa" w:w="1728"/>
            <w:vAlign w:val="center"/>
          </w:tcPr>
          <w:p>
            <w:pPr>
              <w:spacing w:after="0" w:before="0" w:line="240" w:lineRule="auto"/>
            </w:pPr>
            <w:r/>
            <w:r>
              <w:rPr>
                <w:rFonts w:ascii="Aptos" w:hAnsi="Aptos"/>
                <w:b w:val="0"/>
                <w:color w:val="111827"/>
                <w:sz w:val="13"/>
              </w:rPr>
              <w:t>Negotiated freight discount (+$0.25)</w:t>
            </w:r>
          </w:p>
        </w:tc>
        <w:tc>
          <w:tcPr>
            <w:tcW w:type="dxa" w:w="1728"/>
            <w:vAlign w:val="center"/>
          </w:tcPr>
          <w:p>
            <w:pPr>
              <w:spacing w:after="0" w:before="0" w:line="240" w:lineRule="auto"/>
            </w:pPr>
            <w:r/>
            <w:r>
              <w:rPr>
                <w:rFonts w:ascii="Aptos" w:hAnsi="Aptos"/>
                <w:b w:val="0"/>
                <w:color w:val="111827"/>
                <w:sz w:val="13"/>
              </w:rPr>
              <w:t>Reverse shipping cost (+$0.21)</w:t>
            </w:r>
          </w:p>
        </w:tc>
        <w:tc>
          <w:tcPr>
            <w:tcW w:type="dxa" w:w="1728"/>
            <w:vAlign w:val="center"/>
          </w:tcPr>
          <w:p>
            <w:pPr>
              <w:spacing w:after="0" w:before="0" w:line="240" w:lineRule="auto"/>
            </w:pPr>
            <w:r/>
            <w:r>
              <w:rPr>
                <w:rFonts w:ascii="Aptos" w:hAnsi="Aptos"/>
                <w:b w:val="0"/>
                <w:color w:val="111827"/>
                <w:sz w:val="13"/>
              </w:rPr>
              <w:t>Condition mix (+$0.13)</w:t>
            </w:r>
          </w:p>
        </w:tc>
      </w:tr>
      <w:tr>
        <w:tc>
          <w:tcPr>
            <w:tcW w:type="dxa" w:w="2376"/>
            <w:vAlign w:val="center"/>
            <w:shd w:fill="F5F7FA"/>
          </w:tcPr>
          <w:p>
            <w:pPr>
              <w:spacing w:after="0" w:before="0" w:line="240" w:lineRule="auto"/>
            </w:pPr>
            <w:r/>
            <w:r>
              <w:rPr>
                <w:rFonts w:ascii="Aptos" w:hAnsi="Aptos"/>
                <w:b/>
                <w:color w:val="111827"/>
                <w:sz w:val="13"/>
              </w:rPr>
              <w:t>Footwear/premium apparel ($100)</w:t>
            </w:r>
          </w:p>
        </w:tc>
        <w:tc>
          <w:tcPr>
            <w:tcW w:type="dxa" w:w="1728"/>
            <w:vAlign w:val="center"/>
            <w:shd w:fill="F5F7FA"/>
          </w:tcPr>
          <w:p>
            <w:pPr>
              <w:spacing w:after="0" w:before="0" w:line="240" w:lineRule="auto"/>
            </w:pPr>
            <w:r/>
            <w:r>
              <w:rPr>
                <w:rFonts w:ascii="Aptos" w:hAnsi="Aptos"/>
                <w:b w:val="0"/>
                <w:color w:val="111827"/>
                <w:sz w:val="13"/>
              </w:rPr>
              <w:t>Condition mix (+$2.52)</w:t>
            </w:r>
          </w:p>
        </w:tc>
        <w:tc>
          <w:tcPr>
            <w:tcW w:type="dxa" w:w="1728"/>
            <w:vAlign w:val="center"/>
            <w:shd w:fill="F5F7FA"/>
          </w:tcPr>
          <w:p>
            <w:pPr>
              <w:spacing w:after="0" w:before="0" w:line="240" w:lineRule="auto"/>
            </w:pPr>
            <w:r/>
            <w:r>
              <w:rPr>
                <w:rFonts w:ascii="Aptos" w:hAnsi="Aptos"/>
                <w:b w:val="0"/>
                <w:color w:val="111827"/>
                <w:sz w:val="13"/>
              </w:rPr>
              <w:t>Resale markdown / recovery (+$2.51)</w:t>
            </w:r>
          </w:p>
        </w:tc>
        <w:tc>
          <w:tcPr>
            <w:tcW w:type="dxa" w:w="1728"/>
            <w:vAlign w:val="center"/>
            <w:shd w:fill="F5F7FA"/>
          </w:tcPr>
          <w:p>
            <w:pPr>
              <w:spacing w:after="0" w:before="0" w:line="240" w:lineRule="auto"/>
            </w:pPr>
            <w:r/>
            <w:r>
              <w:rPr>
                <w:rFonts w:ascii="Aptos" w:hAnsi="Aptos"/>
                <w:b w:val="0"/>
                <w:color w:val="111827"/>
                <w:sz w:val="13"/>
              </w:rPr>
              <w:t>Inspection labor (+$0.55)</w:t>
            </w:r>
          </w:p>
        </w:tc>
        <w:tc>
          <w:tcPr>
            <w:tcW w:type="dxa" w:w="1728"/>
            <w:vAlign w:val="center"/>
            <w:shd w:fill="F5F7FA"/>
          </w:tcPr>
          <w:p>
            <w:pPr>
              <w:spacing w:after="0" w:before="0" w:line="240" w:lineRule="auto"/>
            </w:pPr>
            <w:r/>
            <w:r>
              <w:rPr>
                <w:rFonts w:ascii="Aptos" w:hAnsi="Aptos"/>
                <w:b w:val="0"/>
                <w:color w:val="111827"/>
                <w:sz w:val="13"/>
              </w:rPr>
              <w:t>Dimensional-weight charges (+$0.50)</w:t>
            </w:r>
          </w:p>
        </w:tc>
      </w:tr>
      <w:tr>
        <w:tc>
          <w:tcPr>
            <w:tcW w:type="dxa" w:w="2376"/>
            <w:vAlign w:val="center"/>
          </w:tcPr>
          <w:p>
            <w:pPr>
              <w:spacing w:after="0" w:before="0" w:line="240" w:lineRule="auto"/>
            </w:pPr>
            <w:r/>
            <w:r>
              <w:rPr>
                <w:rFonts w:ascii="Aptos" w:hAnsi="Aptos"/>
                <w:b/>
                <w:color w:val="111827"/>
                <w:sz w:val="13"/>
              </w:rPr>
              <w:t>Headphones/small electronics ($100)</w:t>
            </w:r>
          </w:p>
        </w:tc>
        <w:tc>
          <w:tcPr>
            <w:tcW w:type="dxa" w:w="1728"/>
            <w:vAlign w:val="center"/>
          </w:tcPr>
          <w:p>
            <w:pPr>
              <w:spacing w:after="0" w:before="0" w:line="240" w:lineRule="auto"/>
            </w:pPr>
            <w:r/>
            <w:r>
              <w:rPr>
                <w:rFonts w:ascii="Aptos" w:hAnsi="Aptos"/>
                <w:b w:val="0"/>
                <w:color w:val="111827"/>
                <w:sz w:val="13"/>
              </w:rPr>
              <w:t>Resale markdown / recovery (+$0.80)</w:t>
            </w:r>
          </w:p>
        </w:tc>
        <w:tc>
          <w:tcPr>
            <w:tcW w:type="dxa" w:w="1728"/>
            <w:vAlign w:val="center"/>
          </w:tcPr>
          <w:p>
            <w:pPr>
              <w:spacing w:after="0" w:before="0" w:line="240" w:lineRule="auto"/>
            </w:pPr>
            <w:r/>
            <w:r>
              <w:rPr>
                <w:rFonts w:ascii="Aptos" w:hAnsi="Aptos"/>
                <w:b w:val="0"/>
                <w:color w:val="111827"/>
                <w:sz w:val="13"/>
              </w:rPr>
              <w:t>Condition mix (+$0.77)</w:t>
            </w:r>
          </w:p>
        </w:tc>
        <w:tc>
          <w:tcPr>
            <w:tcW w:type="dxa" w:w="1728"/>
            <w:vAlign w:val="center"/>
          </w:tcPr>
          <w:p>
            <w:pPr>
              <w:spacing w:after="0" w:before="0" w:line="240" w:lineRule="auto"/>
            </w:pPr>
            <w:r/>
            <w:r>
              <w:rPr>
                <w:rFonts w:ascii="Aptos" w:hAnsi="Aptos"/>
                <w:b w:val="0"/>
                <w:color w:val="111827"/>
                <w:sz w:val="13"/>
              </w:rPr>
              <w:t>Inspection labor (+$0.49)</w:t>
            </w:r>
          </w:p>
        </w:tc>
        <w:tc>
          <w:tcPr>
            <w:tcW w:type="dxa" w:w="1728"/>
            <w:vAlign w:val="center"/>
          </w:tcPr>
          <w:p>
            <w:pPr>
              <w:spacing w:after="0" w:before="0" w:line="240" w:lineRule="auto"/>
            </w:pPr>
            <w:r/>
            <w:r>
              <w:rPr>
                <w:rFonts w:ascii="Aptos" w:hAnsi="Aptos"/>
                <w:b w:val="0"/>
                <w:color w:val="111827"/>
                <w:sz w:val="13"/>
              </w:rPr>
              <w:t>Seller fees (+$0.27)</w:t>
            </w:r>
          </w:p>
        </w:tc>
      </w:tr>
      <w:tr>
        <w:tc>
          <w:tcPr>
            <w:tcW w:type="dxa" w:w="2376"/>
            <w:vAlign w:val="center"/>
            <w:shd w:fill="F5F7FA"/>
          </w:tcPr>
          <w:p>
            <w:pPr>
              <w:spacing w:after="0" w:before="0" w:line="240" w:lineRule="auto"/>
            </w:pPr>
            <w:r/>
            <w:r>
              <w:rPr>
                <w:rFonts w:ascii="Aptos" w:hAnsi="Aptos"/>
                <w:b/>
                <w:color w:val="111827"/>
                <w:sz w:val="13"/>
              </w:rPr>
              <w:t>Small appliance ($100)</w:t>
            </w:r>
          </w:p>
        </w:tc>
        <w:tc>
          <w:tcPr>
            <w:tcW w:type="dxa" w:w="1728"/>
            <w:vAlign w:val="center"/>
            <w:shd w:fill="F5F7FA"/>
          </w:tcPr>
          <w:p>
            <w:pPr>
              <w:spacing w:after="0" w:before="0" w:line="240" w:lineRule="auto"/>
            </w:pPr>
            <w:r/>
            <w:r>
              <w:rPr>
                <w:rFonts w:ascii="Aptos" w:hAnsi="Aptos"/>
                <w:b w:val="0"/>
                <w:color w:val="111827"/>
                <w:sz w:val="13"/>
              </w:rPr>
              <w:t>Condition mix (+$0.88)</w:t>
            </w:r>
          </w:p>
        </w:tc>
        <w:tc>
          <w:tcPr>
            <w:tcW w:type="dxa" w:w="1728"/>
            <w:vAlign w:val="center"/>
            <w:shd w:fill="F5F7FA"/>
          </w:tcPr>
          <w:p>
            <w:pPr>
              <w:spacing w:after="0" w:before="0" w:line="240" w:lineRule="auto"/>
            </w:pPr>
            <w:r/>
            <w:r>
              <w:rPr>
                <w:rFonts w:ascii="Aptos" w:hAnsi="Aptos"/>
                <w:b w:val="0"/>
                <w:color w:val="111827"/>
                <w:sz w:val="13"/>
              </w:rPr>
              <w:t>Dimensional-weight charges (+$0.86)</w:t>
            </w:r>
          </w:p>
        </w:tc>
        <w:tc>
          <w:tcPr>
            <w:tcW w:type="dxa" w:w="1728"/>
            <w:vAlign w:val="center"/>
            <w:shd w:fill="F5F7FA"/>
          </w:tcPr>
          <w:p>
            <w:pPr>
              <w:spacing w:after="0" w:before="0" w:line="240" w:lineRule="auto"/>
            </w:pPr>
            <w:r/>
            <w:r>
              <w:rPr>
                <w:rFonts w:ascii="Aptos" w:hAnsi="Aptos"/>
                <w:b w:val="0"/>
                <w:color w:val="111827"/>
                <w:sz w:val="13"/>
              </w:rPr>
              <w:t>Resale markdown / recovery (+$0.76)</w:t>
            </w:r>
          </w:p>
        </w:tc>
        <w:tc>
          <w:tcPr>
            <w:tcW w:type="dxa" w:w="1728"/>
            <w:vAlign w:val="center"/>
            <w:shd w:fill="F5F7FA"/>
          </w:tcPr>
          <w:p>
            <w:pPr>
              <w:spacing w:after="0" w:before="0" w:line="240" w:lineRule="auto"/>
            </w:pPr>
            <w:r/>
            <w:r>
              <w:rPr>
                <w:rFonts w:ascii="Aptos" w:hAnsi="Aptos"/>
                <w:b w:val="0"/>
                <w:color w:val="111827"/>
                <w:sz w:val="13"/>
              </w:rPr>
              <w:t>Inspection labor (+$0.63)</w:t>
            </w:r>
          </w:p>
        </w:tc>
      </w:tr>
      <w:tr>
        <w:tc>
          <w:tcPr>
            <w:tcW w:type="dxa" w:w="2376"/>
            <w:vAlign w:val="center"/>
          </w:tcPr>
          <w:p>
            <w:pPr>
              <w:spacing w:after="0" w:before="0" w:line="240" w:lineRule="auto"/>
            </w:pPr>
            <w:r/>
            <w:r>
              <w:rPr>
                <w:rFonts w:ascii="Aptos" w:hAnsi="Aptos"/>
                <w:b/>
                <w:color w:val="111827"/>
                <w:sz w:val="13"/>
              </w:rPr>
              <w:t>Laptop/phone premium electronics ($500)</w:t>
            </w:r>
          </w:p>
        </w:tc>
        <w:tc>
          <w:tcPr>
            <w:tcW w:type="dxa" w:w="1728"/>
            <w:vAlign w:val="center"/>
          </w:tcPr>
          <w:p>
            <w:pPr>
              <w:spacing w:after="0" w:before="0" w:line="240" w:lineRule="auto"/>
            </w:pPr>
            <w:r/>
            <w:r>
              <w:rPr>
                <w:rFonts w:ascii="Aptos" w:hAnsi="Aptos"/>
                <w:b w:val="0"/>
                <w:color w:val="111827"/>
                <w:sz w:val="13"/>
              </w:rPr>
              <w:t>Resale markdown / recovery (+$3.39)</w:t>
            </w:r>
          </w:p>
        </w:tc>
        <w:tc>
          <w:tcPr>
            <w:tcW w:type="dxa" w:w="1728"/>
            <w:vAlign w:val="center"/>
          </w:tcPr>
          <w:p>
            <w:pPr>
              <w:spacing w:after="0" w:before="0" w:line="240" w:lineRule="auto"/>
            </w:pPr>
            <w:r/>
            <w:r>
              <w:rPr>
                <w:rFonts w:ascii="Aptos" w:hAnsi="Aptos"/>
                <w:b w:val="0"/>
                <w:color w:val="111827"/>
                <w:sz w:val="13"/>
              </w:rPr>
              <w:t>Condition mix (+$3.11)</w:t>
            </w:r>
          </w:p>
        </w:tc>
        <w:tc>
          <w:tcPr>
            <w:tcW w:type="dxa" w:w="1728"/>
            <w:vAlign w:val="center"/>
          </w:tcPr>
          <w:p>
            <w:pPr>
              <w:spacing w:after="0" w:before="0" w:line="240" w:lineRule="auto"/>
            </w:pPr>
            <w:r/>
            <w:r>
              <w:rPr>
                <w:rFonts w:ascii="Aptos" w:hAnsi="Aptos"/>
                <w:b w:val="0"/>
                <w:color w:val="111827"/>
                <w:sz w:val="13"/>
              </w:rPr>
              <w:t>Fraud probability (+$1.74)</w:t>
            </w:r>
          </w:p>
        </w:tc>
        <w:tc>
          <w:tcPr>
            <w:tcW w:type="dxa" w:w="1728"/>
            <w:vAlign w:val="center"/>
          </w:tcPr>
          <w:p>
            <w:pPr>
              <w:spacing w:after="0" w:before="0" w:line="240" w:lineRule="auto"/>
            </w:pPr>
            <w:r/>
            <w:r>
              <w:rPr>
                <w:rFonts w:ascii="Aptos" w:hAnsi="Aptos"/>
                <w:b w:val="0"/>
                <w:color w:val="111827"/>
                <w:sz w:val="13"/>
              </w:rPr>
              <w:t>Seller fees (+$1.21)</w:t>
            </w:r>
          </w:p>
        </w:tc>
      </w:tr>
      <w:tr>
        <w:tc>
          <w:tcPr>
            <w:tcW w:type="dxa" w:w="2376"/>
            <w:vAlign w:val="center"/>
            <w:shd w:fill="F5F7FA"/>
          </w:tcPr>
          <w:p>
            <w:pPr>
              <w:spacing w:after="0" w:before="0" w:line="240" w:lineRule="auto"/>
            </w:pPr>
            <w:r/>
            <w:r>
              <w:rPr>
                <w:rFonts w:ascii="Aptos" w:hAnsi="Aptos"/>
                <w:b/>
                <w:color w:val="111827"/>
                <w:sz w:val="13"/>
              </w:rPr>
              <w:t>Furniture product ($500)</w:t>
            </w:r>
          </w:p>
        </w:tc>
        <w:tc>
          <w:tcPr>
            <w:tcW w:type="dxa" w:w="1728"/>
            <w:vAlign w:val="center"/>
            <w:shd w:fill="F5F7FA"/>
          </w:tcPr>
          <w:p>
            <w:pPr>
              <w:spacing w:after="0" w:before="0" w:line="240" w:lineRule="auto"/>
            </w:pPr>
            <w:r/>
            <w:r>
              <w:rPr>
                <w:rFonts w:ascii="Aptos" w:hAnsi="Aptos"/>
                <w:b w:val="0"/>
                <w:color w:val="111827"/>
                <w:sz w:val="13"/>
              </w:rPr>
              <w:t>Dimensional-weight charges (+$8.75)</w:t>
            </w:r>
          </w:p>
        </w:tc>
        <w:tc>
          <w:tcPr>
            <w:tcW w:type="dxa" w:w="1728"/>
            <w:vAlign w:val="center"/>
            <w:shd w:fill="F5F7FA"/>
          </w:tcPr>
          <w:p>
            <w:pPr>
              <w:spacing w:after="0" w:before="0" w:line="240" w:lineRule="auto"/>
            </w:pPr>
            <w:r/>
            <w:r>
              <w:rPr>
                <w:rFonts w:ascii="Aptos" w:hAnsi="Aptos"/>
                <w:b w:val="0"/>
                <w:color w:val="111827"/>
                <w:sz w:val="13"/>
              </w:rPr>
              <w:t>Negotiated freight discount (+$5.00)</w:t>
            </w:r>
          </w:p>
        </w:tc>
        <w:tc>
          <w:tcPr>
            <w:tcW w:type="dxa" w:w="1728"/>
            <w:vAlign w:val="center"/>
            <w:shd w:fill="F5F7FA"/>
          </w:tcPr>
          <w:p>
            <w:pPr>
              <w:spacing w:after="0" w:before="0" w:line="240" w:lineRule="auto"/>
            </w:pPr>
            <w:r/>
            <w:r>
              <w:rPr>
                <w:rFonts w:ascii="Aptos" w:hAnsi="Aptos"/>
                <w:b w:val="0"/>
                <w:color w:val="111827"/>
                <w:sz w:val="13"/>
              </w:rPr>
              <w:t>Condition mix (+$4.71)</w:t>
            </w:r>
          </w:p>
        </w:tc>
        <w:tc>
          <w:tcPr>
            <w:tcW w:type="dxa" w:w="1728"/>
            <w:vAlign w:val="center"/>
            <w:shd w:fill="F5F7FA"/>
          </w:tcPr>
          <w:p>
            <w:pPr>
              <w:spacing w:after="0" w:before="0" w:line="240" w:lineRule="auto"/>
            </w:pPr>
            <w:r/>
            <w:r>
              <w:rPr>
                <w:rFonts w:ascii="Aptos" w:hAnsi="Aptos"/>
                <w:b w:val="0"/>
                <w:color w:val="111827"/>
                <w:sz w:val="13"/>
              </w:rPr>
              <w:t>Resale markdown / recovery (+$4.70)</w:t>
            </w:r>
          </w:p>
        </w:tc>
      </w:tr>
      <w:tr>
        <w:tc>
          <w:tcPr>
            <w:tcW w:type="dxa" w:w="2376"/>
            <w:vAlign w:val="center"/>
          </w:tcPr>
          <w:p>
            <w:pPr>
              <w:spacing w:after="0" w:before="0" w:line="240" w:lineRule="auto"/>
            </w:pPr>
            <w:r/>
            <w:r>
              <w:rPr>
                <w:rFonts w:ascii="Aptos" w:hAnsi="Aptos"/>
                <w:b/>
                <w:color w:val="111827"/>
                <w:sz w:val="13"/>
              </w:rPr>
              <w:t>Premium apparel/accessory ($500)</w:t>
            </w:r>
          </w:p>
        </w:tc>
        <w:tc>
          <w:tcPr>
            <w:tcW w:type="dxa" w:w="1728"/>
            <w:vAlign w:val="center"/>
          </w:tcPr>
          <w:p>
            <w:pPr>
              <w:spacing w:after="0" w:before="0" w:line="240" w:lineRule="auto"/>
            </w:pPr>
            <w:r/>
            <w:r>
              <w:rPr>
                <w:rFonts w:ascii="Aptos" w:hAnsi="Aptos"/>
                <w:b w:val="0"/>
                <w:color w:val="111827"/>
                <w:sz w:val="13"/>
              </w:rPr>
              <w:t>Condition mix (+$8.98)</w:t>
            </w:r>
          </w:p>
        </w:tc>
        <w:tc>
          <w:tcPr>
            <w:tcW w:type="dxa" w:w="1728"/>
            <w:vAlign w:val="center"/>
          </w:tcPr>
          <w:p>
            <w:pPr>
              <w:spacing w:after="0" w:before="0" w:line="240" w:lineRule="auto"/>
            </w:pPr>
            <w:r/>
            <w:r>
              <w:rPr>
                <w:rFonts w:ascii="Aptos" w:hAnsi="Aptos"/>
                <w:b w:val="0"/>
                <w:color w:val="111827"/>
                <w:sz w:val="13"/>
              </w:rPr>
              <w:t>Resale markdown / recovery (+$8.64)</w:t>
            </w:r>
          </w:p>
        </w:tc>
        <w:tc>
          <w:tcPr>
            <w:tcW w:type="dxa" w:w="1728"/>
            <w:vAlign w:val="center"/>
          </w:tcPr>
          <w:p>
            <w:pPr>
              <w:spacing w:after="0" w:before="0" w:line="240" w:lineRule="auto"/>
            </w:pPr>
            <w:r/>
            <w:r>
              <w:rPr>
                <w:rFonts w:ascii="Aptos" w:hAnsi="Aptos"/>
                <w:b w:val="0"/>
                <w:color w:val="111827"/>
                <w:sz w:val="13"/>
              </w:rPr>
              <w:t>Fraud probability (+$3.29)</w:t>
            </w:r>
          </w:p>
        </w:tc>
        <w:tc>
          <w:tcPr>
            <w:tcW w:type="dxa" w:w="1728"/>
            <w:vAlign w:val="center"/>
          </w:tcPr>
          <w:p>
            <w:pPr>
              <w:spacing w:after="0" w:before="0" w:line="240" w:lineRule="auto"/>
            </w:pPr>
            <w:r/>
            <w:r>
              <w:rPr>
                <w:rFonts w:ascii="Aptos" w:hAnsi="Aptos"/>
                <w:b w:val="0"/>
                <w:color w:val="111827"/>
                <w:sz w:val="13"/>
              </w:rPr>
              <w:t>Seller fees (+$1.59)</w:t>
            </w:r>
          </w:p>
        </w:tc>
      </w:tr>
    </w:tbl>
    <w:p>
      <w:pPr>
        <w:spacing w:after="0"/>
      </w:pPr>
    </w:p>
    <w:p>
      <w:pPr>
        <w:pStyle w:val="Caption"/>
        <w:jc w:val="left"/>
      </w:pPr>
      <w:r>
        <w:rPr>
          <w:b/>
        </w:rPr>
        <w:t>Table 6. Largest adverse sensitivities, excluding return rate</w:t>
      </w:r>
      <w:r>
        <w:rPr>
          <w:i/>
          <w:color w:val="6B7280"/>
        </w:rPr>
        <w:t xml:space="preserve">  Source: Dollar change in expected return tax per order under the defined adverse shock.</w:t>
      </w:r>
    </w:p>
    <w:p>
      <w:pPr>
        <w:sectPr>
          <w:pgSz w:w="12240" w:h="15840"/>
          <w:pgMar w:top="1008" w:right="1152" w:bottom="1008" w:left="1152" w:header="720" w:footer="720" w:gutter="0"/>
          <w:cols w:space="720"/>
          <w:docGrid w:linePitch="360"/>
        </w:sectPr>
      </w:pPr>
    </w:p>
    <w:p>
      <w:pPr>
        <w:pStyle w:val="Heading1"/>
      </w:pPr>
      <w:r>
        <w:t>Auction analysis</w:t>
      </w:r>
    </w:p>
    <w:p>
      <w:r>
        <w:rPr>
          <w:b/>
        </w:rPr>
        <w:t xml:space="preserve">Completed-auction sample size: two. </w:t>
      </w:r>
      <w:r>
        <w:t>No open-auction observation was supplied or used. The package explicitly could not verify a broad unrestricted master file; the report therefore preserves lot-level fields, reports distribution statistics and avoids population claims.</w:t>
      </w:r>
    </w:p>
    <w:tbl>
      <w:tblPr>
        <w:tblStyle w:val="TableGrid"/>
        <w:tblW w:type="auto" w:w="0"/>
        <w:jc w:val="center"/>
        <w:tblLayout w:type="fixed"/>
        <w:tblLook w:firstColumn="1" w:firstRow="1" w:lastColumn="0" w:lastRow="0" w:noHBand="0" w:noVBand="1" w:val="04A0"/>
      </w:tblPr>
      <w:tblGrid>
        <w:gridCol w:w="1188"/>
        <w:gridCol w:w="1188"/>
        <w:gridCol w:w="1188"/>
        <w:gridCol w:w="1188"/>
        <w:gridCol w:w="1188"/>
        <w:gridCol w:w="1188"/>
        <w:gridCol w:w="1188"/>
        <w:gridCol w:w="1188"/>
        <w:gridCol w:w="1188"/>
        <w:gridCol w:w="1188"/>
        <w:gridCol w:w="1188"/>
        <w:gridCol w:w="1188"/>
      </w:tblGrid>
      <w:tr>
        <w:trPr>
          <w:tblHeader w:val="true"/>
        </w:trPr>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2"/>
              </w:rPr>
              <w:t>Auction ID</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2"/>
              </w:rPr>
              <w:t>Category</w:t>
            </w:r>
          </w:p>
        </w:tc>
        <w:tc>
          <w:tcPr>
            <w:tcW w:type="dxa" w:w="864"/>
            <w:vAlign w:val="center"/>
            <w:shd w:fill="17324D"/>
            <w:tcBorders>
              <w:bottom w:val="single" w:sz="8" w:color="FFFFFF"/>
            </w:tcBorders>
          </w:tcPr>
          <w:p>
            <w:pPr>
              <w:spacing w:after="0" w:before="0" w:line="240" w:lineRule="auto"/>
              <w:jc w:val="left"/>
            </w:pPr>
            <w:r/>
            <w:r>
              <w:rPr>
                <w:rFonts w:ascii="Aptos" w:hAnsi="Aptos"/>
                <w:b/>
                <w:color w:val="FFFFFF"/>
                <w:sz w:val="12"/>
              </w:rPr>
              <w:t>Status</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2"/>
              </w:rPr>
              <w:t>Stated retail</w:t>
            </w:r>
          </w:p>
        </w:tc>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2"/>
              </w:rPr>
              <w:t>Adjusted current retail</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Winning bid</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Buyer premium</w:t>
            </w:r>
          </w:p>
        </w:tc>
        <w:tc>
          <w:tcPr>
            <w:tcW w:type="dxa" w:w="864"/>
            <w:vAlign w:val="center"/>
            <w:shd w:fill="17324D"/>
            <w:tcBorders>
              <w:bottom w:val="single" w:sz="8" w:color="FFFFFF"/>
            </w:tcBorders>
          </w:tcPr>
          <w:p>
            <w:pPr>
              <w:spacing w:after="0" w:before="0" w:line="240" w:lineRule="auto"/>
              <w:jc w:val="left"/>
            </w:pPr>
            <w:r/>
            <w:r>
              <w:rPr>
                <w:rFonts w:ascii="Aptos" w:hAnsi="Aptos"/>
                <w:b/>
                <w:color w:val="FFFFFF"/>
                <w:sz w:val="12"/>
              </w:rPr>
              <w:t>Freight</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2"/>
              </w:rPr>
              <w:t>Delivered cost</w:t>
            </w:r>
          </w:p>
        </w:tc>
        <w:tc>
          <w:tcPr>
            <w:tcW w:type="dxa" w:w="576"/>
            <w:vAlign w:val="center"/>
            <w:shd w:fill="17324D"/>
            <w:tcBorders>
              <w:bottom w:val="single" w:sz="8" w:color="FFFFFF"/>
            </w:tcBorders>
          </w:tcPr>
          <w:p>
            <w:pPr>
              <w:spacing w:after="0" w:before="0" w:line="240" w:lineRule="auto"/>
              <w:jc w:val="left"/>
            </w:pPr>
            <w:r/>
            <w:r>
              <w:rPr>
                <w:rFonts w:ascii="Aptos" w:hAnsi="Aptos"/>
                <w:b/>
                <w:color w:val="FFFFFF"/>
                <w:sz w:val="12"/>
              </w:rPr>
              <w:t>Units</w:t>
            </w:r>
          </w:p>
        </w:tc>
        <w:tc>
          <w:tcPr>
            <w:tcW w:type="dxa" w:w="2232"/>
            <w:vAlign w:val="center"/>
            <w:shd w:fill="17324D"/>
            <w:tcBorders>
              <w:bottom w:val="single" w:sz="8" w:color="FFFFFF"/>
            </w:tcBorders>
          </w:tcPr>
          <w:p>
            <w:pPr>
              <w:spacing w:after="0" w:before="0" w:line="240" w:lineRule="auto"/>
              <w:jc w:val="left"/>
            </w:pPr>
            <w:r/>
            <w:r>
              <w:rPr>
                <w:rFonts w:ascii="Aptos" w:hAnsi="Aptos"/>
                <w:b/>
                <w:color w:val="FFFFFF"/>
                <w:sz w:val="12"/>
              </w:rPr>
              <w:t>Condition</w:t>
            </w:r>
          </w:p>
        </w:tc>
        <w:tc>
          <w:tcPr>
            <w:tcW w:type="dxa" w:w="2232"/>
            <w:vAlign w:val="center"/>
            <w:shd w:fill="17324D"/>
            <w:tcBorders>
              <w:bottom w:val="single" w:sz="8" w:color="FFFFFF"/>
            </w:tcBorders>
          </w:tcPr>
          <w:p>
            <w:pPr>
              <w:spacing w:after="0" w:before="0" w:line="240" w:lineRule="auto"/>
              <w:jc w:val="left"/>
            </w:pPr>
            <w:r/>
            <w:r>
              <w:rPr>
                <w:rFonts w:ascii="Aptos" w:hAnsi="Aptos"/>
                <w:b/>
                <w:color w:val="FFFFFF"/>
                <w:sz w:val="12"/>
              </w:rPr>
              <w:t>Manifest</w:t>
            </w:r>
          </w:p>
        </w:tc>
      </w:tr>
      <w:tr>
        <w:tc>
          <w:tcPr>
            <w:tcW w:type="dxa" w:w="1152"/>
            <w:vAlign w:val="center"/>
          </w:tcPr>
          <w:p>
            <w:pPr>
              <w:spacing w:after="0" w:before="0" w:line="240" w:lineRule="auto"/>
            </w:pPr>
            <w:r/>
            <w:r>
              <w:rPr>
                <w:rFonts w:ascii="Aptos" w:hAnsi="Aptos"/>
                <w:b/>
                <w:color w:val="111827"/>
                <w:sz w:val="12"/>
              </w:rPr>
              <w:t>WMT-150184</w:t>
            </w:r>
          </w:p>
        </w:tc>
        <w:tc>
          <w:tcPr>
            <w:tcW w:type="dxa" w:w="1008"/>
            <w:vAlign w:val="center"/>
          </w:tcPr>
          <w:p>
            <w:pPr>
              <w:spacing w:after="0" w:before="0" w:line="240" w:lineRule="auto"/>
            </w:pPr>
            <w:r/>
            <w:r>
              <w:rPr>
                <w:rFonts w:ascii="Aptos" w:hAnsi="Aptos"/>
                <w:b w:val="0"/>
                <w:color w:val="111827"/>
                <w:sz w:val="12"/>
              </w:rPr>
              <w:t>Microwaves</w:t>
            </w:r>
          </w:p>
        </w:tc>
        <w:tc>
          <w:tcPr>
            <w:tcW w:type="dxa" w:w="864"/>
            <w:vAlign w:val="center"/>
          </w:tcPr>
          <w:p>
            <w:pPr>
              <w:spacing w:after="0" w:before="0" w:line="240" w:lineRule="auto"/>
            </w:pPr>
            <w:r/>
            <w:r>
              <w:rPr>
                <w:rFonts w:ascii="Aptos" w:hAnsi="Aptos"/>
                <w:b w:val="0"/>
                <w:color w:val="111827"/>
                <w:sz w:val="12"/>
              </w:rPr>
              <w:t>Completed</w:t>
            </w:r>
          </w:p>
        </w:tc>
        <w:tc>
          <w:tcPr>
            <w:tcW w:type="dxa" w:w="1008"/>
            <w:vAlign w:val="center"/>
          </w:tcPr>
          <w:p>
            <w:pPr>
              <w:spacing w:after="0" w:before="0" w:line="240" w:lineRule="auto"/>
            </w:pPr>
            <w:r/>
            <w:r>
              <w:rPr>
                <w:rFonts w:ascii="Aptos" w:hAnsi="Aptos"/>
                <w:b w:val="0"/>
                <w:color w:val="111827"/>
                <w:sz w:val="12"/>
              </w:rPr>
              <w:t>$7,004</w:t>
            </w:r>
          </w:p>
        </w:tc>
        <w:tc>
          <w:tcPr>
            <w:tcW w:type="dxa" w:w="1152"/>
            <w:vAlign w:val="center"/>
          </w:tcPr>
          <w:p>
            <w:pPr>
              <w:spacing w:after="0" w:before="0" w:line="240" w:lineRule="auto"/>
            </w:pPr>
            <w:r/>
            <w:r>
              <w:rPr>
                <w:rFonts w:ascii="Aptos" w:hAnsi="Aptos"/>
                <w:b w:val="0"/>
                <w:color w:val="111827"/>
                <w:sz w:val="12"/>
              </w:rPr>
              <w:t>$5,603</w:t>
            </w:r>
          </w:p>
        </w:tc>
        <w:tc>
          <w:tcPr>
            <w:tcW w:type="dxa" w:w="936"/>
            <w:vAlign w:val="center"/>
          </w:tcPr>
          <w:p>
            <w:pPr>
              <w:spacing w:after="0" w:before="0" w:line="240" w:lineRule="auto"/>
            </w:pPr>
            <w:r/>
            <w:r>
              <w:rPr>
                <w:rFonts w:ascii="Aptos" w:hAnsi="Aptos"/>
                <w:b w:val="0"/>
                <w:color w:val="111827"/>
                <w:sz w:val="12"/>
              </w:rPr>
              <w:t>$1,020</w:t>
            </w:r>
          </w:p>
        </w:tc>
        <w:tc>
          <w:tcPr>
            <w:tcW w:type="dxa" w:w="936"/>
            <w:vAlign w:val="center"/>
          </w:tcPr>
          <w:p>
            <w:pPr>
              <w:spacing w:after="0" w:before="0" w:line="240" w:lineRule="auto"/>
            </w:pPr>
            <w:r/>
            <w:r>
              <w:rPr>
                <w:rFonts w:ascii="Aptos" w:hAnsi="Aptos"/>
                <w:b w:val="0"/>
                <w:color w:val="111827"/>
                <w:sz w:val="12"/>
              </w:rPr>
              <w:t>$102</w:t>
            </w:r>
          </w:p>
        </w:tc>
        <w:tc>
          <w:tcPr>
            <w:tcW w:type="dxa" w:w="864"/>
            <w:vAlign w:val="center"/>
          </w:tcPr>
          <w:p>
            <w:pPr>
              <w:spacing w:after="0" w:before="0" w:line="240" w:lineRule="auto"/>
            </w:pPr>
            <w:r/>
            <w:r>
              <w:rPr>
                <w:rFonts w:ascii="Aptos" w:hAnsi="Aptos"/>
                <w:b w:val="0"/>
                <w:color w:val="111827"/>
                <w:sz w:val="12"/>
              </w:rPr>
              <w:t>$750</w:t>
            </w:r>
          </w:p>
        </w:tc>
        <w:tc>
          <w:tcPr>
            <w:tcW w:type="dxa" w:w="1008"/>
            <w:vAlign w:val="center"/>
          </w:tcPr>
          <w:p>
            <w:pPr>
              <w:spacing w:after="0" w:before="0" w:line="240" w:lineRule="auto"/>
            </w:pPr>
            <w:r/>
            <w:r>
              <w:rPr>
                <w:rFonts w:ascii="Aptos" w:hAnsi="Aptos"/>
                <w:b w:val="0"/>
                <w:color w:val="111827"/>
                <w:sz w:val="12"/>
              </w:rPr>
              <w:t>$1,872</w:t>
            </w:r>
          </w:p>
        </w:tc>
        <w:tc>
          <w:tcPr>
            <w:tcW w:type="dxa" w:w="576"/>
            <w:vAlign w:val="center"/>
          </w:tcPr>
          <w:p>
            <w:pPr>
              <w:spacing w:after="0" w:before="0" w:line="240" w:lineRule="auto"/>
            </w:pPr>
            <w:r/>
            <w:r>
              <w:rPr>
                <w:rFonts w:ascii="Aptos" w:hAnsi="Aptos"/>
                <w:b w:val="0"/>
                <w:color w:val="111827"/>
                <w:sz w:val="12"/>
              </w:rPr>
              <w:t>102</w:t>
            </w:r>
          </w:p>
        </w:tc>
        <w:tc>
          <w:tcPr>
            <w:tcW w:type="dxa" w:w="2232"/>
            <w:vAlign w:val="center"/>
          </w:tcPr>
          <w:p>
            <w:pPr>
              <w:spacing w:after="0" w:before="0" w:line="240" w:lineRule="auto"/>
            </w:pPr>
            <w:r/>
            <w:r>
              <w:rPr>
                <w:rFonts w:ascii="Aptos" w:hAnsi="Aptos"/>
                <w:b w:val="0"/>
                <w:color w:val="111827"/>
                <w:sz w:val="12"/>
              </w:rPr>
              <w:t>Detailed condition not public; liquidation lot in customer-return channel</w:t>
            </w:r>
          </w:p>
        </w:tc>
        <w:tc>
          <w:tcPr>
            <w:tcW w:type="dxa" w:w="2232"/>
            <w:vAlign w:val="center"/>
          </w:tcPr>
          <w:p>
            <w:pPr>
              <w:spacing w:after="0" w:before="0" w:line="240" w:lineRule="auto"/>
            </w:pPr>
            <w:r/>
            <w:r>
              <w:rPr>
                <w:rFonts w:ascii="Aptos" w:hAnsi="Aptos"/>
                <w:b w:val="0"/>
                <w:color w:val="111827"/>
                <w:sz w:val="12"/>
              </w:rPr>
              <w:t>Partial public listing; full details login-gated</w:t>
            </w:r>
          </w:p>
        </w:tc>
      </w:tr>
      <w:tr>
        <w:tc>
          <w:tcPr>
            <w:tcW w:type="dxa" w:w="1152"/>
            <w:vAlign w:val="center"/>
            <w:shd w:fill="F5F7FA"/>
          </w:tcPr>
          <w:p>
            <w:pPr>
              <w:spacing w:after="0" w:before="0" w:line="240" w:lineRule="auto"/>
            </w:pPr>
            <w:r/>
            <w:r>
              <w:rPr>
                <w:rFonts w:ascii="Aptos" w:hAnsi="Aptos"/>
                <w:b/>
                <w:color w:val="111827"/>
                <w:sz w:val="12"/>
              </w:rPr>
              <w:t>WMT-150245</w:t>
            </w:r>
          </w:p>
        </w:tc>
        <w:tc>
          <w:tcPr>
            <w:tcW w:type="dxa" w:w="1008"/>
            <w:vAlign w:val="center"/>
            <w:shd w:fill="F5F7FA"/>
          </w:tcPr>
          <w:p>
            <w:pPr>
              <w:spacing w:after="0" w:before="0" w:line="240" w:lineRule="auto"/>
            </w:pPr>
            <w:r/>
            <w:r>
              <w:rPr>
                <w:rFonts w:ascii="Aptos" w:hAnsi="Aptos"/>
                <w:b w:val="0"/>
                <w:color w:val="111827"/>
                <w:sz w:val="12"/>
              </w:rPr>
              <w:t>eBikes</w:t>
            </w:r>
          </w:p>
        </w:tc>
        <w:tc>
          <w:tcPr>
            <w:tcW w:type="dxa" w:w="864"/>
            <w:vAlign w:val="center"/>
            <w:shd w:fill="F5F7FA"/>
          </w:tcPr>
          <w:p>
            <w:pPr>
              <w:spacing w:after="0" w:before="0" w:line="240" w:lineRule="auto"/>
            </w:pPr>
            <w:r/>
            <w:r>
              <w:rPr>
                <w:rFonts w:ascii="Aptos" w:hAnsi="Aptos"/>
                <w:b w:val="0"/>
                <w:color w:val="111827"/>
                <w:sz w:val="12"/>
              </w:rPr>
              <w:t>Completed</w:t>
            </w:r>
          </w:p>
        </w:tc>
        <w:tc>
          <w:tcPr>
            <w:tcW w:type="dxa" w:w="1008"/>
            <w:vAlign w:val="center"/>
            <w:shd w:fill="F5F7FA"/>
          </w:tcPr>
          <w:p>
            <w:pPr>
              <w:spacing w:after="0" w:before="0" w:line="240" w:lineRule="auto"/>
            </w:pPr>
            <w:r/>
            <w:r>
              <w:rPr>
                <w:rFonts w:ascii="Aptos" w:hAnsi="Aptos"/>
                <w:b w:val="0"/>
                <w:color w:val="111827"/>
                <w:sz w:val="12"/>
              </w:rPr>
              <w:t>$3,058</w:t>
            </w:r>
          </w:p>
        </w:tc>
        <w:tc>
          <w:tcPr>
            <w:tcW w:type="dxa" w:w="1152"/>
            <w:vAlign w:val="center"/>
            <w:shd w:fill="F5F7FA"/>
          </w:tcPr>
          <w:p>
            <w:pPr>
              <w:spacing w:after="0" w:before="0" w:line="240" w:lineRule="auto"/>
            </w:pPr>
            <w:r/>
            <w:r>
              <w:rPr>
                <w:rFonts w:ascii="Aptos" w:hAnsi="Aptos"/>
                <w:b w:val="0"/>
                <w:color w:val="111827"/>
                <w:sz w:val="12"/>
              </w:rPr>
              <w:t>$2,446</w:t>
            </w:r>
          </w:p>
        </w:tc>
        <w:tc>
          <w:tcPr>
            <w:tcW w:type="dxa" w:w="936"/>
            <w:vAlign w:val="center"/>
            <w:shd w:fill="F5F7FA"/>
          </w:tcPr>
          <w:p>
            <w:pPr>
              <w:spacing w:after="0" w:before="0" w:line="240" w:lineRule="auto"/>
            </w:pPr>
            <w:r/>
            <w:r>
              <w:rPr>
                <w:rFonts w:ascii="Aptos" w:hAnsi="Aptos"/>
                <w:b w:val="0"/>
                <w:color w:val="111827"/>
                <w:sz w:val="12"/>
              </w:rPr>
              <w:t>$600</w:t>
            </w:r>
          </w:p>
        </w:tc>
        <w:tc>
          <w:tcPr>
            <w:tcW w:type="dxa" w:w="936"/>
            <w:vAlign w:val="center"/>
            <w:shd w:fill="F5F7FA"/>
          </w:tcPr>
          <w:p>
            <w:pPr>
              <w:spacing w:after="0" w:before="0" w:line="240" w:lineRule="auto"/>
            </w:pPr>
            <w:r/>
            <w:r>
              <w:rPr>
                <w:rFonts w:ascii="Aptos" w:hAnsi="Aptos"/>
                <w:b w:val="0"/>
                <w:color w:val="111827"/>
                <w:sz w:val="12"/>
              </w:rPr>
              <w:t>$60</w:t>
            </w:r>
          </w:p>
        </w:tc>
        <w:tc>
          <w:tcPr>
            <w:tcW w:type="dxa" w:w="864"/>
            <w:vAlign w:val="center"/>
            <w:shd w:fill="F5F7FA"/>
          </w:tcPr>
          <w:p>
            <w:pPr>
              <w:spacing w:after="0" w:before="0" w:line="240" w:lineRule="auto"/>
            </w:pPr>
            <w:r/>
            <w:r>
              <w:rPr>
                <w:rFonts w:ascii="Aptos" w:hAnsi="Aptos"/>
                <w:b w:val="0"/>
                <w:color w:val="111827"/>
                <w:sz w:val="12"/>
              </w:rPr>
              <w:t>$850</w:t>
            </w:r>
          </w:p>
        </w:tc>
        <w:tc>
          <w:tcPr>
            <w:tcW w:type="dxa" w:w="1008"/>
            <w:vAlign w:val="center"/>
            <w:shd w:fill="F5F7FA"/>
          </w:tcPr>
          <w:p>
            <w:pPr>
              <w:spacing w:after="0" w:before="0" w:line="240" w:lineRule="auto"/>
            </w:pPr>
            <w:r/>
            <w:r>
              <w:rPr>
                <w:rFonts w:ascii="Aptos" w:hAnsi="Aptos"/>
                <w:b w:val="0"/>
                <w:color w:val="111827"/>
                <w:sz w:val="12"/>
              </w:rPr>
              <w:t>$1,510</w:t>
            </w:r>
          </w:p>
        </w:tc>
        <w:tc>
          <w:tcPr>
            <w:tcW w:type="dxa" w:w="576"/>
            <w:vAlign w:val="center"/>
            <w:shd w:fill="F5F7FA"/>
          </w:tcPr>
          <w:p>
            <w:pPr>
              <w:spacing w:after="0" w:before="0" w:line="240" w:lineRule="auto"/>
            </w:pPr>
            <w:r/>
            <w:r>
              <w:rPr>
                <w:rFonts w:ascii="Aptos" w:hAnsi="Aptos"/>
                <w:b w:val="0"/>
                <w:color w:val="111827"/>
                <w:sz w:val="12"/>
              </w:rPr>
              <w:t>12</w:t>
            </w:r>
          </w:p>
        </w:tc>
        <w:tc>
          <w:tcPr>
            <w:tcW w:type="dxa" w:w="2232"/>
            <w:vAlign w:val="center"/>
            <w:shd w:fill="F5F7FA"/>
          </w:tcPr>
          <w:p>
            <w:pPr>
              <w:spacing w:after="0" w:before="0" w:line="240" w:lineRule="auto"/>
            </w:pPr>
            <w:r/>
            <w:r>
              <w:rPr>
                <w:rFonts w:ascii="Aptos" w:hAnsi="Aptos"/>
                <w:b w:val="0"/>
                <w:color w:val="111827"/>
                <w:sz w:val="12"/>
              </w:rPr>
              <w:t>Detailed condition not public; liquidation lot in customer-return channel</w:t>
            </w:r>
          </w:p>
        </w:tc>
        <w:tc>
          <w:tcPr>
            <w:tcW w:type="dxa" w:w="2232"/>
            <w:vAlign w:val="center"/>
            <w:shd w:fill="F5F7FA"/>
          </w:tcPr>
          <w:p>
            <w:pPr>
              <w:spacing w:after="0" w:before="0" w:line="240" w:lineRule="auto"/>
            </w:pPr>
            <w:r/>
            <w:r>
              <w:rPr>
                <w:rFonts w:ascii="Aptos" w:hAnsi="Aptos"/>
                <w:b w:val="0"/>
                <w:color w:val="111827"/>
                <w:sz w:val="12"/>
              </w:rPr>
              <w:t>Partial public listing; full details login-gated</w:t>
            </w:r>
          </w:p>
        </w:tc>
      </w:tr>
    </w:tbl>
    <w:p>
      <w:pPr>
        <w:spacing w:after="0"/>
      </w:pPr>
    </w:p>
    <w:p>
      <w:pPr>
        <w:pStyle w:val="Caption"/>
        <w:jc w:val="left"/>
      </w:pPr>
      <w:r>
        <w:rPr>
          <w:b/>
        </w:rPr>
        <w:t>Table 7. Completed auction master sample</w:t>
      </w:r>
      <w:r>
        <w:rPr>
          <w:i/>
          <w:color w:val="6B7280"/>
        </w:rPr>
        <w:t xml:space="preserve">  Source: S36, S37. Adjusted current retail, buyer premium and freight are assumptions.</w:t>
      </w:r>
    </w:p>
    <w:p>
      <w:pPr>
        <w:sectPr>
          <w:pgSz w:w="15840" w:h="12240" w:orient="landscape"/>
          <w:pgMar w:top="792" w:right="792" w:bottom="792" w:left="792" w:header="720" w:footer="720" w:gutter="0"/>
          <w:cols w:space="720"/>
          <w:docGrid w:linePitch="360"/>
        </w:sectPr>
      </w:pPr>
    </w:p>
    <w:tbl>
      <w:tblPr>
        <w:tblStyle w:val="TableGrid"/>
        <w:tblW w:type="auto" w:w="0"/>
        <w:jc w:val="center"/>
        <w:tblLayout w:type="fixed"/>
        <w:tblLook w:firstColumn="1" w:firstRow="1" w:lastColumn="0" w:lastRow="0" w:noHBand="0" w:noVBand="1" w:val="04A0"/>
      </w:tblPr>
      <w:tblGrid>
        <w:gridCol w:w="1104"/>
        <w:gridCol w:w="1104"/>
        <w:gridCol w:w="1104"/>
        <w:gridCol w:w="1104"/>
        <w:gridCol w:w="1104"/>
        <w:gridCol w:w="1104"/>
        <w:gridCol w:w="1104"/>
        <w:gridCol w:w="1104"/>
        <w:gridCol w:w="1104"/>
      </w:tblGrid>
      <w:tr>
        <w:trPr>
          <w:tblHeader w:val="true"/>
        </w:trPr>
        <w:tc>
          <w:tcPr>
            <w:tcW w:type="dxa" w:w="3168"/>
            <w:vAlign w:val="center"/>
            <w:shd w:fill="17324D"/>
            <w:tcBorders>
              <w:bottom w:val="single" w:sz="8" w:color="FFFFFF"/>
            </w:tcBorders>
          </w:tcPr>
          <w:p>
            <w:pPr>
              <w:spacing w:after="0" w:before="0" w:line="240" w:lineRule="auto"/>
              <w:jc w:val="left"/>
            </w:pPr>
            <w:r/>
            <w:r>
              <w:rPr>
                <w:rFonts w:ascii="Aptos" w:hAnsi="Aptos"/>
                <w:b/>
                <w:color w:val="FFFFFF"/>
                <w:sz w:val="13"/>
              </w:rPr>
              <w:t>Metric</w:t>
            </w:r>
          </w:p>
        </w:tc>
        <w:tc>
          <w:tcPr>
            <w:tcW w:type="dxa" w:w="432"/>
            <w:vAlign w:val="center"/>
            <w:shd w:fill="17324D"/>
            <w:tcBorders>
              <w:bottom w:val="single" w:sz="8" w:color="FFFFFF"/>
            </w:tcBorders>
          </w:tcPr>
          <w:p>
            <w:pPr>
              <w:spacing w:after="0" w:before="0" w:line="240" w:lineRule="auto"/>
              <w:jc w:val="left"/>
            </w:pPr>
            <w:r/>
            <w:r>
              <w:rPr>
                <w:rFonts w:ascii="Aptos" w:hAnsi="Aptos"/>
                <w:b/>
                <w:color w:val="FFFFFF"/>
                <w:sz w:val="13"/>
              </w:rPr>
              <w:t>n</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3"/>
              </w:rPr>
              <w:t>Min</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3"/>
              </w:rPr>
              <w:t>P25</w:t>
            </w:r>
          </w:p>
        </w:tc>
        <w:tc>
          <w:tcPr>
            <w:tcW w:type="dxa" w:w="792"/>
            <w:vAlign w:val="center"/>
            <w:shd w:fill="17324D"/>
            <w:tcBorders>
              <w:bottom w:val="single" w:sz="8" w:color="FFFFFF"/>
            </w:tcBorders>
          </w:tcPr>
          <w:p>
            <w:pPr>
              <w:spacing w:after="0" w:before="0" w:line="240" w:lineRule="auto"/>
              <w:jc w:val="left"/>
            </w:pPr>
            <w:r/>
            <w:r>
              <w:rPr>
                <w:rFonts w:ascii="Aptos" w:hAnsi="Aptos"/>
                <w:b/>
                <w:color w:val="FFFFFF"/>
                <w:sz w:val="13"/>
              </w:rPr>
              <w:t>Median</w:t>
            </w:r>
          </w:p>
        </w:tc>
        <w:tc>
          <w:tcPr>
            <w:tcW w:type="dxa" w:w="792"/>
            <w:vAlign w:val="center"/>
            <w:shd w:fill="17324D"/>
            <w:tcBorders>
              <w:bottom w:val="single" w:sz="8" w:color="FFFFFF"/>
            </w:tcBorders>
          </w:tcPr>
          <w:p>
            <w:pPr>
              <w:spacing w:after="0" w:before="0" w:line="240" w:lineRule="auto"/>
              <w:jc w:val="left"/>
            </w:pPr>
            <w:r/>
            <w:r>
              <w:rPr>
                <w:rFonts w:ascii="Aptos" w:hAnsi="Aptos"/>
                <w:b/>
                <w:color w:val="FFFFFF"/>
                <w:sz w:val="13"/>
              </w:rPr>
              <w:t>Mean</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3"/>
              </w:rPr>
              <w:t>P75</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3"/>
              </w:rPr>
              <w:t>Max</w:t>
            </w:r>
          </w:p>
        </w:tc>
        <w:tc>
          <w:tcPr>
            <w:tcW w:type="dxa" w:w="792"/>
            <w:vAlign w:val="center"/>
            <w:shd w:fill="17324D"/>
            <w:tcBorders>
              <w:bottom w:val="single" w:sz="8" w:color="FFFFFF"/>
            </w:tcBorders>
          </w:tcPr>
          <w:p>
            <w:pPr>
              <w:spacing w:after="0" w:before="0" w:line="240" w:lineRule="auto"/>
              <w:jc w:val="left"/>
            </w:pPr>
            <w:r/>
            <w:r>
              <w:rPr>
                <w:rFonts w:ascii="Aptos" w:hAnsi="Aptos"/>
                <w:b/>
                <w:color w:val="FFFFFF"/>
                <w:sz w:val="13"/>
              </w:rPr>
              <w:t>Range</w:t>
            </w:r>
          </w:p>
        </w:tc>
      </w:tr>
      <w:tr>
        <w:tc>
          <w:tcPr>
            <w:tcW w:type="dxa" w:w="3168"/>
            <w:vAlign w:val="center"/>
          </w:tcPr>
          <w:p>
            <w:pPr>
              <w:spacing w:after="0" w:before="0" w:line="240" w:lineRule="auto"/>
            </w:pPr>
            <w:r/>
            <w:r>
              <w:rPr>
                <w:rFonts w:ascii="Aptos" w:hAnsi="Aptos"/>
                <w:b/>
                <w:color w:val="111827"/>
                <w:sz w:val="13"/>
              </w:rPr>
              <w:t>Auction bid % stated retail</w:t>
            </w:r>
          </w:p>
        </w:tc>
        <w:tc>
          <w:tcPr>
            <w:tcW w:type="dxa" w:w="432"/>
            <w:vAlign w:val="center"/>
          </w:tcPr>
          <w:p>
            <w:pPr>
              <w:spacing w:after="0" w:before="0" w:line="240" w:lineRule="auto"/>
            </w:pPr>
            <w:r/>
            <w:r>
              <w:rPr>
                <w:rFonts w:ascii="Aptos" w:hAnsi="Aptos"/>
                <w:b w:val="0"/>
                <w:color w:val="111827"/>
                <w:sz w:val="13"/>
              </w:rPr>
              <w:t>2</w:t>
            </w:r>
          </w:p>
        </w:tc>
        <w:tc>
          <w:tcPr>
            <w:tcW w:type="dxa" w:w="720"/>
            <w:vAlign w:val="center"/>
          </w:tcPr>
          <w:p>
            <w:pPr>
              <w:spacing w:after="0" w:before="0" w:line="240" w:lineRule="auto"/>
            </w:pPr>
            <w:r/>
            <w:r>
              <w:rPr>
                <w:rFonts w:ascii="Aptos" w:hAnsi="Aptos"/>
                <w:b w:val="0"/>
                <w:color w:val="111827"/>
                <w:sz w:val="13"/>
              </w:rPr>
              <w:t>14.6%</w:t>
            </w:r>
          </w:p>
        </w:tc>
        <w:tc>
          <w:tcPr>
            <w:tcW w:type="dxa" w:w="720"/>
            <w:vAlign w:val="center"/>
          </w:tcPr>
          <w:p>
            <w:pPr>
              <w:spacing w:after="0" w:before="0" w:line="240" w:lineRule="auto"/>
            </w:pPr>
            <w:r/>
            <w:r>
              <w:rPr>
                <w:rFonts w:ascii="Aptos" w:hAnsi="Aptos"/>
                <w:b w:val="0"/>
                <w:color w:val="111827"/>
                <w:sz w:val="13"/>
              </w:rPr>
              <w:t>15.8%</w:t>
            </w:r>
          </w:p>
        </w:tc>
        <w:tc>
          <w:tcPr>
            <w:tcW w:type="dxa" w:w="792"/>
            <w:vAlign w:val="center"/>
          </w:tcPr>
          <w:p>
            <w:pPr>
              <w:spacing w:after="0" w:before="0" w:line="240" w:lineRule="auto"/>
            </w:pPr>
            <w:r/>
            <w:r>
              <w:rPr>
                <w:rFonts w:ascii="Aptos" w:hAnsi="Aptos"/>
                <w:b w:val="0"/>
                <w:color w:val="111827"/>
                <w:sz w:val="13"/>
              </w:rPr>
              <w:t>17.1%</w:t>
            </w:r>
          </w:p>
        </w:tc>
        <w:tc>
          <w:tcPr>
            <w:tcW w:type="dxa" w:w="792"/>
            <w:vAlign w:val="center"/>
          </w:tcPr>
          <w:p>
            <w:pPr>
              <w:spacing w:after="0" w:before="0" w:line="240" w:lineRule="auto"/>
            </w:pPr>
            <w:r/>
            <w:r>
              <w:rPr>
                <w:rFonts w:ascii="Aptos" w:hAnsi="Aptos"/>
                <w:b w:val="0"/>
                <w:color w:val="111827"/>
                <w:sz w:val="13"/>
              </w:rPr>
              <w:t>17.1%</w:t>
            </w:r>
          </w:p>
        </w:tc>
        <w:tc>
          <w:tcPr>
            <w:tcW w:type="dxa" w:w="720"/>
            <w:vAlign w:val="center"/>
          </w:tcPr>
          <w:p>
            <w:pPr>
              <w:spacing w:after="0" w:before="0" w:line="240" w:lineRule="auto"/>
            </w:pPr>
            <w:r/>
            <w:r>
              <w:rPr>
                <w:rFonts w:ascii="Aptos" w:hAnsi="Aptos"/>
                <w:b w:val="0"/>
                <w:color w:val="111827"/>
                <w:sz w:val="13"/>
              </w:rPr>
              <w:t>18.4%</w:t>
            </w:r>
          </w:p>
        </w:tc>
        <w:tc>
          <w:tcPr>
            <w:tcW w:type="dxa" w:w="720"/>
            <w:vAlign w:val="center"/>
          </w:tcPr>
          <w:p>
            <w:pPr>
              <w:spacing w:after="0" w:before="0" w:line="240" w:lineRule="auto"/>
            </w:pPr>
            <w:r/>
            <w:r>
              <w:rPr>
                <w:rFonts w:ascii="Aptos" w:hAnsi="Aptos"/>
                <w:b w:val="0"/>
                <w:color w:val="111827"/>
                <w:sz w:val="13"/>
              </w:rPr>
              <w:t>19.6%</w:t>
            </w:r>
          </w:p>
        </w:tc>
        <w:tc>
          <w:tcPr>
            <w:tcW w:type="dxa" w:w="792"/>
            <w:vAlign w:val="center"/>
          </w:tcPr>
          <w:p>
            <w:pPr>
              <w:spacing w:after="0" w:before="0" w:line="240" w:lineRule="auto"/>
            </w:pPr>
            <w:r/>
            <w:r>
              <w:rPr>
                <w:rFonts w:ascii="Aptos" w:hAnsi="Aptos"/>
                <w:b w:val="0"/>
                <w:color w:val="111827"/>
                <w:sz w:val="13"/>
              </w:rPr>
              <w:t>5.1%</w:t>
            </w:r>
          </w:p>
        </w:tc>
      </w:tr>
      <w:tr>
        <w:tc>
          <w:tcPr>
            <w:tcW w:type="dxa" w:w="3168"/>
            <w:vAlign w:val="center"/>
            <w:shd w:fill="F5F7FA"/>
          </w:tcPr>
          <w:p>
            <w:pPr>
              <w:spacing w:after="0" w:before="0" w:line="240" w:lineRule="auto"/>
            </w:pPr>
            <w:r/>
            <w:r>
              <w:rPr>
                <w:rFonts w:ascii="Aptos" w:hAnsi="Aptos"/>
                <w:b/>
                <w:color w:val="111827"/>
                <w:sz w:val="13"/>
              </w:rPr>
              <w:t>Delivered cost % stated retail</w:t>
            </w:r>
          </w:p>
        </w:tc>
        <w:tc>
          <w:tcPr>
            <w:tcW w:type="dxa" w:w="432"/>
            <w:vAlign w:val="center"/>
            <w:shd w:fill="F5F7FA"/>
          </w:tcPr>
          <w:p>
            <w:pPr>
              <w:spacing w:after="0" w:before="0" w:line="240" w:lineRule="auto"/>
            </w:pPr>
            <w:r/>
            <w:r>
              <w:rPr>
                <w:rFonts w:ascii="Aptos" w:hAnsi="Aptos"/>
                <w:b w:val="0"/>
                <w:color w:val="111827"/>
                <w:sz w:val="13"/>
              </w:rPr>
              <w:t>2</w:t>
            </w:r>
          </w:p>
        </w:tc>
        <w:tc>
          <w:tcPr>
            <w:tcW w:type="dxa" w:w="720"/>
            <w:vAlign w:val="center"/>
            <w:shd w:fill="F5F7FA"/>
          </w:tcPr>
          <w:p>
            <w:pPr>
              <w:spacing w:after="0" w:before="0" w:line="240" w:lineRule="auto"/>
            </w:pPr>
            <w:r/>
            <w:r>
              <w:rPr>
                <w:rFonts w:ascii="Aptos" w:hAnsi="Aptos"/>
                <w:b w:val="0"/>
                <w:color w:val="111827"/>
                <w:sz w:val="13"/>
              </w:rPr>
              <w:t>26.7%</w:t>
            </w:r>
          </w:p>
        </w:tc>
        <w:tc>
          <w:tcPr>
            <w:tcW w:type="dxa" w:w="720"/>
            <w:vAlign w:val="center"/>
            <w:shd w:fill="F5F7FA"/>
          </w:tcPr>
          <w:p>
            <w:pPr>
              <w:spacing w:after="0" w:before="0" w:line="240" w:lineRule="auto"/>
            </w:pPr>
            <w:r/>
            <w:r>
              <w:rPr>
                <w:rFonts w:ascii="Aptos" w:hAnsi="Aptos"/>
                <w:b w:val="0"/>
                <w:color w:val="111827"/>
                <w:sz w:val="13"/>
              </w:rPr>
              <w:t>32.4%</w:t>
            </w:r>
          </w:p>
        </w:tc>
        <w:tc>
          <w:tcPr>
            <w:tcW w:type="dxa" w:w="792"/>
            <w:vAlign w:val="center"/>
            <w:shd w:fill="F5F7FA"/>
          </w:tcPr>
          <w:p>
            <w:pPr>
              <w:spacing w:after="0" w:before="0" w:line="240" w:lineRule="auto"/>
            </w:pPr>
            <w:r/>
            <w:r>
              <w:rPr>
                <w:rFonts w:ascii="Aptos" w:hAnsi="Aptos"/>
                <w:b w:val="0"/>
                <w:color w:val="111827"/>
                <w:sz w:val="13"/>
              </w:rPr>
              <w:t>38.1%</w:t>
            </w:r>
          </w:p>
        </w:tc>
        <w:tc>
          <w:tcPr>
            <w:tcW w:type="dxa" w:w="792"/>
            <w:vAlign w:val="center"/>
            <w:shd w:fill="F5F7FA"/>
          </w:tcPr>
          <w:p>
            <w:pPr>
              <w:spacing w:after="0" w:before="0" w:line="240" w:lineRule="auto"/>
            </w:pPr>
            <w:r/>
            <w:r>
              <w:rPr>
                <w:rFonts w:ascii="Aptos" w:hAnsi="Aptos"/>
                <w:b w:val="0"/>
                <w:color w:val="111827"/>
                <w:sz w:val="13"/>
              </w:rPr>
              <w:t>38.1%</w:t>
            </w:r>
          </w:p>
        </w:tc>
        <w:tc>
          <w:tcPr>
            <w:tcW w:type="dxa" w:w="720"/>
            <w:vAlign w:val="center"/>
            <w:shd w:fill="F5F7FA"/>
          </w:tcPr>
          <w:p>
            <w:pPr>
              <w:spacing w:after="0" w:before="0" w:line="240" w:lineRule="auto"/>
            </w:pPr>
            <w:r/>
            <w:r>
              <w:rPr>
                <w:rFonts w:ascii="Aptos" w:hAnsi="Aptos"/>
                <w:b w:val="0"/>
                <w:color w:val="111827"/>
                <w:sz w:val="13"/>
              </w:rPr>
              <w:t>43.7%</w:t>
            </w:r>
          </w:p>
        </w:tc>
        <w:tc>
          <w:tcPr>
            <w:tcW w:type="dxa" w:w="720"/>
            <w:vAlign w:val="center"/>
            <w:shd w:fill="F5F7FA"/>
          </w:tcPr>
          <w:p>
            <w:pPr>
              <w:spacing w:after="0" w:before="0" w:line="240" w:lineRule="auto"/>
            </w:pPr>
            <w:r/>
            <w:r>
              <w:rPr>
                <w:rFonts w:ascii="Aptos" w:hAnsi="Aptos"/>
                <w:b w:val="0"/>
                <w:color w:val="111827"/>
                <w:sz w:val="13"/>
              </w:rPr>
              <w:t>49.4%</w:t>
            </w:r>
          </w:p>
        </w:tc>
        <w:tc>
          <w:tcPr>
            <w:tcW w:type="dxa" w:w="792"/>
            <w:vAlign w:val="center"/>
            <w:shd w:fill="F5F7FA"/>
          </w:tcPr>
          <w:p>
            <w:pPr>
              <w:spacing w:after="0" w:before="0" w:line="240" w:lineRule="auto"/>
            </w:pPr>
            <w:r/>
            <w:r>
              <w:rPr>
                <w:rFonts w:ascii="Aptos" w:hAnsi="Aptos"/>
                <w:b w:val="0"/>
                <w:color w:val="111827"/>
                <w:sz w:val="13"/>
              </w:rPr>
              <w:t>22.7%</w:t>
            </w:r>
          </w:p>
        </w:tc>
      </w:tr>
      <w:tr>
        <w:tc>
          <w:tcPr>
            <w:tcW w:type="dxa" w:w="3168"/>
            <w:vAlign w:val="center"/>
          </w:tcPr>
          <w:p>
            <w:pPr>
              <w:spacing w:after="0" w:before="0" w:line="240" w:lineRule="auto"/>
            </w:pPr>
            <w:r/>
            <w:r>
              <w:rPr>
                <w:rFonts w:ascii="Aptos" w:hAnsi="Aptos"/>
                <w:b/>
                <w:color w:val="111827"/>
                <w:sz w:val="13"/>
              </w:rPr>
              <w:t>Auction bid % adjusted current retail</w:t>
            </w:r>
          </w:p>
        </w:tc>
        <w:tc>
          <w:tcPr>
            <w:tcW w:type="dxa" w:w="432"/>
            <w:vAlign w:val="center"/>
          </w:tcPr>
          <w:p>
            <w:pPr>
              <w:spacing w:after="0" w:before="0" w:line="240" w:lineRule="auto"/>
            </w:pPr>
            <w:r/>
            <w:r>
              <w:rPr>
                <w:rFonts w:ascii="Aptos" w:hAnsi="Aptos"/>
                <w:b w:val="0"/>
                <w:color w:val="111827"/>
                <w:sz w:val="13"/>
              </w:rPr>
              <w:t>2</w:t>
            </w:r>
          </w:p>
        </w:tc>
        <w:tc>
          <w:tcPr>
            <w:tcW w:type="dxa" w:w="720"/>
            <w:vAlign w:val="center"/>
          </w:tcPr>
          <w:p>
            <w:pPr>
              <w:spacing w:after="0" w:before="0" w:line="240" w:lineRule="auto"/>
            </w:pPr>
            <w:r/>
            <w:r>
              <w:rPr>
                <w:rFonts w:ascii="Aptos" w:hAnsi="Aptos"/>
                <w:b w:val="0"/>
                <w:color w:val="111827"/>
                <w:sz w:val="13"/>
              </w:rPr>
              <w:t>18.2%</w:t>
            </w:r>
          </w:p>
        </w:tc>
        <w:tc>
          <w:tcPr>
            <w:tcW w:type="dxa" w:w="720"/>
            <w:vAlign w:val="center"/>
          </w:tcPr>
          <w:p>
            <w:pPr>
              <w:spacing w:after="0" w:before="0" w:line="240" w:lineRule="auto"/>
            </w:pPr>
            <w:r/>
            <w:r>
              <w:rPr>
                <w:rFonts w:ascii="Aptos" w:hAnsi="Aptos"/>
                <w:b w:val="0"/>
                <w:color w:val="111827"/>
                <w:sz w:val="13"/>
              </w:rPr>
              <w:t>19.8%</w:t>
            </w:r>
          </w:p>
        </w:tc>
        <w:tc>
          <w:tcPr>
            <w:tcW w:type="dxa" w:w="792"/>
            <w:vAlign w:val="center"/>
          </w:tcPr>
          <w:p>
            <w:pPr>
              <w:spacing w:after="0" w:before="0" w:line="240" w:lineRule="auto"/>
            </w:pPr>
            <w:r/>
            <w:r>
              <w:rPr>
                <w:rFonts w:ascii="Aptos" w:hAnsi="Aptos"/>
                <w:b w:val="0"/>
                <w:color w:val="111827"/>
                <w:sz w:val="13"/>
              </w:rPr>
              <w:t>21.4%</w:t>
            </w:r>
          </w:p>
        </w:tc>
        <w:tc>
          <w:tcPr>
            <w:tcW w:type="dxa" w:w="792"/>
            <w:vAlign w:val="center"/>
          </w:tcPr>
          <w:p>
            <w:pPr>
              <w:spacing w:after="0" w:before="0" w:line="240" w:lineRule="auto"/>
            </w:pPr>
            <w:r/>
            <w:r>
              <w:rPr>
                <w:rFonts w:ascii="Aptos" w:hAnsi="Aptos"/>
                <w:b w:val="0"/>
                <w:color w:val="111827"/>
                <w:sz w:val="13"/>
              </w:rPr>
              <w:t>21.4%</w:t>
            </w:r>
          </w:p>
        </w:tc>
        <w:tc>
          <w:tcPr>
            <w:tcW w:type="dxa" w:w="720"/>
            <w:vAlign w:val="center"/>
          </w:tcPr>
          <w:p>
            <w:pPr>
              <w:spacing w:after="0" w:before="0" w:line="240" w:lineRule="auto"/>
            </w:pPr>
            <w:r/>
            <w:r>
              <w:rPr>
                <w:rFonts w:ascii="Aptos" w:hAnsi="Aptos"/>
                <w:b w:val="0"/>
                <w:color w:val="111827"/>
                <w:sz w:val="13"/>
              </w:rPr>
              <w:t>22.9%</w:t>
            </w:r>
          </w:p>
        </w:tc>
        <w:tc>
          <w:tcPr>
            <w:tcW w:type="dxa" w:w="720"/>
            <w:vAlign w:val="center"/>
          </w:tcPr>
          <w:p>
            <w:pPr>
              <w:spacing w:after="0" w:before="0" w:line="240" w:lineRule="auto"/>
            </w:pPr>
            <w:r/>
            <w:r>
              <w:rPr>
                <w:rFonts w:ascii="Aptos" w:hAnsi="Aptos"/>
                <w:b w:val="0"/>
                <w:color w:val="111827"/>
                <w:sz w:val="13"/>
              </w:rPr>
              <w:t>24.5%</w:t>
            </w:r>
          </w:p>
        </w:tc>
        <w:tc>
          <w:tcPr>
            <w:tcW w:type="dxa" w:w="792"/>
            <w:vAlign w:val="center"/>
          </w:tcPr>
          <w:p>
            <w:pPr>
              <w:spacing w:after="0" w:before="0" w:line="240" w:lineRule="auto"/>
            </w:pPr>
            <w:r/>
            <w:r>
              <w:rPr>
                <w:rFonts w:ascii="Aptos" w:hAnsi="Aptos"/>
                <w:b w:val="0"/>
                <w:color w:val="111827"/>
                <w:sz w:val="13"/>
              </w:rPr>
              <w:t>6.3%</w:t>
            </w:r>
          </w:p>
        </w:tc>
      </w:tr>
      <w:tr>
        <w:tc>
          <w:tcPr>
            <w:tcW w:type="dxa" w:w="3168"/>
            <w:vAlign w:val="center"/>
            <w:shd w:fill="F5F7FA"/>
          </w:tcPr>
          <w:p>
            <w:pPr>
              <w:spacing w:after="0" w:before="0" w:line="240" w:lineRule="auto"/>
            </w:pPr>
            <w:r/>
            <w:r>
              <w:rPr>
                <w:rFonts w:ascii="Aptos" w:hAnsi="Aptos"/>
                <w:b/>
                <w:color w:val="111827"/>
                <w:sz w:val="13"/>
              </w:rPr>
              <w:t>Delivered cost % adjusted current retail</w:t>
            </w:r>
          </w:p>
        </w:tc>
        <w:tc>
          <w:tcPr>
            <w:tcW w:type="dxa" w:w="432"/>
            <w:vAlign w:val="center"/>
            <w:shd w:fill="F5F7FA"/>
          </w:tcPr>
          <w:p>
            <w:pPr>
              <w:spacing w:after="0" w:before="0" w:line="240" w:lineRule="auto"/>
            </w:pPr>
            <w:r/>
            <w:r>
              <w:rPr>
                <w:rFonts w:ascii="Aptos" w:hAnsi="Aptos"/>
                <w:b w:val="0"/>
                <w:color w:val="111827"/>
                <w:sz w:val="13"/>
              </w:rPr>
              <w:t>2</w:t>
            </w:r>
          </w:p>
        </w:tc>
        <w:tc>
          <w:tcPr>
            <w:tcW w:type="dxa" w:w="720"/>
            <w:vAlign w:val="center"/>
            <w:shd w:fill="F5F7FA"/>
          </w:tcPr>
          <w:p>
            <w:pPr>
              <w:spacing w:after="0" w:before="0" w:line="240" w:lineRule="auto"/>
            </w:pPr>
            <w:r/>
            <w:r>
              <w:rPr>
                <w:rFonts w:ascii="Aptos" w:hAnsi="Aptos"/>
                <w:b w:val="0"/>
                <w:color w:val="111827"/>
                <w:sz w:val="13"/>
              </w:rPr>
              <w:t>33.4%</w:t>
            </w:r>
          </w:p>
        </w:tc>
        <w:tc>
          <w:tcPr>
            <w:tcW w:type="dxa" w:w="720"/>
            <w:vAlign w:val="center"/>
            <w:shd w:fill="F5F7FA"/>
          </w:tcPr>
          <w:p>
            <w:pPr>
              <w:spacing w:after="0" w:before="0" w:line="240" w:lineRule="auto"/>
            </w:pPr>
            <w:r/>
            <w:r>
              <w:rPr>
                <w:rFonts w:ascii="Aptos" w:hAnsi="Aptos"/>
                <w:b w:val="0"/>
                <w:color w:val="111827"/>
                <w:sz w:val="13"/>
              </w:rPr>
              <w:t>40.5%</w:t>
            </w:r>
          </w:p>
        </w:tc>
        <w:tc>
          <w:tcPr>
            <w:tcW w:type="dxa" w:w="792"/>
            <w:vAlign w:val="center"/>
            <w:shd w:fill="F5F7FA"/>
          </w:tcPr>
          <w:p>
            <w:pPr>
              <w:spacing w:after="0" w:before="0" w:line="240" w:lineRule="auto"/>
            </w:pPr>
            <w:r/>
            <w:r>
              <w:rPr>
                <w:rFonts w:ascii="Aptos" w:hAnsi="Aptos"/>
                <w:b w:val="0"/>
                <w:color w:val="111827"/>
                <w:sz w:val="13"/>
              </w:rPr>
              <w:t>47.6%</w:t>
            </w:r>
          </w:p>
        </w:tc>
        <w:tc>
          <w:tcPr>
            <w:tcW w:type="dxa" w:w="792"/>
            <w:vAlign w:val="center"/>
            <w:shd w:fill="F5F7FA"/>
          </w:tcPr>
          <w:p>
            <w:pPr>
              <w:spacing w:after="0" w:before="0" w:line="240" w:lineRule="auto"/>
            </w:pPr>
            <w:r/>
            <w:r>
              <w:rPr>
                <w:rFonts w:ascii="Aptos" w:hAnsi="Aptos"/>
                <w:b w:val="0"/>
                <w:color w:val="111827"/>
                <w:sz w:val="13"/>
              </w:rPr>
              <w:t>47.6%</w:t>
            </w:r>
          </w:p>
        </w:tc>
        <w:tc>
          <w:tcPr>
            <w:tcW w:type="dxa" w:w="720"/>
            <w:vAlign w:val="center"/>
            <w:shd w:fill="F5F7FA"/>
          </w:tcPr>
          <w:p>
            <w:pPr>
              <w:spacing w:after="0" w:before="0" w:line="240" w:lineRule="auto"/>
            </w:pPr>
            <w:r/>
            <w:r>
              <w:rPr>
                <w:rFonts w:ascii="Aptos" w:hAnsi="Aptos"/>
                <w:b w:val="0"/>
                <w:color w:val="111827"/>
                <w:sz w:val="13"/>
              </w:rPr>
              <w:t>54.6%</w:t>
            </w:r>
          </w:p>
        </w:tc>
        <w:tc>
          <w:tcPr>
            <w:tcW w:type="dxa" w:w="720"/>
            <w:vAlign w:val="center"/>
            <w:shd w:fill="F5F7FA"/>
          </w:tcPr>
          <w:p>
            <w:pPr>
              <w:spacing w:after="0" w:before="0" w:line="240" w:lineRule="auto"/>
            </w:pPr>
            <w:r/>
            <w:r>
              <w:rPr>
                <w:rFonts w:ascii="Aptos" w:hAnsi="Aptos"/>
                <w:b w:val="0"/>
                <w:color w:val="111827"/>
                <w:sz w:val="13"/>
              </w:rPr>
              <w:t>61.7%</w:t>
            </w:r>
          </w:p>
        </w:tc>
        <w:tc>
          <w:tcPr>
            <w:tcW w:type="dxa" w:w="792"/>
            <w:vAlign w:val="center"/>
            <w:shd w:fill="F5F7FA"/>
          </w:tcPr>
          <w:p>
            <w:pPr>
              <w:spacing w:after="0" w:before="0" w:line="240" w:lineRule="auto"/>
            </w:pPr>
            <w:r/>
            <w:r>
              <w:rPr>
                <w:rFonts w:ascii="Aptos" w:hAnsi="Aptos"/>
                <w:b w:val="0"/>
                <w:color w:val="111827"/>
                <w:sz w:val="13"/>
              </w:rPr>
              <w:t>28.3%</w:t>
            </w:r>
          </w:p>
        </w:tc>
      </w:tr>
      <w:tr>
        <w:tc>
          <w:tcPr>
            <w:tcW w:type="dxa" w:w="3168"/>
            <w:vAlign w:val="center"/>
          </w:tcPr>
          <w:p>
            <w:pPr>
              <w:spacing w:after="0" w:before="0" w:line="240" w:lineRule="auto"/>
            </w:pPr>
            <w:r/>
            <w:r>
              <w:rPr>
                <w:rFonts w:ascii="Aptos" w:hAnsi="Aptos"/>
                <w:b/>
                <w:color w:val="111827"/>
                <w:sz w:val="13"/>
              </w:rPr>
              <w:t>Retailer recovery after fees % stated retail</w:t>
            </w:r>
          </w:p>
        </w:tc>
        <w:tc>
          <w:tcPr>
            <w:tcW w:type="dxa" w:w="432"/>
            <w:vAlign w:val="center"/>
          </w:tcPr>
          <w:p>
            <w:pPr>
              <w:spacing w:after="0" w:before="0" w:line="240" w:lineRule="auto"/>
            </w:pPr>
            <w:r/>
            <w:r>
              <w:rPr>
                <w:rFonts w:ascii="Aptos" w:hAnsi="Aptos"/>
                <w:b w:val="0"/>
                <w:color w:val="111827"/>
                <w:sz w:val="13"/>
              </w:rPr>
              <w:t>2</w:t>
            </w:r>
          </w:p>
        </w:tc>
        <w:tc>
          <w:tcPr>
            <w:tcW w:type="dxa" w:w="720"/>
            <w:vAlign w:val="center"/>
          </w:tcPr>
          <w:p>
            <w:pPr>
              <w:spacing w:after="0" w:before="0" w:line="240" w:lineRule="auto"/>
            </w:pPr>
            <w:r/>
            <w:r>
              <w:rPr>
                <w:rFonts w:ascii="Aptos" w:hAnsi="Aptos"/>
                <w:b w:val="0"/>
                <w:color w:val="111827"/>
                <w:sz w:val="13"/>
              </w:rPr>
              <w:t>10.5%</w:t>
            </w:r>
          </w:p>
        </w:tc>
        <w:tc>
          <w:tcPr>
            <w:tcW w:type="dxa" w:w="720"/>
            <w:vAlign w:val="center"/>
          </w:tcPr>
          <w:p>
            <w:pPr>
              <w:spacing w:after="0" w:before="0" w:line="240" w:lineRule="auto"/>
            </w:pPr>
            <w:r/>
            <w:r>
              <w:rPr>
                <w:rFonts w:ascii="Aptos" w:hAnsi="Aptos"/>
                <w:b w:val="0"/>
                <w:color w:val="111827"/>
                <w:sz w:val="13"/>
              </w:rPr>
              <w:t>10.8%</w:t>
            </w:r>
          </w:p>
        </w:tc>
        <w:tc>
          <w:tcPr>
            <w:tcW w:type="dxa" w:w="792"/>
            <w:vAlign w:val="center"/>
          </w:tcPr>
          <w:p>
            <w:pPr>
              <w:spacing w:after="0" w:before="0" w:line="240" w:lineRule="auto"/>
            </w:pPr>
            <w:r/>
            <w:r>
              <w:rPr>
                <w:rFonts w:ascii="Aptos" w:hAnsi="Aptos"/>
                <w:b w:val="0"/>
                <w:color w:val="111827"/>
                <w:sz w:val="13"/>
              </w:rPr>
              <w:t>11.2%</w:t>
            </w:r>
          </w:p>
        </w:tc>
        <w:tc>
          <w:tcPr>
            <w:tcW w:type="dxa" w:w="792"/>
            <w:vAlign w:val="center"/>
          </w:tcPr>
          <w:p>
            <w:pPr>
              <w:spacing w:after="0" w:before="0" w:line="240" w:lineRule="auto"/>
            </w:pPr>
            <w:r/>
            <w:r>
              <w:rPr>
                <w:rFonts w:ascii="Aptos" w:hAnsi="Aptos"/>
                <w:b w:val="0"/>
                <w:color w:val="111827"/>
                <w:sz w:val="13"/>
              </w:rPr>
              <w:t>11.2%</w:t>
            </w:r>
          </w:p>
        </w:tc>
        <w:tc>
          <w:tcPr>
            <w:tcW w:type="dxa" w:w="720"/>
            <w:vAlign w:val="center"/>
          </w:tcPr>
          <w:p>
            <w:pPr>
              <w:spacing w:after="0" w:before="0" w:line="240" w:lineRule="auto"/>
            </w:pPr>
            <w:r/>
            <w:r>
              <w:rPr>
                <w:rFonts w:ascii="Aptos" w:hAnsi="Aptos"/>
                <w:b w:val="0"/>
                <w:color w:val="111827"/>
                <w:sz w:val="13"/>
              </w:rPr>
              <w:t>11.5%</w:t>
            </w:r>
          </w:p>
        </w:tc>
        <w:tc>
          <w:tcPr>
            <w:tcW w:type="dxa" w:w="720"/>
            <w:vAlign w:val="center"/>
          </w:tcPr>
          <w:p>
            <w:pPr>
              <w:spacing w:after="0" w:before="0" w:line="240" w:lineRule="auto"/>
            </w:pPr>
            <w:r/>
            <w:r>
              <w:rPr>
                <w:rFonts w:ascii="Aptos" w:hAnsi="Aptos"/>
                <w:b w:val="0"/>
                <w:color w:val="111827"/>
                <w:sz w:val="13"/>
              </w:rPr>
              <w:t>11.8%</w:t>
            </w:r>
          </w:p>
        </w:tc>
        <w:tc>
          <w:tcPr>
            <w:tcW w:type="dxa" w:w="792"/>
            <w:vAlign w:val="center"/>
          </w:tcPr>
          <w:p>
            <w:pPr>
              <w:spacing w:after="0" w:before="0" w:line="240" w:lineRule="auto"/>
            </w:pPr>
            <w:r/>
            <w:r>
              <w:rPr>
                <w:rFonts w:ascii="Aptos" w:hAnsi="Aptos"/>
                <w:b w:val="0"/>
                <w:color w:val="111827"/>
                <w:sz w:val="13"/>
              </w:rPr>
              <w:t>1.4%</w:t>
            </w:r>
          </w:p>
        </w:tc>
      </w:tr>
      <w:tr>
        <w:tc>
          <w:tcPr>
            <w:tcW w:type="dxa" w:w="3168"/>
            <w:vAlign w:val="center"/>
            <w:shd w:fill="F5F7FA"/>
          </w:tcPr>
          <w:p>
            <w:pPr>
              <w:spacing w:after="0" w:before="0" w:line="240" w:lineRule="auto"/>
            </w:pPr>
            <w:r/>
            <w:r>
              <w:rPr>
                <w:rFonts w:ascii="Aptos" w:hAnsi="Aptos"/>
                <w:b/>
                <w:color w:val="111827"/>
                <w:sz w:val="13"/>
              </w:rPr>
              <w:t>Reseller break-even % stated retail</w:t>
            </w:r>
          </w:p>
        </w:tc>
        <w:tc>
          <w:tcPr>
            <w:tcW w:type="dxa" w:w="432"/>
            <w:vAlign w:val="center"/>
            <w:shd w:fill="F5F7FA"/>
          </w:tcPr>
          <w:p>
            <w:pPr>
              <w:spacing w:after="0" w:before="0" w:line="240" w:lineRule="auto"/>
            </w:pPr>
            <w:r/>
            <w:r>
              <w:rPr>
                <w:rFonts w:ascii="Aptos" w:hAnsi="Aptos"/>
                <w:b w:val="0"/>
                <w:color w:val="111827"/>
                <w:sz w:val="13"/>
              </w:rPr>
              <w:t>2</w:t>
            </w:r>
          </w:p>
        </w:tc>
        <w:tc>
          <w:tcPr>
            <w:tcW w:type="dxa" w:w="720"/>
            <w:vAlign w:val="center"/>
            <w:shd w:fill="F5F7FA"/>
          </w:tcPr>
          <w:p>
            <w:pPr>
              <w:spacing w:after="0" w:before="0" w:line="240" w:lineRule="auto"/>
            </w:pPr>
            <w:r/>
            <w:r>
              <w:rPr>
                <w:rFonts w:ascii="Aptos" w:hAnsi="Aptos"/>
                <w:b w:val="0"/>
                <w:color w:val="111827"/>
                <w:sz w:val="13"/>
              </w:rPr>
              <w:t>63.7%</w:t>
            </w:r>
          </w:p>
        </w:tc>
        <w:tc>
          <w:tcPr>
            <w:tcW w:type="dxa" w:w="720"/>
            <w:vAlign w:val="center"/>
            <w:shd w:fill="F5F7FA"/>
          </w:tcPr>
          <w:p>
            <w:pPr>
              <w:spacing w:after="0" w:before="0" w:line="240" w:lineRule="auto"/>
            </w:pPr>
            <w:r/>
            <w:r>
              <w:rPr>
                <w:rFonts w:ascii="Aptos" w:hAnsi="Aptos"/>
                <w:b w:val="0"/>
                <w:color w:val="111827"/>
                <w:sz w:val="13"/>
              </w:rPr>
              <w:t>72.2%</w:t>
            </w:r>
          </w:p>
        </w:tc>
        <w:tc>
          <w:tcPr>
            <w:tcW w:type="dxa" w:w="792"/>
            <w:vAlign w:val="center"/>
            <w:shd w:fill="F5F7FA"/>
          </w:tcPr>
          <w:p>
            <w:pPr>
              <w:spacing w:after="0" w:before="0" w:line="240" w:lineRule="auto"/>
            </w:pPr>
            <w:r/>
            <w:r>
              <w:rPr>
                <w:rFonts w:ascii="Aptos" w:hAnsi="Aptos"/>
                <w:b w:val="0"/>
                <w:color w:val="111827"/>
                <w:sz w:val="13"/>
              </w:rPr>
              <w:t>80.8%</w:t>
            </w:r>
          </w:p>
        </w:tc>
        <w:tc>
          <w:tcPr>
            <w:tcW w:type="dxa" w:w="792"/>
            <w:vAlign w:val="center"/>
            <w:shd w:fill="F5F7FA"/>
          </w:tcPr>
          <w:p>
            <w:pPr>
              <w:spacing w:after="0" w:before="0" w:line="240" w:lineRule="auto"/>
            </w:pPr>
            <w:r/>
            <w:r>
              <w:rPr>
                <w:rFonts w:ascii="Aptos" w:hAnsi="Aptos"/>
                <w:b w:val="0"/>
                <w:color w:val="111827"/>
                <w:sz w:val="13"/>
              </w:rPr>
              <w:t>80.8%</w:t>
            </w:r>
          </w:p>
        </w:tc>
        <w:tc>
          <w:tcPr>
            <w:tcW w:type="dxa" w:w="720"/>
            <w:vAlign w:val="center"/>
            <w:shd w:fill="F5F7FA"/>
          </w:tcPr>
          <w:p>
            <w:pPr>
              <w:spacing w:after="0" w:before="0" w:line="240" w:lineRule="auto"/>
            </w:pPr>
            <w:r/>
            <w:r>
              <w:rPr>
                <w:rFonts w:ascii="Aptos" w:hAnsi="Aptos"/>
                <w:b w:val="0"/>
                <w:color w:val="111827"/>
                <w:sz w:val="13"/>
              </w:rPr>
              <w:t>89.3%</w:t>
            </w:r>
          </w:p>
        </w:tc>
        <w:tc>
          <w:tcPr>
            <w:tcW w:type="dxa" w:w="720"/>
            <w:vAlign w:val="center"/>
            <w:shd w:fill="F5F7FA"/>
          </w:tcPr>
          <w:p>
            <w:pPr>
              <w:spacing w:after="0" w:before="0" w:line="240" w:lineRule="auto"/>
            </w:pPr>
            <w:r/>
            <w:r>
              <w:rPr>
                <w:rFonts w:ascii="Aptos" w:hAnsi="Aptos"/>
                <w:b w:val="0"/>
                <w:color w:val="111827"/>
                <w:sz w:val="13"/>
              </w:rPr>
              <w:t>97.9%</w:t>
            </w:r>
          </w:p>
        </w:tc>
        <w:tc>
          <w:tcPr>
            <w:tcW w:type="dxa" w:w="792"/>
            <w:vAlign w:val="center"/>
            <w:shd w:fill="F5F7FA"/>
          </w:tcPr>
          <w:p>
            <w:pPr>
              <w:spacing w:after="0" w:before="0" w:line="240" w:lineRule="auto"/>
            </w:pPr>
            <w:r/>
            <w:r>
              <w:rPr>
                <w:rFonts w:ascii="Aptos" w:hAnsi="Aptos"/>
                <w:b w:val="0"/>
                <w:color w:val="111827"/>
                <w:sz w:val="13"/>
              </w:rPr>
              <w:t>34.2%</w:t>
            </w:r>
          </w:p>
        </w:tc>
      </w:tr>
    </w:tbl>
    <w:p>
      <w:pPr>
        <w:spacing w:after="0"/>
      </w:pPr>
    </w:p>
    <w:p>
      <w:pPr>
        <w:pStyle w:val="Caption"/>
        <w:jc w:val="left"/>
      </w:pPr>
      <w:r>
        <w:rPr>
          <w:b/>
        </w:rPr>
        <w:t>Table 8. Distribution and dispersion</w:t>
      </w:r>
      <w:r>
        <w:rPr>
          <w:i/>
          <w:color w:val="6B7280"/>
        </w:rPr>
        <w:t xml:space="preserve">  Source: n=2; quartiles are interpolated and should not be read as stable distribution estimates.</w:t>
      </w:r>
    </w:p>
    <w:tbl>
      <w:tblPr>
        <w:tblStyle w:val="TableGrid"/>
        <w:tblW w:type="auto" w:w="0"/>
        <w:jc w:val="center"/>
        <w:tblLayout w:type="fixed"/>
        <w:tblLook w:firstColumn="1" w:firstRow="1" w:lastColumn="0" w:lastRow="0" w:noHBand="0" w:noVBand="1" w:val="04A0"/>
      </w:tblPr>
      <w:tblGrid>
        <w:gridCol w:w="1656"/>
        <w:gridCol w:w="1656"/>
        <w:gridCol w:w="1656"/>
        <w:gridCol w:w="1656"/>
        <w:gridCol w:w="1656"/>
        <w:gridCol w:w="1656"/>
      </w:tblGrid>
      <w:tr>
        <w:trPr>
          <w:tblHeader w:val="true"/>
        </w:trPr>
        <w:tc>
          <w:tcPr>
            <w:tcW w:type="dxa" w:w="2016"/>
            <w:vAlign w:val="center"/>
            <w:shd w:fill="17324D"/>
            <w:tcBorders>
              <w:bottom w:val="single" w:sz="8" w:color="FFFFFF"/>
            </w:tcBorders>
          </w:tcPr>
          <w:p>
            <w:pPr>
              <w:spacing w:after="0" w:before="0" w:line="240" w:lineRule="auto"/>
              <w:jc w:val="left"/>
            </w:pPr>
            <w:r/>
            <w:r>
              <w:rPr>
                <w:rFonts w:ascii="Aptos" w:hAnsi="Aptos"/>
                <w:b/>
                <w:color w:val="FFFFFF"/>
                <w:sz w:val="14"/>
              </w:rPr>
              <w:t>Benchmark</w:t>
            </w:r>
          </w:p>
        </w:tc>
        <w:tc>
          <w:tcPr>
            <w:tcW w:type="dxa" w:w="2304"/>
            <w:vAlign w:val="center"/>
            <w:shd w:fill="17324D"/>
            <w:tcBorders>
              <w:bottom w:val="single" w:sz="8" w:color="FFFFFF"/>
            </w:tcBorders>
          </w:tcPr>
          <w:p>
            <w:pPr>
              <w:spacing w:after="0" w:before="0" w:line="240" w:lineRule="auto"/>
              <w:jc w:val="left"/>
            </w:pPr>
            <w:r/>
            <w:r>
              <w:rPr>
                <w:rFonts w:ascii="Aptos" w:hAnsi="Aptos"/>
                <w:b/>
                <w:color w:val="FFFFFF"/>
                <w:sz w:val="14"/>
              </w:rPr>
              <w:t>Sample/status</w:t>
            </w:r>
          </w:p>
        </w:tc>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4"/>
              </w:rPr>
              <w:t>Recovery measure</w:t>
            </w:r>
          </w:p>
        </w:tc>
        <w:tc>
          <w:tcPr>
            <w:tcW w:type="dxa" w:w="1296"/>
            <w:vAlign w:val="center"/>
            <w:shd w:fill="17324D"/>
            <w:tcBorders>
              <w:bottom w:val="single" w:sz="8" w:color="FFFFFF"/>
            </w:tcBorders>
          </w:tcPr>
          <w:p>
            <w:pPr>
              <w:spacing w:after="0" w:before="0" w:line="240" w:lineRule="auto"/>
              <w:jc w:val="left"/>
            </w:pPr>
            <w:r/>
            <w:r>
              <w:rPr>
                <w:rFonts w:ascii="Aptos" w:hAnsi="Aptos"/>
                <w:b/>
                <w:color w:val="FFFFFF"/>
                <w:sz w:val="14"/>
              </w:rPr>
              <w:t>Denominator</w:t>
            </w:r>
          </w:p>
        </w:tc>
        <w:tc>
          <w:tcPr>
            <w:tcW w:type="dxa" w:w="2160"/>
            <w:vAlign w:val="center"/>
            <w:shd w:fill="17324D"/>
            <w:tcBorders>
              <w:bottom w:val="single" w:sz="8" w:color="FFFFFF"/>
            </w:tcBorders>
          </w:tcPr>
          <w:p>
            <w:pPr>
              <w:spacing w:after="0" w:before="0" w:line="240" w:lineRule="auto"/>
              <w:jc w:val="left"/>
            </w:pPr>
            <w:r/>
            <w:r>
              <w:rPr>
                <w:rFonts w:ascii="Aptos" w:hAnsi="Aptos"/>
                <w:b/>
                <w:color w:val="FFFFFF"/>
                <w:sz w:val="14"/>
              </w:rPr>
              <w:t>Generalizability</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4"/>
              </w:rPr>
              <w:t>Sources</w:t>
            </w:r>
          </w:p>
        </w:tc>
      </w:tr>
      <w:tr>
        <w:tc>
          <w:tcPr>
            <w:tcW w:type="dxa" w:w="2016"/>
            <w:vAlign w:val="center"/>
          </w:tcPr>
          <w:p>
            <w:pPr>
              <w:spacing w:after="0" w:before="0" w:line="240" w:lineRule="auto"/>
            </w:pPr>
            <w:r/>
            <w:r>
              <w:rPr>
                <w:rFonts w:ascii="Aptos" w:hAnsi="Aptos"/>
                <w:b/>
                <w:color w:val="111827"/>
                <w:sz w:val="14"/>
              </w:rPr>
              <w:t>Apparel field study - private label</w:t>
            </w:r>
          </w:p>
        </w:tc>
        <w:tc>
          <w:tcPr>
            <w:tcW w:type="dxa" w:w="2304"/>
            <w:vAlign w:val="center"/>
          </w:tcPr>
          <w:p>
            <w:pPr>
              <w:spacing w:after="0" w:before="0" w:line="240" w:lineRule="auto"/>
            </w:pPr>
            <w:r/>
            <w:r>
              <w:rPr>
                <w:rFonts w:ascii="Aptos" w:hAnsi="Aptos"/>
                <w:b w:val="0"/>
                <w:color w:val="111827"/>
                <w:sz w:val="14"/>
              </w:rPr>
              <w:t>11,879 completed auctions across study; segment result</w:t>
            </w:r>
          </w:p>
        </w:tc>
        <w:tc>
          <w:tcPr>
            <w:tcW w:type="dxa" w:w="1584"/>
            <w:vAlign w:val="center"/>
          </w:tcPr>
          <w:p>
            <w:pPr>
              <w:spacing w:after="0" w:before="0" w:line="240" w:lineRule="auto"/>
            </w:pPr>
            <w:r/>
            <w:r>
              <w:rPr>
                <w:rFonts w:ascii="Aptos" w:hAnsi="Aptos"/>
                <w:b w:val="0"/>
                <w:color w:val="111827"/>
                <w:sz w:val="14"/>
              </w:rPr>
              <w:t>13.11% of retail</w:t>
            </w:r>
          </w:p>
        </w:tc>
        <w:tc>
          <w:tcPr>
            <w:tcW w:type="dxa" w:w="1296"/>
            <w:vAlign w:val="center"/>
          </w:tcPr>
          <w:p>
            <w:pPr>
              <w:spacing w:after="0" w:before="0" w:line="240" w:lineRule="auto"/>
            </w:pPr>
            <w:r/>
            <w:r>
              <w:rPr>
                <w:rFonts w:ascii="Aptos" w:hAnsi="Aptos"/>
                <w:b w:val="0"/>
                <w:color w:val="111827"/>
                <w:sz w:val="14"/>
              </w:rPr>
              <w:t>Original retail</w:t>
            </w:r>
          </w:p>
        </w:tc>
        <w:tc>
          <w:tcPr>
            <w:tcW w:type="dxa" w:w="2160"/>
            <w:vAlign w:val="center"/>
          </w:tcPr>
          <w:p>
            <w:pPr>
              <w:spacing w:after="0" w:before="0" w:line="240" w:lineRule="auto"/>
            </w:pPr>
            <w:r/>
            <w:r>
              <w:rPr>
                <w:rFonts w:ascii="Aptos" w:hAnsi="Aptos"/>
                <w:b w:val="0"/>
                <w:color w:val="111827"/>
                <w:sz w:val="14"/>
              </w:rPr>
              <w:t>Apparel/end-of-life only</w:t>
            </w:r>
          </w:p>
        </w:tc>
        <w:tc>
          <w:tcPr>
            <w:tcW w:type="dxa" w:w="720"/>
            <w:vAlign w:val="center"/>
          </w:tcPr>
          <w:p>
            <w:pPr>
              <w:spacing w:after="0" w:before="0" w:line="240" w:lineRule="auto"/>
            </w:pPr>
            <w:r/>
            <w:r>
              <w:rPr>
                <w:rFonts w:ascii="Aptos" w:hAnsi="Aptos"/>
                <w:b w:val="0"/>
                <w:color w:val="111827"/>
                <w:sz w:val="14"/>
              </w:rPr>
              <w:t>S32</w:t>
            </w:r>
          </w:p>
        </w:tc>
      </w:tr>
      <w:tr>
        <w:tc>
          <w:tcPr>
            <w:tcW w:type="dxa" w:w="2016"/>
            <w:vAlign w:val="center"/>
            <w:shd w:fill="F5F7FA"/>
          </w:tcPr>
          <w:p>
            <w:pPr>
              <w:spacing w:after="0" w:before="0" w:line="240" w:lineRule="auto"/>
            </w:pPr>
            <w:r/>
            <w:r>
              <w:rPr>
                <w:rFonts w:ascii="Aptos" w:hAnsi="Aptos"/>
                <w:b/>
                <w:color w:val="111827"/>
                <w:sz w:val="14"/>
              </w:rPr>
              <w:t>Apparel field study - national brands</w:t>
            </w:r>
          </w:p>
        </w:tc>
        <w:tc>
          <w:tcPr>
            <w:tcW w:type="dxa" w:w="2304"/>
            <w:vAlign w:val="center"/>
            <w:shd w:fill="F5F7FA"/>
          </w:tcPr>
          <w:p>
            <w:pPr>
              <w:spacing w:after="0" w:before="0" w:line="240" w:lineRule="auto"/>
            </w:pPr>
            <w:r/>
            <w:r>
              <w:rPr>
                <w:rFonts w:ascii="Aptos" w:hAnsi="Aptos"/>
                <w:b w:val="0"/>
                <w:color w:val="111827"/>
                <w:sz w:val="14"/>
              </w:rPr>
              <w:t>11,879 completed auctions across study; segment result</w:t>
            </w:r>
          </w:p>
        </w:tc>
        <w:tc>
          <w:tcPr>
            <w:tcW w:type="dxa" w:w="1584"/>
            <w:vAlign w:val="center"/>
            <w:shd w:fill="F5F7FA"/>
          </w:tcPr>
          <w:p>
            <w:pPr>
              <w:spacing w:after="0" w:before="0" w:line="240" w:lineRule="auto"/>
            </w:pPr>
            <w:r/>
            <w:r>
              <w:rPr>
                <w:rFonts w:ascii="Aptos" w:hAnsi="Aptos"/>
                <w:b w:val="0"/>
                <w:color w:val="111827"/>
                <w:sz w:val="14"/>
              </w:rPr>
              <w:t>16.339% of retail</w:t>
            </w:r>
          </w:p>
        </w:tc>
        <w:tc>
          <w:tcPr>
            <w:tcW w:type="dxa" w:w="1296"/>
            <w:vAlign w:val="center"/>
            <w:shd w:fill="F5F7FA"/>
          </w:tcPr>
          <w:p>
            <w:pPr>
              <w:spacing w:after="0" w:before="0" w:line="240" w:lineRule="auto"/>
            </w:pPr>
            <w:r/>
            <w:r>
              <w:rPr>
                <w:rFonts w:ascii="Aptos" w:hAnsi="Aptos"/>
                <w:b w:val="0"/>
                <w:color w:val="111827"/>
                <w:sz w:val="14"/>
              </w:rPr>
              <w:t>Original retail</w:t>
            </w:r>
          </w:p>
        </w:tc>
        <w:tc>
          <w:tcPr>
            <w:tcW w:type="dxa" w:w="2160"/>
            <w:vAlign w:val="center"/>
            <w:shd w:fill="F5F7FA"/>
          </w:tcPr>
          <w:p>
            <w:pPr>
              <w:spacing w:after="0" w:before="0" w:line="240" w:lineRule="auto"/>
            </w:pPr>
            <w:r/>
            <w:r>
              <w:rPr>
                <w:rFonts w:ascii="Aptos" w:hAnsi="Aptos"/>
                <w:b w:val="0"/>
                <w:color w:val="111827"/>
                <w:sz w:val="14"/>
              </w:rPr>
              <w:t>Apparel/end-of-life only</w:t>
            </w:r>
          </w:p>
        </w:tc>
        <w:tc>
          <w:tcPr>
            <w:tcW w:type="dxa" w:w="720"/>
            <w:vAlign w:val="center"/>
            <w:shd w:fill="F5F7FA"/>
          </w:tcPr>
          <w:p>
            <w:pPr>
              <w:spacing w:after="0" w:before="0" w:line="240" w:lineRule="auto"/>
            </w:pPr>
            <w:r/>
            <w:r>
              <w:rPr>
                <w:rFonts w:ascii="Aptos" w:hAnsi="Aptos"/>
                <w:b w:val="0"/>
                <w:color w:val="111827"/>
                <w:sz w:val="14"/>
              </w:rPr>
              <w:t>S32</w:t>
            </w:r>
          </w:p>
        </w:tc>
      </w:tr>
      <w:tr>
        <w:tc>
          <w:tcPr>
            <w:tcW w:type="dxa" w:w="2016"/>
            <w:vAlign w:val="center"/>
          </w:tcPr>
          <w:p>
            <w:pPr>
              <w:spacing w:after="0" w:before="0" w:line="240" w:lineRule="auto"/>
            </w:pPr>
            <w:r/>
            <w:r>
              <w:rPr>
                <w:rFonts w:ascii="Aptos" w:hAnsi="Aptos"/>
                <w:b/>
                <w:color w:val="111827"/>
                <w:sz w:val="14"/>
              </w:rPr>
              <w:t>Amazon FBA Liquidations typical range</w:t>
            </w:r>
          </w:p>
        </w:tc>
        <w:tc>
          <w:tcPr>
            <w:tcW w:type="dxa" w:w="2304"/>
            <w:vAlign w:val="center"/>
          </w:tcPr>
          <w:p>
            <w:pPr>
              <w:spacing w:after="0" w:before="0" w:line="240" w:lineRule="auto"/>
            </w:pPr>
            <w:r/>
            <w:r>
              <w:rPr>
                <w:rFonts w:ascii="Aptos" w:hAnsi="Aptos"/>
                <w:b w:val="0"/>
                <w:color w:val="111827"/>
                <w:sz w:val="14"/>
              </w:rPr>
              <w:t>Program guidance, not auction sample</w:t>
            </w:r>
          </w:p>
        </w:tc>
        <w:tc>
          <w:tcPr>
            <w:tcW w:type="dxa" w:w="1584"/>
            <w:vAlign w:val="center"/>
          </w:tcPr>
          <w:p>
            <w:pPr>
              <w:spacing w:after="0" w:before="0" w:line="240" w:lineRule="auto"/>
            </w:pPr>
            <w:r/>
            <w:r>
              <w:rPr>
                <w:rFonts w:ascii="Aptos" w:hAnsi="Aptos"/>
                <w:b w:val="0"/>
                <w:color w:val="111827"/>
                <w:sz w:val="14"/>
              </w:rPr>
              <w:t>5%-10% of average selling price</w:t>
            </w:r>
          </w:p>
        </w:tc>
        <w:tc>
          <w:tcPr>
            <w:tcW w:type="dxa" w:w="1296"/>
            <w:vAlign w:val="center"/>
          </w:tcPr>
          <w:p>
            <w:pPr>
              <w:spacing w:after="0" w:before="0" w:line="240" w:lineRule="auto"/>
            </w:pPr>
            <w:r/>
            <w:r>
              <w:rPr>
                <w:rFonts w:ascii="Aptos" w:hAnsi="Aptos"/>
                <w:b w:val="0"/>
                <w:color w:val="111827"/>
                <w:sz w:val="14"/>
              </w:rPr>
              <w:t>Average selling price</w:t>
            </w:r>
          </w:p>
        </w:tc>
        <w:tc>
          <w:tcPr>
            <w:tcW w:type="dxa" w:w="2160"/>
            <w:vAlign w:val="center"/>
          </w:tcPr>
          <w:p>
            <w:pPr>
              <w:spacing w:after="0" w:before="0" w:line="240" w:lineRule="auto"/>
            </w:pPr>
            <w:r/>
            <w:r>
              <w:rPr>
                <w:rFonts w:ascii="Aptos" w:hAnsi="Aptos"/>
                <w:b w:val="0"/>
                <w:color w:val="111827"/>
                <w:sz w:val="14"/>
              </w:rPr>
              <w:t>FBA Liquidations only</w:t>
            </w:r>
          </w:p>
        </w:tc>
        <w:tc>
          <w:tcPr>
            <w:tcW w:type="dxa" w:w="720"/>
            <w:vAlign w:val="center"/>
          </w:tcPr>
          <w:p>
            <w:pPr>
              <w:spacing w:after="0" w:before="0" w:line="240" w:lineRule="auto"/>
            </w:pPr>
            <w:r/>
            <w:r>
              <w:rPr>
                <w:rFonts w:ascii="Aptos" w:hAnsi="Aptos"/>
                <w:b w:val="0"/>
                <w:color w:val="111827"/>
                <w:sz w:val="14"/>
              </w:rPr>
              <w:t>S35</w:t>
            </w:r>
          </w:p>
        </w:tc>
      </w:tr>
      <w:tr>
        <w:tc>
          <w:tcPr>
            <w:tcW w:type="dxa" w:w="2016"/>
            <w:vAlign w:val="center"/>
            <w:shd w:fill="F5F7FA"/>
          </w:tcPr>
          <w:p>
            <w:pPr>
              <w:spacing w:after="0" w:before="0" w:line="240" w:lineRule="auto"/>
            </w:pPr>
            <w:r/>
            <w:r>
              <w:rPr>
                <w:rFonts w:ascii="Aptos" w:hAnsi="Aptos"/>
                <w:b/>
                <w:color w:val="111827"/>
                <w:sz w:val="14"/>
              </w:rPr>
              <w:t>AuctionMethod mixed customer-return range</w:t>
            </w:r>
          </w:p>
        </w:tc>
        <w:tc>
          <w:tcPr>
            <w:tcW w:type="dxa" w:w="2304"/>
            <w:vAlign w:val="center"/>
            <w:shd w:fill="F5F7FA"/>
          </w:tcPr>
          <w:p>
            <w:pPr>
              <w:spacing w:after="0" w:before="0" w:line="240" w:lineRule="auto"/>
            </w:pPr>
            <w:r/>
            <w:r>
              <w:rPr>
                <w:rFonts w:ascii="Aptos" w:hAnsi="Aptos"/>
                <w:b w:val="0"/>
                <w:color w:val="111827"/>
                <w:sz w:val="14"/>
              </w:rPr>
              <w:t>Industry review</w:t>
            </w:r>
          </w:p>
        </w:tc>
        <w:tc>
          <w:tcPr>
            <w:tcW w:type="dxa" w:w="1584"/>
            <w:vAlign w:val="center"/>
            <w:shd w:fill="F5F7FA"/>
          </w:tcPr>
          <w:p>
            <w:pPr>
              <w:spacing w:after="0" w:before="0" w:line="240" w:lineRule="auto"/>
            </w:pPr>
            <w:r/>
            <w:r>
              <w:rPr>
                <w:rFonts w:ascii="Aptos" w:hAnsi="Aptos"/>
                <w:b w:val="0"/>
                <w:color w:val="111827"/>
                <w:sz w:val="14"/>
              </w:rPr>
              <w:t>10%-30% of MSRP</w:t>
            </w:r>
          </w:p>
        </w:tc>
        <w:tc>
          <w:tcPr>
            <w:tcW w:type="dxa" w:w="1296"/>
            <w:vAlign w:val="center"/>
            <w:shd w:fill="F5F7FA"/>
          </w:tcPr>
          <w:p>
            <w:pPr>
              <w:spacing w:after="0" w:before="0" w:line="240" w:lineRule="auto"/>
            </w:pPr>
            <w:r/>
            <w:r>
              <w:rPr>
                <w:rFonts w:ascii="Aptos" w:hAnsi="Aptos"/>
                <w:b w:val="0"/>
                <w:color w:val="111827"/>
                <w:sz w:val="14"/>
              </w:rPr>
              <w:t>MSRP</w:t>
            </w:r>
          </w:p>
        </w:tc>
        <w:tc>
          <w:tcPr>
            <w:tcW w:type="dxa" w:w="2160"/>
            <w:vAlign w:val="center"/>
            <w:shd w:fill="F5F7FA"/>
          </w:tcPr>
          <w:p>
            <w:pPr>
              <w:spacing w:after="0" w:before="0" w:line="240" w:lineRule="auto"/>
            </w:pPr>
            <w:r/>
            <w:r>
              <w:rPr>
                <w:rFonts w:ascii="Aptos" w:hAnsi="Aptos"/>
                <w:b w:val="0"/>
                <w:color w:val="111827"/>
                <w:sz w:val="14"/>
              </w:rPr>
              <w:t>Secondary source; mixed conditions</w:t>
            </w:r>
          </w:p>
        </w:tc>
        <w:tc>
          <w:tcPr>
            <w:tcW w:type="dxa" w:w="720"/>
            <w:vAlign w:val="center"/>
            <w:shd w:fill="F5F7FA"/>
          </w:tcPr>
          <w:p>
            <w:pPr>
              <w:spacing w:after="0" w:before="0" w:line="240" w:lineRule="auto"/>
            </w:pPr>
            <w:r/>
            <w:r>
              <w:rPr>
                <w:rFonts w:ascii="Aptos" w:hAnsi="Aptos"/>
                <w:b w:val="0"/>
                <w:color w:val="111827"/>
                <w:sz w:val="14"/>
              </w:rPr>
              <w:t>S42</w:t>
            </w:r>
          </w:p>
        </w:tc>
      </w:tr>
      <w:tr>
        <w:tc>
          <w:tcPr>
            <w:tcW w:type="dxa" w:w="2016"/>
            <w:vAlign w:val="center"/>
          </w:tcPr>
          <w:p>
            <w:pPr>
              <w:spacing w:after="0" w:before="0" w:line="240" w:lineRule="auto"/>
            </w:pPr>
            <w:r/>
            <w:r>
              <w:rPr>
                <w:rFonts w:ascii="Aptos" w:hAnsi="Aptos"/>
                <w:b/>
                <w:color w:val="111827"/>
                <w:sz w:val="14"/>
              </w:rPr>
              <w:t>Observed microwave lot</w:t>
            </w:r>
          </w:p>
        </w:tc>
        <w:tc>
          <w:tcPr>
            <w:tcW w:type="dxa" w:w="2304"/>
            <w:vAlign w:val="center"/>
          </w:tcPr>
          <w:p>
            <w:pPr>
              <w:spacing w:after="0" w:before="0" w:line="240" w:lineRule="auto"/>
            </w:pPr>
            <w:r/>
            <w:r>
              <w:rPr>
                <w:rFonts w:ascii="Aptos" w:hAnsi="Aptos"/>
                <w:b w:val="0"/>
                <w:color w:val="111827"/>
                <w:sz w:val="14"/>
              </w:rPr>
              <w:t>1 completed public lot</w:t>
            </w:r>
          </w:p>
        </w:tc>
        <w:tc>
          <w:tcPr>
            <w:tcW w:type="dxa" w:w="1584"/>
            <w:vAlign w:val="center"/>
          </w:tcPr>
          <w:p>
            <w:pPr>
              <w:spacing w:after="0" w:before="0" w:line="240" w:lineRule="auto"/>
            </w:pPr>
            <w:r/>
            <w:r>
              <w:rPr>
                <w:rFonts w:ascii="Aptos" w:hAnsi="Aptos"/>
                <w:b w:val="0"/>
                <w:color w:val="111827"/>
                <w:sz w:val="14"/>
              </w:rPr>
              <w:t>14.6% bid / stated retail</w:t>
            </w:r>
          </w:p>
        </w:tc>
        <w:tc>
          <w:tcPr>
            <w:tcW w:type="dxa" w:w="1296"/>
            <w:vAlign w:val="center"/>
          </w:tcPr>
          <w:p>
            <w:pPr>
              <w:spacing w:after="0" w:before="0" w:line="240" w:lineRule="auto"/>
            </w:pPr>
            <w:r/>
            <w:r>
              <w:rPr>
                <w:rFonts w:ascii="Aptos" w:hAnsi="Aptos"/>
                <w:b w:val="0"/>
                <w:color w:val="111827"/>
                <w:sz w:val="14"/>
              </w:rPr>
              <w:t>Stated retail</w:t>
            </w:r>
          </w:p>
        </w:tc>
        <w:tc>
          <w:tcPr>
            <w:tcW w:type="dxa" w:w="2160"/>
            <w:vAlign w:val="center"/>
          </w:tcPr>
          <w:p>
            <w:pPr>
              <w:spacing w:after="0" w:before="0" w:line="240" w:lineRule="auto"/>
            </w:pPr>
            <w:r/>
            <w:r>
              <w:rPr>
                <w:rFonts w:ascii="Aptos" w:hAnsi="Aptos"/>
                <w:b w:val="0"/>
                <w:color w:val="111827"/>
                <w:sz w:val="14"/>
              </w:rPr>
              <w:t>Single lot</w:t>
            </w:r>
          </w:p>
        </w:tc>
        <w:tc>
          <w:tcPr>
            <w:tcW w:type="dxa" w:w="720"/>
            <w:vAlign w:val="center"/>
          </w:tcPr>
          <w:p>
            <w:pPr>
              <w:spacing w:after="0" w:before="0" w:line="240" w:lineRule="auto"/>
            </w:pPr>
            <w:r/>
            <w:r>
              <w:rPr>
                <w:rFonts w:ascii="Aptos" w:hAnsi="Aptos"/>
                <w:b w:val="0"/>
                <w:color w:val="111827"/>
                <w:sz w:val="14"/>
              </w:rPr>
              <w:t>S37</w:t>
            </w:r>
          </w:p>
        </w:tc>
      </w:tr>
      <w:tr>
        <w:tc>
          <w:tcPr>
            <w:tcW w:type="dxa" w:w="2016"/>
            <w:vAlign w:val="center"/>
            <w:shd w:fill="F5F7FA"/>
          </w:tcPr>
          <w:p>
            <w:pPr>
              <w:spacing w:after="0" w:before="0" w:line="240" w:lineRule="auto"/>
            </w:pPr>
            <w:r/>
            <w:r>
              <w:rPr>
                <w:rFonts w:ascii="Aptos" w:hAnsi="Aptos"/>
                <w:b/>
                <w:color w:val="111827"/>
                <w:sz w:val="14"/>
              </w:rPr>
              <w:t>Observed eBike lot</w:t>
            </w:r>
          </w:p>
        </w:tc>
        <w:tc>
          <w:tcPr>
            <w:tcW w:type="dxa" w:w="2304"/>
            <w:vAlign w:val="center"/>
            <w:shd w:fill="F5F7FA"/>
          </w:tcPr>
          <w:p>
            <w:pPr>
              <w:spacing w:after="0" w:before="0" w:line="240" w:lineRule="auto"/>
            </w:pPr>
            <w:r/>
            <w:r>
              <w:rPr>
                <w:rFonts w:ascii="Aptos" w:hAnsi="Aptos"/>
                <w:b w:val="0"/>
                <w:color w:val="111827"/>
                <w:sz w:val="14"/>
              </w:rPr>
              <w:t>1 completed public lot</w:t>
            </w:r>
          </w:p>
        </w:tc>
        <w:tc>
          <w:tcPr>
            <w:tcW w:type="dxa" w:w="1584"/>
            <w:vAlign w:val="center"/>
            <w:shd w:fill="F5F7FA"/>
          </w:tcPr>
          <w:p>
            <w:pPr>
              <w:spacing w:after="0" w:before="0" w:line="240" w:lineRule="auto"/>
            </w:pPr>
            <w:r/>
            <w:r>
              <w:rPr>
                <w:rFonts w:ascii="Aptos" w:hAnsi="Aptos"/>
                <w:b w:val="0"/>
                <w:color w:val="111827"/>
                <w:sz w:val="14"/>
              </w:rPr>
              <w:t>19.6% bid / stated retail</w:t>
            </w:r>
          </w:p>
        </w:tc>
        <w:tc>
          <w:tcPr>
            <w:tcW w:type="dxa" w:w="1296"/>
            <w:vAlign w:val="center"/>
            <w:shd w:fill="F5F7FA"/>
          </w:tcPr>
          <w:p>
            <w:pPr>
              <w:spacing w:after="0" w:before="0" w:line="240" w:lineRule="auto"/>
            </w:pPr>
            <w:r/>
            <w:r>
              <w:rPr>
                <w:rFonts w:ascii="Aptos" w:hAnsi="Aptos"/>
                <w:b w:val="0"/>
                <w:color w:val="111827"/>
                <w:sz w:val="14"/>
              </w:rPr>
              <w:t>Stated retail</w:t>
            </w:r>
          </w:p>
        </w:tc>
        <w:tc>
          <w:tcPr>
            <w:tcW w:type="dxa" w:w="2160"/>
            <w:vAlign w:val="center"/>
            <w:shd w:fill="F5F7FA"/>
          </w:tcPr>
          <w:p>
            <w:pPr>
              <w:spacing w:after="0" w:before="0" w:line="240" w:lineRule="auto"/>
            </w:pPr>
            <w:r/>
            <w:r>
              <w:rPr>
                <w:rFonts w:ascii="Aptos" w:hAnsi="Aptos"/>
                <w:b w:val="0"/>
                <w:color w:val="111827"/>
                <w:sz w:val="14"/>
              </w:rPr>
              <w:t>Single lot</w:t>
            </w:r>
          </w:p>
        </w:tc>
        <w:tc>
          <w:tcPr>
            <w:tcW w:type="dxa" w:w="720"/>
            <w:vAlign w:val="center"/>
            <w:shd w:fill="F5F7FA"/>
          </w:tcPr>
          <w:p>
            <w:pPr>
              <w:spacing w:after="0" w:before="0" w:line="240" w:lineRule="auto"/>
            </w:pPr>
            <w:r/>
            <w:r>
              <w:rPr>
                <w:rFonts w:ascii="Aptos" w:hAnsi="Aptos"/>
                <w:b w:val="0"/>
                <w:color w:val="111827"/>
                <w:sz w:val="14"/>
              </w:rPr>
              <w:t>S36</w:t>
            </w:r>
          </w:p>
        </w:tc>
      </w:tr>
    </w:tbl>
    <w:p>
      <w:pPr>
        <w:spacing w:after="0"/>
      </w:pPr>
    </w:p>
    <w:p>
      <w:pPr>
        <w:pStyle w:val="Caption"/>
        <w:jc w:val="left"/>
      </w:pPr>
      <w:r>
        <w:rPr>
          <w:b/>
        </w:rPr>
        <w:t>Table 9. Auction and liquidation benchmarks</w:t>
      </w:r>
      <w:r>
        <w:rPr>
          <w:i/>
          <w:color w:val="6B7280"/>
        </w:rPr>
        <w:t xml:space="preserve">  Source: S32; S35-S37; S42</w:t>
      </w:r>
    </w:p>
    <w:p>
      <w:pPr>
        <w:sectPr>
          <w:pgSz w:w="12240" w:h="15840"/>
          <w:pgMar w:top="1008" w:right="1152" w:bottom="1008" w:left="1152" w:header="720" w:footer="720" w:gutter="0"/>
          <w:cols w:space="720"/>
          <w:docGrid w:linePitch="360"/>
        </w:sectPr>
      </w:pPr>
    </w:p>
    <w:p>
      <w:pPr>
        <w:pStyle w:val="Heading1"/>
      </w:pPr>
      <w:r>
        <w:t>Category and operating-model comparison</w:t>
      </w:r>
    </w:p>
    <w:p>
      <w:pPr>
        <w:pStyle w:val="Heading2"/>
      </w:pPr>
      <w:r>
        <w:t>Exhibit 8. Category comparison</w:t>
      </w:r>
    </w:p>
    <w:tbl>
      <w:tblPr>
        <w:tblStyle w:val="TableGrid"/>
        <w:tblW w:type="auto" w:w="0"/>
        <w:jc w:val="center"/>
        <w:tblLayout w:type="fixed"/>
        <w:tblLook w:firstColumn="1" w:firstRow="1" w:lastColumn="0" w:lastRow="0" w:noHBand="0" w:noVBand="1" w:val="04A0"/>
      </w:tblPr>
      <w:tblGrid>
        <w:gridCol w:w="1097"/>
        <w:gridCol w:w="1097"/>
        <w:gridCol w:w="1097"/>
        <w:gridCol w:w="1097"/>
        <w:gridCol w:w="1097"/>
        <w:gridCol w:w="1097"/>
        <w:gridCol w:w="1097"/>
        <w:gridCol w:w="1097"/>
        <w:gridCol w:w="1097"/>
        <w:gridCol w:w="1097"/>
        <w:gridCol w:w="1097"/>
        <w:gridCol w:w="1097"/>
        <w:gridCol w:w="1097"/>
      </w:tblGrid>
      <w:tr>
        <w:trPr>
          <w:tblHeader w:val="true"/>
        </w:trPr>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1"/>
              </w:rPr>
              <w:t>Category</w:t>
            </w:r>
          </w:p>
        </w:tc>
        <w:tc>
          <w:tcPr>
            <w:tcW w:type="dxa" w:w="1800"/>
            <w:vAlign w:val="center"/>
            <w:shd w:fill="17324D"/>
            <w:tcBorders>
              <w:bottom w:val="single" w:sz="8" w:color="FFFFFF"/>
            </w:tcBorders>
          </w:tcPr>
          <w:p>
            <w:pPr>
              <w:spacing w:after="0" w:before="0" w:line="240" w:lineRule="auto"/>
              <w:jc w:val="left"/>
            </w:pPr>
            <w:r/>
            <w:r>
              <w:rPr>
                <w:rFonts w:ascii="Aptos" w:hAnsi="Aptos"/>
                <w:b/>
                <w:color w:val="FFFFFF"/>
                <w:sz w:val="11"/>
              </w:rPr>
              <w:t>Return drivers</w:t>
            </w:r>
          </w:p>
        </w:tc>
        <w:tc>
          <w:tcPr>
            <w:tcW w:type="dxa" w:w="2016"/>
            <w:vAlign w:val="center"/>
            <w:shd w:fill="17324D"/>
            <w:tcBorders>
              <w:bottom w:val="single" w:sz="8" w:color="FFFFFF"/>
            </w:tcBorders>
          </w:tcPr>
          <w:p>
            <w:pPr>
              <w:spacing w:after="0" w:before="0" w:line="240" w:lineRule="auto"/>
              <w:jc w:val="left"/>
            </w:pPr>
            <w:r/>
            <w:r>
              <w:rPr>
                <w:rFonts w:ascii="Aptos" w:hAnsi="Aptos"/>
                <w:b/>
                <w:color w:val="FFFFFF"/>
                <w:sz w:val="11"/>
              </w:rPr>
              <w:t>Return-rate evidence</w:t>
            </w:r>
          </w:p>
        </w:tc>
        <w:tc>
          <w:tcPr>
            <w:tcW w:type="dxa" w:w="1080"/>
            <w:vAlign w:val="center"/>
            <w:shd w:fill="17324D"/>
            <w:tcBorders>
              <w:bottom w:val="single" w:sz="8" w:color="FFFFFF"/>
            </w:tcBorders>
          </w:tcPr>
          <w:p>
            <w:pPr>
              <w:spacing w:after="0" w:before="0" w:line="240" w:lineRule="auto"/>
              <w:jc w:val="left"/>
            </w:pPr>
            <w:r/>
            <w:r>
              <w:rPr>
                <w:rFonts w:ascii="Aptos" w:hAnsi="Aptos"/>
                <w:b/>
                <w:color w:val="FFFFFF"/>
                <w:sz w:val="11"/>
              </w:rPr>
              <w:t>Value density</w:t>
            </w:r>
          </w:p>
        </w:tc>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1"/>
              </w:rPr>
              <w:t>Inspection</w:t>
            </w:r>
          </w:p>
        </w:tc>
        <w:tc>
          <w:tcPr>
            <w:tcW w:type="dxa" w:w="1224"/>
            <w:vAlign w:val="center"/>
            <w:shd w:fill="17324D"/>
            <w:tcBorders>
              <w:bottom w:val="single" w:sz="8" w:color="FFFFFF"/>
            </w:tcBorders>
          </w:tcPr>
          <w:p>
            <w:pPr>
              <w:spacing w:after="0" w:before="0" w:line="240" w:lineRule="auto"/>
              <w:jc w:val="left"/>
            </w:pPr>
            <w:r/>
            <w:r>
              <w:rPr>
                <w:rFonts w:ascii="Aptos" w:hAnsi="Aptos"/>
                <w:b/>
                <w:color w:val="FFFFFF"/>
                <w:sz w:val="11"/>
              </w:rPr>
              <w:t>Safety</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1"/>
              </w:rPr>
              <w:t>Fraud</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1"/>
              </w:rPr>
              <w:t>Depreciation</w:t>
            </w:r>
          </w:p>
        </w:tc>
        <w:tc>
          <w:tcPr>
            <w:tcW w:type="dxa" w:w="1440"/>
            <w:vAlign w:val="center"/>
            <w:shd w:fill="17324D"/>
            <w:tcBorders>
              <w:bottom w:val="single" w:sz="8" w:color="FFFFFF"/>
            </w:tcBorders>
          </w:tcPr>
          <w:p>
            <w:pPr>
              <w:spacing w:after="0" w:before="0" w:line="240" w:lineRule="auto"/>
              <w:jc w:val="left"/>
            </w:pPr>
            <w:r/>
            <w:r>
              <w:rPr>
                <w:rFonts w:ascii="Aptos" w:hAnsi="Aptos"/>
                <w:b/>
                <w:color w:val="FFFFFF"/>
                <w:sz w:val="11"/>
              </w:rPr>
              <w:t>Common disposition</w:t>
            </w:r>
          </w:p>
        </w:tc>
        <w:tc>
          <w:tcPr>
            <w:tcW w:type="dxa" w:w="864"/>
            <w:vAlign w:val="center"/>
            <w:shd w:fill="17324D"/>
            <w:tcBorders>
              <w:bottom w:val="single" w:sz="8" w:color="FFFFFF"/>
            </w:tcBorders>
          </w:tcPr>
          <w:p>
            <w:pPr>
              <w:spacing w:after="0" w:before="0" w:line="240" w:lineRule="auto"/>
              <w:jc w:val="left"/>
            </w:pPr>
            <w:r/>
            <w:r>
              <w:rPr>
                <w:rFonts w:ascii="Aptos" w:hAnsi="Aptos"/>
                <w:b/>
                <w:color w:val="FFFFFF"/>
                <w:sz w:val="11"/>
              </w:rPr>
              <w:t>Gross recovery</w:t>
            </w:r>
          </w:p>
        </w:tc>
        <w:tc>
          <w:tcPr>
            <w:tcW w:type="dxa" w:w="864"/>
            <w:vAlign w:val="center"/>
            <w:shd w:fill="17324D"/>
            <w:tcBorders>
              <w:bottom w:val="single" w:sz="8" w:color="FFFFFF"/>
            </w:tcBorders>
          </w:tcPr>
          <w:p>
            <w:pPr>
              <w:spacing w:after="0" w:before="0" w:line="240" w:lineRule="auto"/>
              <w:jc w:val="left"/>
            </w:pPr>
            <w:r/>
            <w:r>
              <w:rPr>
                <w:rFonts w:ascii="Aptos" w:hAnsi="Aptos"/>
                <w:b/>
                <w:color w:val="FFFFFF"/>
                <w:sz w:val="11"/>
              </w:rPr>
              <w:t>Net recovery</w:t>
            </w:r>
          </w:p>
        </w:tc>
        <w:tc>
          <w:tcPr>
            <w:tcW w:type="dxa" w:w="1296"/>
            <w:vAlign w:val="center"/>
            <w:shd w:fill="17324D"/>
            <w:tcBorders>
              <w:bottom w:val="single" w:sz="8" w:color="FFFFFF"/>
            </w:tcBorders>
          </w:tcPr>
          <w:p>
            <w:pPr>
              <w:spacing w:after="0" w:before="0" w:line="240" w:lineRule="auto"/>
              <w:jc w:val="left"/>
            </w:pPr>
            <w:r/>
            <w:r>
              <w:rPr>
                <w:rFonts w:ascii="Aptos" w:hAnsi="Aptos"/>
                <w:b/>
                <w:color w:val="FFFFFF"/>
                <w:sz w:val="11"/>
              </w:rPr>
              <w:t>Returnless</w:t>
            </w:r>
          </w:p>
        </w:tc>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1"/>
              </w:rPr>
              <w:t>Major uncertainty</w:t>
            </w:r>
          </w:p>
        </w:tc>
      </w:tr>
      <w:tr>
        <w:tc>
          <w:tcPr>
            <w:tcW w:type="dxa" w:w="1152"/>
            <w:vAlign w:val="center"/>
          </w:tcPr>
          <w:p>
            <w:pPr>
              <w:spacing w:after="0" w:before="0" w:line="240" w:lineRule="auto"/>
            </w:pPr>
            <w:r/>
            <w:r>
              <w:rPr>
                <w:rFonts w:ascii="Aptos" w:hAnsi="Aptos"/>
                <w:b/>
                <w:color w:val="111827"/>
                <w:sz w:val="11"/>
              </w:rPr>
              <w:t>Clothing and footwear</w:t>
            </w:r>
          </w:p>
        </w:tc>
        <w:tc>
          <w:tcPr>
            <w:tcW w:type="dxa" w:w="1800"/>
            <w:vAlign w:val="center"/>
          </w:tcPr>
          <w:p>
            <w:pPr>
              <w:spacing w:after="0" w:before="0" w:line="240" w:lineRule="auto"/>
            </w:pPr>
            <w:r/>
            <w:r>
              <w:rPr>
                <w:rFonts w:ascii="Aptos" w:hAnsi="Aptos"/>
                <w:b w:val="0"/>
                <w:color w:val="111827"/>
                <w:sz w:val="11"/>
              </w:rPr>
              <w:t>Fit, size, style, seasonality, wardrobing, missing tags or accessories</w:t>
            </w:r>
          </w:p>
        </w:tc>
        <w:tc>
          <w:tcPr>
            <w:tcW w:type="dxa" w:w="2016"/>
            <w:vAlign w:val="center"/>
          </w:tcPr>
          <w:p>
            <w:pPr>
              <w:spacing w:after="0" w:before="0" w:line="240" w:lineRule="auto"/>
            </w:pPr>
            <w:r/>
            <w:r>
              <w:rPr>
                <w:rFonts w:ascii="Aptos" w:hAnsi="Aptos"/>
                <w:b w:val="0"/>
                <w:color w:val="111827"/>
                <w:sz w:val="11"/>
              </w:rPr>
              <w:t>Broad online returns are high; ASOS policy tightens high-return behavior; Nordstrom says most returns flow through stores. Model: 20%-30%.</w:t>
            </w:r>
          </w:p>
        </w:tc>
        <w:tc>
          <w:tcPr>
            <w:tcW w:type="dxa" w:w="1080"/>
            <w:vAlign w:val="center"/>
          </w:tcPr>
          <w:p>
            <w:pPr>
              <w:spacing w:after="0" w:before="0" w:line="240" w:lineRule="auto"/>
            </w:pPr>
            <w:r/>
            <w:r>
              <w:rPr>
                <w:rFonts w:ascii="Aptos" w:hAnsi="Aptos"/>
                <w:b w:val="0"/>
                <w:color w:val="111827"/>
                <w:sz w:val="11"/>
              </w:rPr>
              <w:t>High for premium goods; moderate for low-price basics</w:t>
            </w:r>
          </w:p>
        </w:tc>
        <w:tc>
          <w:tcPr>
            <w:tcW w:type="dxa" w:w="1584"/>
            <w:vAlign w:val="center"/>
          </w:tcPr>
          <w:p>
            <w:pPr>
              <w:spacing w:after="0" w:before="0" w:line="240" w:lineRule="auto"/>
            </w:pPr>
            <w:r/>
            <w:r>
              <w:rPr>
                <w:rFonts w:ascii="Aptos" w:hAnsi="Aptos"/>
                <w:b w:val="0"/>
                <w:color w:val="111827"/>
                <w:sz w:val="11"/>
              </w:rPr>
              <w:t>Low-to-moderate per unit, but sorting, steaming, sizing and retagging are labor-heavy at scale</w:t>
            </w:r>
          </w:p>
        </w:tc>
        <w:tc>
          <w:tcPr>
            <w:tcW w:type="dxa" w:w="1224"/>
            <w:vAlign w:val="center"/>
          </w:tcPr>
          <w:p>
            <w:pPr>
              <w:spacing w:after="0" w:before="0" w:line="240" w:lineRule="auto"/>
            </w:pPr>
            <w:r/>
            <w:r>
              <w:rPr>
                <w:rFonts w:ascii="Aptos" w:hAnsi="Aptos"/>
                <w:b w:val="0"/>
                <w:color w:val="111827"/>
                <w:sz w:val="11"/>
              </w:rPr>
              <w:t>Low except hygiene-specific items</w:t>
            </w:r>
          </w:p>
        </w:tc>
        <w:tc>
          <w:tcPr>
            <w:tcW w:type="dxa" w:w="1008"/>
            <w:vAlign w:val="center"/>
          </w:tcPr>
          <w:p>
            <w:pPr>
              <w:spacing w:after="0" w:before="0" w:line="240" w:lineRule="auto"/>
            </w:pPr>
            <w:r/>
            <w:r>
              <w:rPr>
                <w:rFonts w:ascii="Aptos" w:hAnsi="Aptos"/>
                <w:b w:val="0"/>
                <w:color w:val="111827"/>
                <w:sz w:val="11"/>
              </w:rPr>
              <w:t>Moderate; wardrobing and counterfeit risk rise with price/brand</w:t>
            </w:r>
          </w:p>
        </w:tc>
        <w:tc>
          <w:tcPr>
            <w:tcW w:type="dxa" w:w="1008"/>
            <w:vAlign w:val="center"/>
          </w:tcPr>
          <w:p>
            <w:pPr>
              <w:spacing w:after="0" w:before="0" w:line="240" w:lineRule="auto"/>
            </w:pPr>
            <w:r/>
            <w:r>
              <w:rPr>
                <w:rFonts w:ascii="Aptos" w:hAnsi="Aptos"/>
                <w:b w:val="0"/>
                <w:color w:val="111827"/>
                <w:sz w:val="11"/>
              </w:rPr>
              <w:t>Moderate; season and fashion cycle matter</w:t>
            </w:r>
          </w:p>
        </w:tc>
        <w:tc>
          <w:tcPr>
            <w:tcW w:type="dxa" w:w="1440"/>
            <w:vAlign w:val="center"/>
          </w:tcPr>
          <w:p>
            <w:pPr>
              <w:spacing w:after="0" w:before="0" w:line="240" w:lineRule="auto"/>
            </w:pPr>
            <w:r/>
            <w:r>
              <w:rPr>
                <w:rFonts w:ascii="Aptos" w:hAnsi="Aptos"/>
                <w:b w:val="0"/>
                <w:color w:val="111827"/>
                <w:sz w:val="11"/>
              </w:rPr>
              <w:t>Restock, outlet/off-price, liquidation; donation for saleable but noncommercial units</w:t>
            </w:r>
          </w:p>
        </w:tc>
        <w:tc>
          <w:tcPr>
            <w:tcW w:type="dxa" w:w="864"/>
            <w:vAlign w:val="center"/>
          </w:tcPr>
          <w:p>
            <w:pPr>
              <w:spacing w:after="0" w:before="0" w:line="240" w:lineRule="auto"/>
            </w:pPr>
            <w:r/>
            <w:r>
              <w:rPr>
                <w:rFonts w:ascii="Aptos" w:hAnsi="Aptos"/>
                <w:b w:val="0"/>
                <w:color w:val="111827"/>
                <w:sz w:val="11"/>
              </w:rPr>
              <w:t>56%-62%</w:t>
            </w:r>
          </w:p>
        </w:tc>
        <w:tc>
          <w:tcPr>
            <w:tcW w:type="dxa" w:w="864"/>
            <w:vAlign w:val="center"/>
          </w:tcPr>
          <w:p>
            <w:pPr>
              <w:spacing w:after="0" w:before="0" w:line="240" w:lineRule="auto"/>
            </w:pPr>
            <w:r/>
            <w:r>
              <w:rPr>
                <w:rFonts w:ascii="Aptos" w:hAnsi="Aptos"/>
                <w:b w:val="0"/>
                <w:color w:val="111827"/>
                <w:sz w:val="11"/>
              </w:rPr>
              <w:t>34%-54%</w:t>
            </w:r>
          </w:p>
        </w:tc>
        <w:tc>
          <w:tcPr>
            <w:tcW w:type="dxa" w:w="1296"/>
            <w:vAlign w:val="center"/>
          </w:tcPr>
          <w:p>
            <w:pPr>
              <w:spacing w:after="0" w:before="0" w:line="240" w:lineRule="auto"/>
            </w:pPr>
            <w:r/>
            <w:r>
              <w:rPr>
                <w:rFonts w:ascii="Aptos" w:hAnsi="Aptos"/>
                <w:b w:val="0"/>
                <w:color w:val="111827"/>
                <w:sz w:val="11"/>
              </w:rPr>
              <w:t>Conditional for $20 parcel returns; uncommon for premium items</w:t>
            </w:r>
          </w:p>
        </w:tc>
        <w:tc>
          <w:tcPr>
            <w:tcW w:type="dxa" w:w="1584"/>
            <w:vAlign w:val="center"/>
          </w:tcPr>
          <w:p>
            <w:pPr>
              <w:spacing w:after="0" w:before="0" w:line="240" w:lineRule="auto"/>
            </w:pPr>
            <w:r/>
            <w:r>
              <w:rPr>
                <w:rFonts w:ascii="Aptos" w:hAnsi="Aptos"/>
                <w:b w:val="0"/>
                <w:color w:val="111827"/>
                <w:sz w:val="11"/>
              </w:rPr>
              <w:t>Condition mix, route shares, actual remarketing labor</w:t>
            </w:r>
          </w:p>
        </w:tc>
      </w:tr>
      <w:tr>
        <w:tc>
          <w:tcPr>
            <w:tcW w:type="dxa" w:w="1152"/>
            <w:vAlign w:val="center"/>
            <w:shd w:fill="F5F7FA"/>
          </w:tcPr>
          <w:p>
            <w:pPr>
              <w:spacing w:after="0" w:before="0" w:line="240" w:lineRule="auto"/>
            </w:pPr>
            <w:r/>
            <w:r>
              <w:rPr>
                <w:rFonts w:ascii="Aptos" w:hAnsi="Aptos"/>
                <w:b/>
                <w:color w:val="111827"/>
                <w:sz w:val="11"/>
              </w:rPr>
              <w:t>Consumer electronics</w:t>
            </w:r>
          </w:p>
        </w:tc>
        <w:tc>
          <w:tcPr>
            <w:tcW w:type="dxa" w:w="1800"/>
            <w:vAlign w:val="center"/>
            <w:shd w:fill="F5F7FA"/>
          </w:tcPr>
          <w:p>
            <w:pPr>
              <w:spacing w:after="0" w:before="0" w:line="240" w:lineRule="auto"/>
            </w:pPr>
            <w:r/>
            <w:r>
              <w:rPr>
                <w:rFonts w:ascii="Aptos" w:hAnsi="Aptos"/>
                <w:b w:val="0"/>
                <w:color w:val="111827"/>
                <w:sz w:val="11"/>
              </w:rPr>
              <w:t>Compatibility, buyer remorse, defects, activation, missing accessories, battery or data issues</w:t>
            </w:r>
          </w:p>
        </w:tc>
        <w:tc>
          <w:tcPr>
            <w:tcW w:type="dxa" w:w="2016"/>
            <w:vAlign w:val="center"/>
            <w:shd w:fill="F5F7FA"/>
          </w:tcPr>
          <w:p>
            <w:pPr>
              <w:spacing w:after="0" w:before="0" w:line="240" w:lineRule="auto"/>
            </w:pPr>
            <w:r/>
            <w:r>
              <w:rPr>
                <w:rFonts w:ascii="Aptos" w:hAnsi="Aptos"/>
                <w:b w:val="0"/>
                <w:color w:val="111827"/>
                <w:sz w:val="11"/>
              </w:rPr>
              <w:t>No clean category population rate in package; model: 10%-12%.</w:t>
            </w:r>
          </w:p>
        </w:tc>
        <w:tc>
          <w:tcPr>
            <w:tcW w:type="dxa" w:w="1080"/>
            <w:vAlign w:val="center"/>
            <w:shd w:fill="F5F7FA"/>
          </w:tcPr>
          <w:p>
            <w:pPr>
              <w:spacing w:after="0" w:before="0" w:line="240" w:lineRule="auto"/>
            </w:pPr>
            <w:r/>
            <w:r>
              <w:rPr>
                <w:rFonts w:ascii="Aptos" w:hAnsi="Aptos"/>
                <w:b w:val="0"/>
                <w:color w:val="111827"/>
                <w:sz w:val="11"/>
              </w:rPr>
              <w:t>High</w:t>
            </w:r>
          </w:p>
        </w:tc>
        <w:tc>
          <w:tcPr>
            <w:tcW w:type="dxa" w:w="1584"/>
            <w:vAlign w:val="center"/>
            <w:shd w:fill="F5F7FA"/>
          </w:tcPr>
          <w:p>
            <w:pPr>
              <w:spacing w:after="0" w:before="0" w:line="240" w:lineRule="auto"/>
            </w:pPr>
            <w:r/>
            <w:r>
              <w:rPr>
                <w:rFonts w:ascii="Aptos" w:hAnsi="Aptos"/>
                <w:b w:val="0"/>
                <w:color w:val="111827"/>
                <w:sz w:val="11"/>
              </w:rPr>
              <w:t>High: serial, function, activation, battery, accessories, data sanitization</w:t>
            </w:r>
          </w:p>
        </w:tc>
        <w:tc>
          <w:tcPr>
            <w:tcW w:type="dxa" w:w="1224"/>
            <w:vAlign w:val="center"/>
            <w:shd w:fill="F5F7FA"/>
          </w:tcPr>
          <w:p>
            <w:pPr>
              <w:spacing w:after="0" w:before="0" w:line="240" w:lineRule="auto"/>
            </w:pPr>
            <w:r/>
            <w:r>
              <w:rPr>
                <w:rFonts w:ascii="Aptos" w:hAnsi="Aptos"/>
                <w:b w:val="0"/>
                <w:color w:val="111827"/>
                <w:sz w:val="11"/>
              </w:rPr>
              <w:t>Recalled products, battery handling, data security</w:t>
            </w:r>
          </w:p>
        </w:tc>
        <w:tc>
          <w:tcPr>
            <w:tcW w:type="dxa" w:w="1008"/>
            <w:vAlign w:val="center"/>
            <w:shd w:fill="F5F7FA"/>
          </w:tcPr>
          <w:p>
            <w:pPr>
              <w:spacing w:after="0" w:before="0" w:line="240" w:lineRule="auto"/>
            </w:pPr>
            <w:r/>
            <w:r>
              <w:rPr>
                <w:rFonts w:ascii="Aptos" w:hAnsi="Aptos"/>
                <w:b w:val="0"/>
                <w:color w:val="111827"/>
                <w:sz w:val="11"/>
              </w:rPr>
              <w:t>High for substitution and serial-controlled goods</w:t>
            </w:r>
          </w:p>
        </w:tc>
        <w:tc>
          <w:tcPr>
            <w:tcW w:type="dxa" w:w="1008"/>
            <w:vAlign w:val="center"/>
            <w:shd w:fill="F5F7FA"/>
          </w:tcPr>
          <w:p>
            <w:pPr>
              <w:spacing w:after="0" w:before="0" w:line="240" w:lineRule="auto"/>
            </w:pPr>
            <w:r/>
            <w:r>
              <w:rPr>
                <w:rFonts w:ascii="Aptos" w:hAnsi="Aptos"/>
                <w:b w:val="0"/>
                <w:color w:val="111827"/>
                <w:sz w:val="11"/>
              </w:rPr>
              <w:t>High; model uses 3.0%-3.5% monthly</w:t>
            </w:r>
          </w:p>
        </w:tc>
        <w:tc>
          <w:tcPr>
            <w:tcW w:type="dxa" w:w="1440"/>
            <w:vAlign w:val="center"/>
            <w:shd w:fill="F5F7FA"/>
          </w:tcPr>
          <w:p>
            <w:pPr>
              <w:spacing w:after="0" w:before="0" w:line="240" w:lineRule="auto"/>
            </w:pPr>
            <w:r/>
            <w:r>
              <w:rPr>
                <w:rFonts w:ascii="Aptos" w:hAnsi="Aptos"/>
                <w:b w:val="0"/>
                <w:color w:val="111827"/>
                <w:sz w:val="11"/>
              </w:rPr>
              <w:t>Open-box, refurbishment, outlet, recycling</w:t>
            </w:r>
          </w:p>
        </w:tc>
        <w:tc>
          <w:tcPr>
            <w:tcW w:type="dxa" w:w="864"/>
            <w:vAlign w:val="center"/>
            <w:shd w:fill="F5F7FA"/>
          </w:tcPr>
          <w:p>
            <w:pPr>
              <w:spacing w:after="0" w:before="0" w:line="240" w:lineRule="auto"/>
            </w:pPr>
            <w:r/>
            <w:r>
              <w:rPr>
                <w:rFonts w:ascii="Aptos" w:hAnsi="Aptos"/>
                <w:b w:val="0"/>
                <w:color w:val="111827"/>
                <w:sz w:val="11"/>
              </w:rPr>
              <w:t>50%-51%</w:t>
            </w:r>
          </w:p>
        </w:tc>
        <w:tc>
          <w:tcPr>
            <w:tcW w:type="dxa" w:w="864"/>
            <w:vAlign w:val="center"/>
            <w:shd w:fill="F5F7FA"/>
          </w:tcPr>
          <w:p>
            <w:pPr>
              <w:spacing w:after="0" w:before="0" w:line="240" w:lineRule="auto"/>
            </w:pPr>
            <w:r/>
            <w:r>
              <w:rPr>
                <w:rFonts w:ascii="Aptos" w:hAnsi="Aptos"/>
                <w:b w:val="0"/>
                <w:color w:val="111827"/>
                <w:sz w:val="11"/>
              </w:rPr>
              <w:t>33%-40%</w:t>
            </w:r>
          </w:p>
        </w:tc>
        <w:tc>
          <w:tcPr>
            <w:tcW w:type="dxa" w:w="1296"/>
            <w:vAlign w:val="center"/>
            <w:shd w:fill="F5F7FA"/>
          </w:tcPr>
          <w:p>
            <w:pPr>
              <w:spacing w:after="0" w:before="0" w:line="240" w:lineRule="auto"/>
            </w:pPr>
            <w:r/>
            <w:r>
              <w:rPr>
                <w:rFonts w:ascii="Aptos" w:hAnsi="Aptos"/>
                <w:b w:val="0"/>
                <w:color w:val="111827"/>
                <w:sz w:val="11"/>
              </w:rPr>
              <w:t>Rare except very low-value accessories or account-specific exceptions</w:t>
            </w:r>
          </w:p>
        </w:tc>
        <w:tc>
          <w:tcPr>
            <w:tcW w:type="dxa" w:w="1584"/>
            <w:vAlign w:val="center"/>
            <w:shd w:fill="F5F7FA"/>
          </w:tcPr>
          <w:p>
            <w:pPr>
              <w:spacing w:after="0" w:before="0" w:line="240" w:lineRule="auto"/>
            </w:pPr>
            <w:r/>
            <w:r>
              <w:rPr>
                <w:rFonts w:ascii="Aptos" w:hAnsi="Aptos"/>
                <w:b w:val="0"/>
                <w:color w:val="111827"/>
                <w:sz w:val="11"/>
              </w:rPr>
              <w:t>Diagnostic time, repair success, warranty cost, actual device age</w:t>
            </w:r>
          </w:p>
        </w:tc>
      </w:tr>
      <w:tr>
        <w:tc>
          <w:tcPr>
            <w:tcW w:type="dxa" w:w="1152"/>
            <w:vAlign w:val="center"/>
          </w:tcPr>
          <w:p>
            <w:pPr>
              <w:spacing w:after="0" w:before="0" w:line="240" w:lineRule="auto"/>
            </w:pPr>
            <w:r/>
            <w:r>
              <w:rPr>
                <w:rFonts w:ascii="Aptos" w:hAnsi="Aptos"/>
                <w:b/>
                <w:color w:val="111827"/>
                <w:sz w:val="11"/>
              </w:rPr>
              <w:t>Furniture and bulky home</w:t>
            </w:r>
          </w:p>
        </w:tc>
        <w:tc>
          <w:tcPr>
            <w:tcW w:type="dxa" w:w="1800"/>
            <w:vAlign w:val="center"/>
          </w:tcPr>
          <w:p>
            <w:pPr>
              <w:spacing w:after="0" w:before="0" w:line="240" w:lineRule="auto"/>
            </w:pPr>
            <w:r/>
            <w:r>
              <w:rPr>
                <w:rFonts w:ascii="Aptos" w:hAnsi="Aptos"/>
                <w:b w:val="0"/>
                <w:color w:val="111827"/>
                <w:sz w:val="11"/>
              </w:rPr>
              <w:t>Damage, color/fit mismatch, assembly issues, missing hardware, carrier damage</w:t>
            </w:r>
          </w:p>
        </w:tc>
        <w:tc>
          <w:tcPr>
            <w:tcW w:type="dxa" w:w="2016"/>
            <w:vAlign w:val="center"/>
          </w:tcPr>
          <w:p>
            <w:pPr>
              <w:spacing w:after="0" w:before="0" w:line="240" w:lineRule="auto"/>
            </w:pPr>
            <w:r/>
            <w:r>
              <w:rPr>
                <w:rFonts w:ascii="Aptos" w:hAnsi="Aptos"/>
                <w:b w:val="0"/>
                <w:color w:val="111827"/>
                <w:sz w:val="11"/>
              </w:rPr>
              <w:t>Vendor case material cites roughly 30% online furniture returns; model uses 18% for the selected item.</w:t>
            </w:r>
          </w:p>
        </w:tc>
        <w:tc>
          <w:tcPr>
            <w:tcW w:type="dxa" w:w="1080"/>
            <w:vAlign w:val="center"/>
          </w:tcPr>
          <w:p>
            <w:pPr>
              <w:spacing w:after="0" w:before="0" w:line="240" w:lineRule="auto"/>
            </w:pPr>
            <w:r/>
            <w:r>
              <w:rPr>
                <w:rFonts w:ascii="Aptos" w:hAnsi="Aptos"/>
                <w:b w:val="0"/>
                <w:color w:val="111827"/>
                <w:sz w:val="11"/>
              </w:rPr>
              <w:t>Low per cubic foot and per billable pound</w:t>
            </w:r>
          </w:p>
        </w:tc>
        <w:tc>
          <w:tcPr>
            <w:tcW w:type="dxa" w:w="1584"/>
            <w:vAlign w:val="center"/>
          </w:tcPr>
          <w:p>
            <w:pPr>
              <w:spacing w:after="0" w:before="0" w:line="240" w:lineRule="auto"/>
            </w:pPr>
            <w:r/>
            <w:r>
              <w:rPr>
                <w:rFonts w:ascii="Aptos" w:hAnsi="Aptos"/>
                <w:b w:val="0"/>
                <w:color w:val="111827"/>
                <w:sz w:val="11"/>
              </w:rPr>
              <w:t>Moderate, but space and handling are expensive</w:t>
            </w:r>
          </w:p>
        </w:tc>
        <w:tc>
          <w:tcPr>
            <w:tcW w:type="dxa" w:w="1224"/>
            <w:vAlign w:val="center"/>
          </w:tcPr>
          <w:p>
            <w:pPr>
              <w:spacing w:after="0" w:before="0" w:line="240" w:lineRule="auto"/>
            </w:pPr>
            <w:r/>
            <w:r>
              <w:rPr>
                <w:rFonts w:ascii="Aptos" w:hAnsi="Aptos"/>
                <w:b w:val="0"/>
                <w:color w:val="111827"/>
                <w:sz w:val="11"/>
              </w:rPr>
              <w:t>Structural integrity, recalls, sanitation for some categories</w:t>
            </w:r>
          </w:p>
        </w:tc>
        <w:tc>
          <w:tcPr>
            <w:tcW w:type="dxa" w:w="1008"/>
            <w:vAlign w:val="center"/>
          </w:tcPr>
          <w:p>
            <w:pPr>
              <w:spacing w:after="0" w:before="0" w:line="240" w:lineRule="auto"/>
            </w:pPr>
            <w:r/>
            <w:r>
              <w:rPr>
                <w:rFonts w:ascii="Aptos" w:hAnsi="Aptos"/>
                <w:b w:val="0"/>
                <w:color w:val="111827"/>
                <w:sz w:val="11"/>
              </w:rPr>
              <w:t>Low-to-moderate</w:t>
            </w:r>
          </w:p>
        </w:tc>
        <w:tc>
          <w:tcPr>
            <w:tcW w:type="dxa" w:w="1008"/>
            <w:vAlign w:val="center"/>
          </w:tcPr>
          <w:p>
            <w:pPr>
              <w:spacing w:after="0" w:before="0" w:line="240" w:lineRule="auto"/>
            </w:pPr>
            <w:r/>
            <w:r>
              <w:rPr>
                <w:rFonts w:ascii="Aptos" w:hAnsi="Aptos"/>
                <w:b w:val="0"/>
                <w:color w:val="111827"/>
                <w:sz w:val="11"/>
              </w:rPr>
              <w:t>Low-to-moderate, but dwell and damage compound</w:t>
            </w:r>
          </w:p>
        </w:tc>
        <w:tc>
          <w:tcPr>
            <w:tcW w:type="dxa" w:w="1440"/>
            <w:vAlign w:val="center"/>
          </w:tcPr>
          <w:p>
            <w:pPr>
              <w:spacing w:after="0" w:before="0" w:line="240" w:lineRule="auto"/>
            </w:pPr>
            <w:r/>
            <w:r>
              <w:rPr>
                <w:rFonts w:ascii="Aptos" w:hAnsi="Aptos"/>
                <w:b w:val="0"/>
                <w:color w:val="111827"/>
                <w:sz w:val="11"/>
              </w:rPr>
              <w:t>Local open-box/outlet, local pickup, liquidation, donation/salvage</w:t>
            </w:r>
          </w:p>
        </w:tc>
        <w:tc>
          <w:tcPr>
            <w:tcW w:type="dxa" w:w="864"/>
            <w:vAlign w:val="center"/>
          </w:tcPr>
          <w:p>
            <w:pPr>
              <w:spacing w:after="0" w:before="0" w:line="240" w:lineRule="auto"/>
            </w:pPr>
            <w:r/>
            <w:r>
              <w:rPr>
                <w:rFonts w:ascii="Aptos" w:hAnsi="Aptos"/>
                <w:b w:val="0"/>
                <w:color w:val="111827"/>
                <w:sz w:val="11"/>
              </w:rPr>
              <w:t>39%-39%</w:t>
            </w:r>
          </w:p>
        </w:tc>
        <w:tc>
          <w:tcPr>
            <w:tcW w:type="dxa" w:w="864"/>
            <w:vAlign w:val="center"/>
          </w:tcPr>
          <w:p>
            <w:pPr>
              <w:spacing w:after="0" w:before="0" w:line="240" w:lineRule="auto"/>
            </w:pPr>
            <w:r/>
            <w:r>
              <w:rPr>
                <w:rFonts w:ascii="Aptos" w:hAnsi="Aptos"/>
                <w:b w:val="0"/>
                <w:color w:val="111827"/>
                <w:sz w:val="11"/>
              </w:rPr>
              <w:t>19%-19%</w:t>
            </w:r>
          </w:p>
        </w:tc>
        <w:tc>
          <w:tcPr>
            <w:tcW w:type="dxa" w:w="1296"/>
            <w:vAlign w:val="center"/>
          </w:tcPr>
          <w:p>
            <w:pPr>
              <w:spacing w:after="0" w:before="0" w:line="240" w:lineRule="auto"/>
            </w:pPr>
            <w:r/>
            <w:r>
              <w:rPr>
                <w:rFonts w:ascii="Aptos" w:hAnsi="Aptos"/>
                <w:b w:val="0"/>
                <w:color w:val="111827"/>
                <w:sz w:val="11"/>
              </w:rPr>
              <w:t>High when only long-haul or oversize retrieval is available</w:t>
            </w:r>
          </w:p>
        </w:tc>
        <w:tc>
          <w:tcPr>
            <w:tcW w:type="dxa" w:w="1584"/>
            <w:vAlign w:val="center"/>
          </w:tcPr>
          <w:p>
            <w:pPr>
              <w:spacing w:after="0" w:before="0" w:line="240" w:lineRule="auto"/>
            </w:pPr>
            <w:r/>
            <w:r>
              <w:rPr>
                <w:rFonts w:ascii="Aptos" w:hAnsi="Aptos"/>
                <w:b w:val="0"/>
                <w:color w:val="111827"/>
                <w:sz w:val="11"/>
              </w:rPr>
              <w:t>Actual local routing, carrier discount, damage and assembly state</w:t>
            </w:r>
          </w:p>
        </w:tc>
      </w:tr>
      <w:tr>
        <w:tc>
          <w:tcPr>
            <w:tcW w:type="dxa" w:w="1152"/>
            <w:vAlign w:val="center"/>
            <w:shd w:fill="F5F7FA"/>
          </w:tcPr>
          <w:p>
            <w:pPr>
              <w:spacing w:after="0" w:before="0" w:line="240" w:lineRule="auto"/>
            </w:pPr>
            <w:r/>
            <w:r>
              <w:rPr>
                <w:rFonts w:ascii="Aptos" w:hAnsi="Aptos"/>
                <w:b/>
                <w:color w:val="111827"/>
                <w:sz w:val="11"/>
              </w:rPr>
              <w:t>Cosmetics and personal care</w:t>
            </w:r>
          </w:p>
        </w:tc>
        <w:tc>
          <w:tcPr>
            <w:tcW w:type="dxa" w:w="1800"/>
            <w:vAlign w:val="center"/>
            <w:shd w:fill="F5F7FA"/>
          </w:tcPr>
          <w:p>
            <w:pPr>
              <w:spacing w:after="0" w:before="0" w:line="240" w:lineRule="auto"/>
            </w:pPr>
            <w:r/>
            <w:r>
              <w:rPr>
                <w:rFonts w:ascii="Aptos" w:hAnsi="Aptos"/>
                <w:b w:val="0"/>
                <w:color w:val="111827"/>
                <w:sz w:val="11"/>
              </w:rPr>
              <w:t>Shade preference, reaction, damaged packaging, expiration or seal concerns</w:t>
            </w:r>
          </w:p>
        </w:tc>
        <w:tc>
          <w:tcPr>
            <w:tcW w:type="dxa" w:w="2016"/>
            <w:vAlign w:val="center"/>
            <w:shd w:fill="F5F7FA"/>
          </w:tcPr>
          <w:p>
            <w:pPr>
              <w:spacing w:after="0" w:before="0" w:line="240" w:lineRule="auto"/>
            </w:pPr>
            <w:r/>
            <w:r>
              <w:rPr>
                <w:rFonts w:ascii="Aptos" w:hAnsi="Aptos"/>
                <w:b w:val="0"/>
                <w:color w:val="111827"/>
                <w:sz w:val="11"/>
              </w:rPr>
              <w:t>No clean category population rate in package; model uses 10%.</w:t>
            </w:r>
          </w:p>
        </w:tc>
        <w:tc>
          <w:tcPr>
            <w:tcW w:type="dxa" w:w="1080"/>
            <w:vAlign w:val="center"/>
            <w:shd w:fill="F5F7FA"/>
          </w:tcPr>
          <w:p>
            <w:pPr>
              <w:spacing w:after="0" w:before="0" w:line="240" w:lineRule="auto"/>
            </w:pPr>
            <w:r/>
            <w:r>
              <w:rPr>
                <w:rFonts w:ascii="Aptos" w:hAnsi="Aptos"/>
                <w:b w:val="0"/>
                <w:color w:val="111827"/>
                <w:sz w:val="11"/>
              </w:rPr>
              <w:t>High physically, but commercial value can collapse on opening</w:t>
            </w:r>
          </w:p>
        </w:tc>
        <w:tc>
          <w:tcPr>
            <w:tcW w:type="dxa" w:w="1584"/>
            <w:vAlign w:val="center"/>
            <w:shd w:fill="F5F7FA"/>
          </w:tcPr>
          <w:p>
            <w:pPr>
              <w:spacing w:after="0" w:before="0" w:line="240" w:lineRule="auto"/>
            </w:pPr>
            <w:r/>
            <w:r>
              <w:rPr>
                <w:rFonts w:ascii="Aptos" w:hAnsi="Aptos"/>
                <w:b w:val="0"/>
                <w:color w:val="111827"/>
                <w:sz w:val="11"/>
              </w:rPr>
              <w:t>Low time, high assurance burden</w:t>
            </w:r>
          </w:p>
        </w:tc>
        <w:tc>
          <w:tcPr>
            <w:tcW w:type="dxa" w:w="1224"/>
            <w:vAlign w:val="center"/>
            <w:shd w:fill="F5F7FA"/>
          </w:tcPr>
          <w:p>
            <w:pPr>
              <w:spacing w:after="0" w:before="0" w:line="240" w:lineRule="auto"/>
            </w:pPr>
            <w:r/>
            <w:r>
              <w:rPr>
                <w:rFonts w:ascii="Aptos" w:hAnsi="Aptos"/>
                <w:b w:val="0"/>
                <w:color w:val="111827"/>
                <w:sz w:val="11"/>
              </w:rPr>
              <w:t>Integrity, contamination, labeling and retailer policy</w:t>
            </w:r>
          </w:p>
        </w:tc>
        <w:tc>
          <w:tcPr>
            <w:tcW w:type="dxa" w:w="1008"/>
            <w:vAlign w:val="center"/>
            <w:shd w:fill="F5F7FA"/>
          </w:tcPr>
          <w:p>
            <w:pPr>
              <w:spacing w:after="0" w:before="0" w:line="240" w:lineRule="auto"/>
            </w:pPr>
            <w:r/>
            <w:r>
              <w:rPr>
                <w:rFonts w:ascii="Aptos" w:hAnsi="Aptos"/>
                <w:b w:val="0"/>
                <w:color w:val="111827"/>
                <w:sz w:val="11"/>
              </w:rPr>
              <w:t>Low-to-moderate</w:t>
            </w:r>
          </w:p>
        </w:tc>
        <w:tc>
          <w:tcPr>
            <w:tcW w:type="dxa" w:w="1008"/>
            <w:vAlign w:val="center"/>
            <w:shd w:fill="F5F7FA"/>
          </w:tcPr>
          <w:p>
            <w:pPr>
              <w:spacing w:after="0" w:before="0" w:line="240" w:lineRule="auto"/>
            </w:pPr>
            <w:r/>
            <w:r>
              <w:rPr>
                <w:rFonts w:ascii="Aptos" w:hAnsi="Aptos"/>
                <w:b w:val="0"/>
                <w:color w:val="111827"/>
                <w:sz w:val="11"/>
              </w:rPr>
              <w:t>Moderate through shelf life and obsolescence</w:t>
            </w:r>
          </w:p>
        </w:tc>
        <w:tc>
          <w:tcPr>
            <w:tcW w:type="dxa" w:w="1440"/>
            <w:vAlign w:val="center"/>
            <w:shd w:fill="F5F7FA"/>
          </w:tcPr>
          <w:p>
            <w:pPr>
              <w:spacing w:after="0" w:before="0" w:line="240" w:lineRule="auto"/>
            </w:pPr>
            <w:r/>
            <w:r>
              <w:rPr>
                <w:rFonts w:ascii="Aptos" w:hAnsi="Aptos"/>
                <w:b w:val="0"/>
                <w:color w:val="111827"/>
                <w:sz w:val="11"/>
              </w:rPr>
              <w:t>Restock only when sealed and trusted; otherwise disposal</w:t>
            </w:r>
          </w:p>
        </w:tc>
        <w:tc>
          <w:tcPr>
            <w:tcW w:type="dxa" w:w="864"/>
            <w:vAlign w:val="center"/>
            <w:shd w:fill="F5F7FA"/>
          </w:tcPr>
          <w:p>
            <w:pPr>
              <w:spacing w:after="0" w:before="0" w:line="240" w:lineRule="auto"/>
            </w:pPr>
            <w:r/>
            <w:r>
              <w:rPr>
                <w:rFonts w:ascii="Aptos" w:hAnsi="Aptos"/>
                <w:b w:val="0"/>
                <w:color w:val="111827"/>
                <w:sz w:val="11"/>
              </w:rPr>
              <w:t>32%-32%</w:t>
            </w:r>
          </w:p>
        </w:tc>
        <w:tc>
          <w:tcPr>
            <w:tcW w:type="dxa" w:w="864"/>
            <w:vAlign w:val="center"/>
            <w:shd w:fill="F5F7FA"/>
          </w:tcPr>
          <w:p>
            <w:pPr>
              <w:spacing w:after="0" w:before="0" w:line="240" w:lineRule="auto"/>
            </w:pPr>
            <w:r/>
            <w:r>
              <w:rPr>
                <w:rFonts w:ascii="Aptos" w:hAnsi="Aptos"/>
                <w:b w:val="0"/>
                <w:color w:val="111827"/>
                <w:sz w:val="11"/>
              </w:rPr>
              <w:t>18%-18%</w:t>
            </w:r>
          </w:p>
        </w:tc>
        <w:tc>
          <w:tcPr>
            <w:tcW w:type="dxa" w:w="1296"/>
            <w:vAlign w:val="center"/>
            <w:shd w:fill="F5F7FA"/>
          </w:tcPr>
          <w:p>
            <w:pPr>
              <w:spacing w:after="0" w:before="0" w:line="240" w:lineRule="auto"/>
            </w:pPr>
            <w:r/>
            <w:r>
              <w:rPr>
                <w:rFonts w:ascii="Aptos" w:hAnsi="Aptos"/>
                <w:b w:val="0"/>
                <w:color w:val="111827"/>
                <w:sz w:val="11"/>
              </w:rPr>
              <w:t>Frequent on immediate economics for mailed returns, subject to abuse/safety controls</w:t>
            </w:r>
          </w:p>
        </w:tc>
        <w:tc>
          <w:tcPr>
            <w:tcW w:type="dxa" w:w="1584"/>
            <w:vAlign w:val="center"/>
            <w:shd w:fill="F5F7FA"/>
          </w:tcPr>
          <w:p>
            <w:pPr>
              <w:spacing w:after="0" w:before="0" w:line="240" w:lineRule="auto"/>
            </w:pPr>
            <w:r/>
            <w:r>
              <w:rPr>
                <w:rFonts w:ascii="Aptos" w:hAnsi="Aptos"/>
                <w:b w:val="0"/>
                <w:color w:val="111827"/>
                <w:sz w:val="11"/>
              </w:rPr>
              <w:t>Definition and endpoint of 'properly disposed'</w:t>
            </w:r>
          </w:p>
        </w:tc>
      </w:tr>
      <w:tr>
        <w:tc>
          <w:tcPr>
            <w:tcW w:type="dxa" w:w="1152"/>
            <w:vAlign w:val="center"/>
          </w:tcPr>
          <w:p>
            <w:pPr>
              <w:spacing w:after="0" w:before="0" w:line="240" w:lineRule="auto"/>
            </w:pPr>
            <w:r/>
            <w:r>
              <w:rPr>
                <w:rFonts w:ascii="Aptos" w:hAnsi="Aptos"/>
                <w:b/>
                <w:color w:val="111827"/>
                <w:sz w:val="11"/>
              </w:rPr>
              <w:t>Small household goods</w:t>
            </w:r>
          </w:p>
        </w:tc>
        <w:tc>
          <w:tcPr>
            <w:tcW w:type="dxa" w:w="1800"/>
            <w:vAlign w:val="center"/>
          </w:tcPr>
          <w:p>
            <w:pPr>
              <w:spacing w:after="0" w:before="0" w:line="240" w:lineRule="auto"/>
            </w:pPr>
            <w:r/>
            <w:r>
              <w:rPr>
                <w:rFonts w:ascii="Aptos" w:hAnsi="Aptos"/>
                <w:b w:val="0"/>
                <w:color w:val="111827"/>
                <w:sz w:val="11"/>
              </w:rPr>
              <w:t>Fit/utility mismatch, low perceived quality, damage, missing parts</w:t>
            </w:r>
          </w:p>
        </w:tc>
        <w:tc>
          <w:tcPr>
            <w:tcW w:type="dxa" w:w="2016"/>
            <w:vAlign w:val="center"/>
          </w:tcPr>
          <w:p>
            <w:pPr>
              <w:spacing w:after="0" w:before="0" w:line="240" w:lineRule="auto"/>
            </w:pPr>
            <w:r/>
            <w:r>
              <w:rPr>
                <w:rFonts w:ascii="Aptos" w:hAnsi="Aptos"/>
                <w:b w:val="0"/>
                <w:color w:val="111827"/>
                <w:sz w:val="11"/>
              </w:rPr>
              <w:t>No category population rate in package; model: 12%-15%.</w:t>
            </w:r>
          </w:p>
        </w:tc>
        <w:tc>
          <w:tcPr>
            <w:tcW w:type="dxa" w:w="1080"/>
            <w:vAlign w:val="center"/>
          </w:tcPr>
          <w:p>
            <w:pPr>
              <w:spacing w:after="0" w:before="0" w:line="240" w:lineRule="auto"/>
            </w:pPr>
            <w:r/>
            <w:r>
              <w:rPr>
                <w:rFonts w:ascii="Aptos" w:hAnsi="Aptos"/>
                <w:b w:val="0"/>
                <w:color w:val="111827"/>
                <w:sz w:val="11"/>
              </w:rPr>
              <w:t>Often low, especially light-but-bulky goods</w:t>
            </w:r>
          </w:p>
        </w:tc>
        <w:tc>
          <w:tcPr>
            <w:tcW w:type="dxa" w:w="1584"/>
            <w:vAlign w:val="center"/>
          </w:tcPr>
          <w:p>
            <w:pPr>
              <w:spacing w:after="0" w:before="0" w:line="240" w:lineRule="auto"/>
            </w:pPr>
            <w:r/>
            <w:r>
              <w:rPr>
                <w:rFonts w:ascii="Aptos" w:hAnsi="Aptos"/>
                <w:b w:val="0"/>
                <w:color w:val="111827"/>
                <w:sz w:val="11"/>
              </w:rPr>
              <w:t>Low per unit, but often larger than liquidation value</w:t>
            </w:r>
          </w:p>
        </w:tc>
        <w:tc>
          <w:tcPr>
            <w:tcW w:type="dxa" w:w="1224"/>
            <w:vAlign w:val="center"/>
          </w:tcPr>
          <w:p>
            <w:pPr>
              <w:spacing w:after="0" w:before="0" w:line="240" w:lineRule="auto"/>
            </w:pPr>
            <w:r/>
            <w:r>
              <w:rPr>
                <w:rFonts w:ascii="Aptos" w:hAnsi="Aptos"/>
                <w:b w:val="0"/>
                <w:color w:val="111827"/>
                <w:sz w:val="11"/>
              </w:rPr>
              <w:t>Product-specific; electrical items need testing</w:t>
            </w:r>
          </w:p>
        </w:tc>
        <w:tc>
          <w:tcPr>
            <w:tcW w:type="dxa" w:w="1008"/>
            <w:vAlign w:val="center"/>
          </w:tcPr>
          <w:p>
            <w:pPr>
              <w:spacing w:after="0" w:before="0" w:line="240" w:lineRule="auto"/>
            </w:pPr>
            <w:r/>
            <w:r>
              <w:rPr>
                <w:rFonts w:ascii="Aptos" w:hAnsi="Aptos"/>
                <w:b w:val="0"/>
                <w:color w:val="111827"/>
                <w:sz w:val="11"/>
              </w:rPr>
              <w:t>Low-to-moderate</w:t>
            </w:r>
          </w:p>
        </w:tc>
        <w:tc>
          <w:tcPr>
            <w:tcW w:type="dxa" w:w="1008"/>
            <w:vAlign w:val="center"/>
          </w:tcPr>
          <w:p>
            <w:pPr>
              <w:spacing w:after="0" w:before="0" w:line="240" w:lineRule="auto"/>
            </w:pPr>
            <w:r/>
            <w:r>
              <w:rPr>
                <w:rFonts w:ascii="Aptos" w:hAnsi="Aptos"/>
                <w:b w:val="0"/>
                <w:color w:val="111827"/>
                <w:sz w:val="11"/>
              </w:rPr>
              <w:t>Low for basics; moderate for small appliances</w:t>
            </w:r>
          </w:p>
        </w:tc>
        <w:tc>
          <w:tcPr>
            <w:tcW w:type="dxa" w:w="1440"/>
            <w:vAlign w:val="center"/>
          </w:tcPr>
          <w:p>
            <w:pPr>
              <w:spacing w:after="0" w:before="0" w:line="240" w:lineRule="auto"/>
            </w:pPr>
            <w:r/>
            <w:r>
              <w:rPr>
                <w:rFonts w:ascii="Aptos" w:hAnsi="Aptos"/>
                <w:b w:val="0"/>
                <w:color w:val="111827"/>
                <w:sz w:val="11"/>
              </w:rPr>
              <w:t>Outlet, liquidation, donation/recycling, returnless refund</w:t>
            </w:r>
          </w:p>
        </w:tc>
        <w:tc>
          <w:tcPr>
            <w:tcW w:type="dxa" w:w="864"/>
            <w:vAlign w:val="center"/>
          </w:tcPr>
          <w:p>
            <w:pPr>
              <w:spacing w:after="0" w:before="0" w:line="240" w:lineRule="auto"/>
            </w:pPr>
            <w:r/>
            <w:r>
              <w:rPr>
                <w:rFonts w:ascii="Aptos" w:hAnsi="Aptos"/>
                <w:b w:val="0"/>
                <w:color w:val="111827"/>
                <w:sz w:val="11"/>
              </w:rPr>
              <w:t>38%-40%</w:t>
            </w:r>
          </w:p>
        </w:tc>
        <w:tc>
          <w:tcPr>
            <w:tcW w:type="dxa" w:w="864"/>
            <w:vAlign w:val="center"/>
          </w:tcPr>
          <w:p>
            <w:pPr>
              <w:spacing w:after="0" w:before="0" w:line="240" w:lineRule="auto"/>
            </w:pPr>
            <w:r/>
            <w:r>
              <w:rPr>
                <w:rFonts w:ascii="Aptos" w:hAnsi="Aptos"/>
                <w:b w:val="0"/>
                <w:color w:val="111827"/>
                <w:sz w:val="11"/>
              </w:rPr>
              <w:t>17%-22%</w:t>
            </w:r>
          </w:p>
        </w:tc>
        <w:tc>
          <w:tcPr>
            <w:tcW w:type="dxa" w:w="1296"/>
            <w:vAlign w:val="center"/>
          </w:tcPr>
          <w:p>
            <w:pPr>
              <w:spacing w:after="0" w:before="0" w:line="240" w:lineRule="auto"/>
            </w:pPr>
            <w:r/>
            <w:r>
              <w:rPr>
                <w:rFonts w:ascii="Aptos" w:hAnsi="Aptos"/>
                <w:b w:val="0"/>
                <w:color w:val="111827"/>
                <w:sz w:val="11"/>
              </w:rPr>
              <w:t>Likely for low-value parcel returns; less likely for appliances near stores</w:t>
            </w:r>
          </w:p>
        </w:tc>
        <w:tc>
          <w:tcPr>
            <w:tcW w:type="dxa" w:w="1584"/>
            <w:vAlign w:val="center"/>
          </w:tcPr>
          <w:p>
            <w:pPr>
              <w:spacing w:after="0" w:before="0" w:line="240" w:lineRule="auto"/>
            </w:pPr>
            <w:r/>
            <w:r>
              <w:rPr>
                <w:rFonts w:ascii="Aptos" w:hAnsi="Aptos"/>
                <w:b w:val="0"/>
                <w:color w:val="111827"/>
                <w:sz w:val="11"/>
              </w:rPr>
              <w:t>DIM-weight billing, actual consolidation cost, unit-level saleability</w:t>
            </w:r>
          </w:p>
        </w:tc>
      </w:tr>
      <w:tr>
        <w:tc>
          <w:tcPr>
            <w:tcW w:type="dxa" w:w="1152"/>
            <w:vAlign w:val="center"/>
            <w:shd w:fill="F5F7FA"/>
          </w:tcPr>
          <w:p>
            <w:pPr>
              <w:spacing w:after="0" w:before="0" w:line="240" w:lineRule="auto"/>
            </w:pPr>
            <w:r/>
            <w:r>
              <w:rPr>
                <w:rFonts w:ascii="Aptos" w:hAnsi="Aptos"/>
                <w:b/>
                <w:color w:val="111827"/>
                <w:sz w:val="11"/>
              </w:rPr>
              <w:t>Third-party marketplace goods</w:t>
            </w:r>
          </w:p>
        </w:tc>
        <w:tc>
          <w:tcPr>
            <w:tcW w:type="dxa" w:w="1800"/>
            <w:vAlign w:val="center"/>
            <w:shd w:fill="F5F7FA"/>
          </w:tcPr>
          <w:p>
            <w:pPr>
              <w:spacing w:after="0" w:before="0" w:line="240" w:lineRule="auto"/>
            </w:pPr>
            <w:r/>
            <w:r>
              <w:rPr>
                <w:rFonts w:ascii="Aptos" w:hAnsi="Aptos"/>
                <w:b w:val="0"/>
                <w:color w:val="111827"/>
                <w:sz w:val="11"/>
              </w:rPr>
              <w:t>Same product drivers as above, plus seller-policy mismatch and platform-enforced refunds</w:t>
            </w:r>
          </w:p>
        </w:tc>
        <w:tc>
          <w:tcPr>
            <w:tcW w:type="dxa" w:w="2016"/>
            <w:vAlign w:val="center"/>
            <w:shd w:fill="F5F7FA"/>
          </w:tcPr>
          <w:p>
            <w:pPr>
              <w:spacing w:after="0" w:before="0" w:line="240" w:lineRule="auto"/>
            </w:pPr>
            <w:r/>
            <w:r>
              <w:rPr>
                <w:rFonts w:ascii="Aptos" w:hAnsi="Aptos"/>
                <w:b w:val="0"/>
                <w:color w:val="111827"/>
                <w:sz w:val="11"/>
              </w:rPr>
              <w:t>Contract- and category-specific; no defensible single rate</w:t>
            </w:r>
          </w:p>
        </w:tc>
        <w:tc>
          <w:tcPr>
            <w:tcW w:type="dxa" w:w="1080"/>
            <w:vAlign w:val="center"/>
            <w:shd w:fill="F5F7FA"/>
          </w:tcPr>
          <w:p>
            <w:pPr>
              <w:spacing w:after="0" w:before="0" w:line="240" w:lineRule="auto"/>
            </w:pPr>
            <w:r/>
            <w:r>
              <w:rPr>
                <w:rFonts w:ascii="Aptos" w:hAnsi="Aptos"/>
                <w:b w:val="0"/>
                <w:color w:val="111827"/>
                <w:sz w:val="11"/>
              </w:rPr>
              <w:t>Product-specific</w:t>
            </w:r>
          </w:p>
        </w:tc>
        <w:tc>
          <w:tcPr>
            <w:tcW w:type="dxa" w:w="1584"/>
            <w:vAlign w:val="center"/>
            <w:shd w:fill="F5F7FA"/>
          </w:tcPr>
          <w:p>
            <w:pPr>
              <w:spacing w:after="0" w:before="0" w:line="240" w:lineRule="auto"/>
            </w:pPr>
            <w:r/>
            <w:r>
              <w:rPr>
                <w:rFonts w:ascii="Aptos" w:hAnsi="Aptos"/>
                <w:b w:val="0"/>
                <w:color w:val="111827"/>
                <w:sz w:val="11"/>
              </w:rPr>
              <w:t>Platform or seller may inspect; economic owner may never touch the unit</w:t>
            </w:r>
          </w:p>
        </w:tc>
        <w:tc>
          <w:tcPr>
            <w:tcW w:type="dxa" w:w="1224"/>
            <w:vAlign w:val="center"/>
            <w:shd w:fill="F5F7FA"/>
          </w:tcPr>
          <w:p>
            <w:pPr>
              <w:spacing w:after="0" w:before="0" w:line="240" w:lineRule="auto"/>
            </w:pPr>
            <w:r/>
            <w:r>
              <w:rPr>
                <w:rFonts w:ascii="Aptos" w:hAnsi="Aptos"/>
                <w:b w:val="0"/>
                <w:color w:val="111827"/>
                <w:sz w:val="11"/>
              </w:rPr>
              <w:t>Product-specific plus marketplace eligibility rules</w:t>
            </w:r>
          </w:p>
        </w:tc>
        <w:tc>
          <w:tcPr>
            <w:tcW w:type="dxa" w:w="1008"/>
            <w:vAlign w:val="center"/>
            <w:shd w:fill="F5F7FA"/>
          </w:tcPr>
          <w:p>
            <w:pPr>
              <w:spacing w:after="0" w:before="0" w:line="240" w:lineRule="auto"/>
            </w:pPr>
            <w:r/>
            <w:r>
              <w:rPr>
                <w:rFonts w:ascii="Aptos" w:hAnsi="Aptos"/>
                <w:b w:val="0"/>
                <w:color w:val="111827"/>
                <w:sz w:val="11"/>
              </w:rPr>
              <w:t>Seller may bear fraud or dispute losses despite platform-controlled intake</w:t>
            </w:r>
          </w:p>
        </w:tc>
        <w:tc>
          <w:tcPr>
            <w:tcW w:type="dxa" w:w="1008"/>
            <w:vAlign w:val="center"/>
            <w:shd w:fill="F5F7FA"/>
          </w:tcPr>
          <w:p>
            <w:pPr>
              <w:spacing w:after="0" w:before="0" w:line="240" w:lineRule="auto"/>
            </w:pPr>
            <w:r/>
            <w:r>
              <w:rPr>
                <w:rFonts w:ascii="Aptos" w:hAnsi="Aptos"/>
                <w:b w:val="0"/>
                <w:color w:val="111827"/>
                <w:sz w:val="11"/>
              </w:rPr>
              <w:t>Product-specific; settlement delay adds exposure</w:t>
            </w:r>
          </w:p>
        </w:tc>
        <w:tc>
          <w:tcPr>
            <w:tcW w:type="dxa" w:w="1440"/>
            <w:vAlign w:val="center"/>
            <w:shd w:fill="F5F7FA"/>
          </w:tcPr>
          <w:p>
            <w:pPr>
              <w:spacing w:after="0" w:before="0" w:line="240" w:lineRule="auto"/>
            </w:pPr>
            <w:r/>
            <w:r>
              <w:rPr>
                <w:rFonts w:ascii="Aptos" w:hAnsi="Aptos"/>
                <w:b w:val="0"/>
                <w:color w:val="111827"/>
                <w:sz w:val="11"/>
              </w:rPr>
              <w:t>Platform restock, Grade &amp; Resell, liquidation, returnless resolution, return to seller</w:t>
            </w:r>
          </w:p>
        </w:tc>
        <w:tc>
          <w:tcPr>
            <w:tcW w:type="dxa" w:w="864"/>
            <w:vAlign w:val="center"/>
            <w:shd w:fill="F5F7FA"/>
          </w:tcPr>
          <w:p>
            <w:pPr>
              <w:spacing w:after="0" w:before="0" w:line="240" w:lineRule="auto"/>
            </w:pPr>
            <w:r/>
            <w:r>
              <w:rPr>
                <w:rFonts w:ascii="Aptos" w:hAnsi="Aptos"/>
                <w:b w:val="0"/>
                <w:color w:val="111827"/>
                <w:sz w:val="11"/>
              </w:rPr>
              <w:t>Not modeled as one category</w:t>
            </w:r>
          </w:p>
        </w:tc>
        <w:tc>
          <w:tcPr>
            <w:tcW w:type="dxa" w:w="864"/>
            <w:vAlign w:val="center"/>
            <w:shd w:fill="F5F7FA"/>
          </w:tcPr>
          <w:p>
            <w:pPr>
              <w:spacing w:after="0" w:before="0" w:line="240" w:lineRule="auto"/>
            </w:pPr>
            <w:r/>
            <w:r>
              <w:rPr>
                <w:rFonts w:ascii="Aptos" w:hAnsi="Aptos"/>
                <w:b w:val="0"/>
                <w:color w:val="111827"/>
                <w:sz w:val="11"/>
              </w:rPr>
              <w:t>Contract-dependent</w:t>
            </w:r>
          </w:p>
        </w:tc>
        <w:tc>
          <w:tcPr>
            <w:tcW w:type="dxa" w:w="1296"/>
            <w:vAlign w:val="center"/>
            <w:shd w:fill="F5F7FA"/>
          </w:tcPr>
          <w:p>
            <w:pPr>
              <w:spacing w:after="0" w:before="0" w:line="240" w:lineRule="auto"/>
            </w:pPr>
            <w:r/>
            <w:r>
              <w:rPr>
                <w:rFonts w:ascii="Aptos" w:hAnsi="Aptos"/>
                <w:b w:val="0"/>
                <w:color w:val="111827"/>
                <w:sz w:val="11"/>
              </w:rPr>
              <w:t>Seller-program election or platform rule</w:t>
            </w:r>
          </w:p>
        </w:tc>
        <w:tc>
          <w:tcPr>
            <w:tcW w:type="dxa" w:w="1584"/>
            <w:vAlign w:val="center"/>
            <w:shd w:fill="F5F7FA"/>
          </w:tcPr>
          <w:p>
            <w:pPr>
              <w:spacing w:after="0" w:before="0" w:line="240" w:lineRule="auto"/>
            </w:pPr>
            <w:r/>
            <w:r>
              <w:rPr>
                <w:rFonts w:ascii="Aptos" w:hAnsi="Aptos"/>
                <w:b w:val="0"/>
                <w:color w:val="111827"/>
                <w:sz w:val="11"/>
              </w:rPr>
              <w:t>Title, fee, fault and recovery allocation in private contracts</w:t>
            </w:r>
          </w:p>
        </w:tc>
      </w:tr>
    </w:tbl>
    <w:p>
      <w:pPr>
        <w:spacing w:after="0"/>
      </w:pPr>
    </w:p>
    <w:p>
      <w:pPr>
        <w:pStyle w:val="Caption"/>
        <w:jc w:val="left"/>
      </w:pPr>
      <w:r>
        <w:rPr>
          <w:b/>
        </w:rPr>
        <w:t>Exhibit 8. Category comparison</w:t>
      </w:r>
      <w:r>
        <w:rPr>
          <w:i/>
          <w:color w:val="6B7280"/>
        </w:rPr>
        <w:t xml:space="preserve">  Source: P01; P02; Model</w:t>
      </w:r>
    </w:p>
    <w:p>
      <w:pPr>
        <w:pStyle w:val="Heading2"/>
      </w:pPr>
      <w:r>
        <w:t>Company and platform comparison</w:t>
      </w:r>
    </w:p>
    <w:tbl>
      <w:tblPr>
        <w:tblStyle w:val="TableGrid"/>
        <w:tblW w:type="auto" w:w="0"/>
        <w:jc w:val="center"/>
        <w:tblLayout w:type="fixed"/>
        <w:tblLook w:firstColumn="1" w:firstRow="1" w:lastColumn="0" w:lastRow="0" w:noHBand="0" w:noVBand="1" w:val="04A0"/>
      </w:tblPr>
      <w:tblGrid>
        <w:gridCol w:w="2376"/>
        <w:gridCol w:w="2376"/>
        <w:gridCol w:w="2376"/>
        <w:gridCol w:w="2376"/>
        <w:gridCol w:w="2376"/>
        <w:gridCol w:w="2376"/>
      </w:tblGrid>
      <w:tr>
        <w:trPr>
          <w:tblHeader w:val="true"/>
        </w:trPr>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2"/>
              </w:rPr>
              <w:t>Company/platform</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2"/>
              </w:rPr>
              <w:t>Merchandise</w:t>
            </w:r>
          </w:p>
        </w:tc>
        <w:tc>
          <w:tcPr>
            <w:tcW w:type="dxa" w:w="2880"/>
            <w:vAlign w:val="center"/>
            <w:shd w:fill="17324D"/>
            <w:tcBorders>
              <w:bottom w:val="single" w:sz="8" w:color="FFFFFF"/>
            </w:tcBorders>
          </w:tcPr>
          <w:p>
            <w:pPr>
              <w:spacing w:after="0" w:before="0" w:line="240" w:lineRule="auto"/>
              <w:jc w:val="left"/>
            </w:pPr>
            <w:r/>
            <w:r>
              <w:rPr>
                <w:rFonts w:ascii="Aptos" w:hAnsi="Aptos"/>
                <w:b/>
                <w:color w:val="FFFFFF"/>
                <w:sz w:val="12"/>
              </w:rPr>
              <w:t>Policy anchor</w:t>
            </w:r>
          </w:p>
        </w:tc>
        <w:tc>
          <w:tcPr>
            <w:tcW w:type="dxa" w:w="2736"/>
            <w:vAlign w:val="center"/>
            <w:shd w:fill="17324D"/>
            <w:tcBorders>
              <w:bottom w:val="single" w:sz="8" w:color="FFFFFF"/>
            </w:tcBorders>
          </w:tcPr>
          <w:p>
            <w:pPr>
              <w:spacing w:after="0" w:before="0" w:line="240" w:lineRule="auto"/>
              <w:jc w:val="left"/>
            </w:pPr>
            <w:r/>
            <w:r>
              <w:rPr>
                <w:rFonts w:ascii="Aptos" w:hAnsi="Aptos"/>
                <w:b/>
                <w:color w:val="FFFFFF"/>
                <w:sz w:val="12"/>
              </w:rPr>
              <w:t>Network/inspection</w:t>
            </w:r>
          </w:p>
        </w:tc>
        <w:tc>
          <w:tcPr>
            <w:tcW w:type="dxa" w:w="2448"/>
            <w:vAlign w:val="center"/>
            <w:shd w:fill="17324D"/>
            <w:tcBorders>
              <w:bottom w:val="single" w:sz="8" w:color="FFFFFF"/>
            </w:tcBorders>
          </w:tcPr>
          <w:p>
            <w:pPr>
              <w:spacing w:after="0" w:before="0" w:line="240" w:lineRule="auto"/>
              <w:jc w:val="left"/>
            </w:pPr>
            <w:r/>
            <w:r>
              <w:rPr>
                <w:rFonts w:ascii="Aptos" w:hAnsi="Aptos"/>
                <w:b/>
                <w:color w:val="FFFFFF"/>
                <w:sz w:val="12"/>
              </w:rPr>
              <w:t>Disposition</w:t>
            </w:r>
          </w:p>
        </w:tc>
        <w:tc>
          <w:tcPr>
            <w:tcW w:type="dxa" w:w="2880"/>
            <w:vAlign w:val="center"/>
            <w:shd w:fill="17324D"/>
            <w:tcBorders>
              <w:bottom w:val="single" w:sz="8" w:color="FFFFFF"/>
            </w:tcBorders>
          </w:tcPr>
          <w:p>
            <w:pPr>
              <w:spacing w:after="0" w:before="0" w:line="240" w:lineRule="auto"/>
              <w:jc w:val="left"/>
            </w:pPr>
            <w:r/>
            <w:r>
              <w:rPr>
                <w:rFonts w:ascii="Aptos" w:hAnsi="Aptos"/>
                <w:b/>
                <w:color w:val="FFFFFF"/>
                <w:sz w:val="12"/>
              </w:rPr>
              <w:t>Loss allocation</w:t>
            </w:r>
          </w:p>
        </w:tc>
      </w:tr>
      <w:tr>
        <w:tc>
          <w:tcPr>
            <w:tcW w:type="dxa" w:w="1584"/>
            <w:vAlign w:val="center"/>
          </w:tcPr>
          <w:p>
            <w:pPr>
              <w:spacing w:after="0" w:before="0" w:line="240" w:lineRule="auto"/>
            </w:pPr>
            <w:r/>
            <w:r>
              <w:rPr>
                <w:rFonts w:ascii="Aptos" w:hAnsi="Aptos"/>
                <w:b/>
                <w:color w:val="111827"/>
                <w:sz w:val="12"/>
              </w:rPr>
              <w:t>Amazon retail and FBA</w:t>
            </w:r>
          </w:p>
        </w:tc>
        <w:tc>
          <w:tcPr>
            <w:tcW w:type="dxa" w:w="1728"/>
            <w:vAlign w:val="center"/>
          </w:tcPr>
          <w:p>
            <w:pPr>
              <w:spacing w:after="0" w:before="0" w:line="240" w:lineRule="auto"/>
            </w:pPr>
            <w:r/>
            <w:r>
              <w:rPr>
                <w:rFonts w:ascii="Aptos" w:hAnsi="Aptos"/>
                <w:b w:val="0"/>
                <w:color w:val="111827"/>
                <w:sz w:val="12"/>
              </w:rPr>
              <w:t>General merchandise; mixes Amazon-owned and third-party inventory</w:t>
            </w:r>
          </w:p>
        </w:tc>
        <w:tc>
          <w:tcPr>
            <w:tcW w:type="dxa" w:w="2880"/>
            <w:vAlign w:val="center"/>
          </w:tcPr>
          <w:p>
            <w:pPr>
              <w:spacing w:after="0" w:before="0" w:line="240" w:lineRule="auto"/>
            </w:pPr>
            <w:r/>
            <w:r>
              <w:rPr>
                <w:rFonts w:ascii="Aptos" w:hAnsi="Aptos"/>
                <w:b w:val="0"/>
                <w:color w:val="111827"/>
                <w:sz w:val="12"/>
              </w:rPr>
              <w:t>FBA outsources returns to Amazon. Seller programs include Returnless Resolutions, Liquidations, and Grade &amp; Resell. Seller-fulfilled refunds now give four calendar days from return-delivery scan before automated refunds.</w:t>
            </w:r>
          </w:p>
        </w:tc>
        <w:tc>
          <w:tcPr>
            <w:tcW w:type="dxa" w:w="2736"/>
            <w:vAlign w:val="center"/>
          </w:tcPr>
          <w:p>
            <w:pPr>
              <w:spacing w:after="0" w:before="0" w:line="240" w:lineRule="auto"/>
            </w:pPr>
            <w:r/>
            <w:r>
              <w:rPr>
                <w:rFonts w:ascii="Aptos" w:hAnsi="Aptos"/>
                <w:b w:val="0"/>
                <w:color w:val="111827"/>
                <w:sz w:val="12"/>
              </w:rPr>
              <w:t>Amazon says FBA stores, picks, packs, ships, and processes returns across hundreds of fulfillment centers.</w:t>
            </w:r>
          </w:p>
        </w:tc>
        <w:tc>
          <w:tcPr>
            <w:tcW w:type="dxa" w:w="2448"/>
            <w:vAlign w:val="center"/>
          </w:tcPr>
          <w:p>
            <w:pPr>
              <w:spacing w:after="0" w:before="0" w:line="240" w:lineRule="auto"/>
            </w:pPr>
            <w:r/>
            <w:r>
              <w:rPr>
                <w:rFonts w:ascii="Aptos" w:hAnsi="Aptos"/>
                <w:b w:val="0"/>
                <w:color w:val="111827"/>
                <w:sz w:val="12"/>
              </w:rPr>
              <w:t>Primary restock; Grade &amp; Resell used-condition relisting; FBA Liquidations; donation/resell claims in sustainability report; auction visibility through Amazon Liquidation Auctions on B-Stock.</w:t>
            </w:r>
          </w:p>
        </w:tc>
        <w:tc>
          <w:tcPr>
            <w:tcW w:type="dxa" w:w="2880"/>
            <w:vAlign w:val="center"/>
          </w:tcPr>
          <w:p>
            <w:pPr>
              <w:spacing w:after="0" w:before="0" w:line="240" w:lineRule="auto"/>
            </w:pPr>
            <w:r/>
            <w:r>
              <w:rPr>
                <w:rFonts w:ascii="Aptos" w:hAnsi="Aptos"/>
                <w:b w:val="0"/>
                <w:color w:val="111827"/>
                <w:sz w:val="12"/>
              </w:rPr>
              <w:t>Amazon retail carries return liabilities and recovery assets on its own books; FBA programs imply sellers remain economically exposed for their own inventory and fees.</w:t>
            </w:r>
          </w:p>
        </w:tc>
      </w:tr>
      <w:tr>
        <w:tc>
          <w:tcPr>
            <w:tcW w:type="dxa" w:w="1584"/>
            <w:vAlign w:val="center"/>
            <w:shd w:fill="F5F7FA"/>
          </w:tcPr>
          <w:p>
            <w:pPr>
              <w:spacing w:after="0" w:before="0" w:line="240" w:lineRule="auto"/>
            </w:pPr>
            <w:r/>
            <w:r>
              <w:rPr>
                <w:rFonts w:ascii="Aptos" w:hAnsi="Aptos"/>
                <w:b/>
                <w:color w:val="111827"/>
                <w:sz w:val="12"/>
              </w:rPr>
              <w:t>Walmart and WFS</w:t>
            </w:r>
          </w:p>
        </w:tc>
        <w:tc>
          <w:tcPr>
            <w:tcW w:type="dxa" w:w="1728"/>
            <w:vAlign w:val="center"/>
            <w:shd w:fill="F5F7FA"/>
          </w:tcPr>
          <w:p>
            <w:pPr>
              <w:spacing w:after="0" w:before="0" w:line="240" w:lineRule="auto"/>
            </w:pPr>
            <w:r/>
            <w:r>
              <w:rPr>
                <w:rFonts w:ascii="Aptos" w:hAnsi="Aptos"/>
                <w:b w:val="0"/>
                <w:color w:val="111827"/>
                <w:sz w:val="12"/>
              </w:rPr>
              <w:t>General merchandise, marketplace, grocery-adjacent, bulky categories</w:t>
            </w:r>
          </w:p>
        </w:tc>
        <w:tc>
          <w:tcPr>
            <w:tcW w:type="dxa" w:w="2880"/>
            <w:vAlign w:val="center"/>
            <w:shd w:fill="F5F7FA"/>
          </w:tcPr>
          <w:p>
            <w:pPr>
              <w:spacing w:after="0" w:before="0" w:line="240" w:lineRule="auto"/>
            </w:pPr>
            <w:r/>
            <w:r>
              <w:rPr>
                <w:rFonts w:ascii="Aptos" w:hAnsi="Aptos"/>
                <w:b w:val="0"/>
                <w:color w:val="111827"/>
                <w:sz w:val="12"/>
              </w:rPr>
              <w:t>Most Walmart-owned items: 90 days. Marketplace seller items: generally 30 days, with electronics and major-appliance exceptions.</w:t>
            </w:r>
          </w:p>
        </w:tc>
        <w:tc>
          <w:tcPr>
            <w:tcW w:type="dxa" w:w="2736"/>
            <w:vAlign w:val="center"/>
            <w:shd w:fill="F5F7FA"/>
          </w:tcPr>
          <w:p>
            <w:pPr>
              <w:spacing w:after="0" w:before="0" w:line="240" w:lineRule="auto"/>
            </w:pPr>
            <w:r/>
            <w:r>
              <w:rPr>
                <w:rFonts w:ascii="Aptos" w:hAnsi="Aptos"/>
                <w:b w:val="0"/>
                <w:color w:val="111827"/>
                <w:sz w:val="12"/>
              </w:rPr>
              <w:t>WFS sends return labels to Walmart fulfillment centers for inspection and handling. Sellers can set Keep It rules.</w:t>
            </w:r>
          </w:p>
        </w:tc>
        <w:tc>
          <w:tcPr>
            <w:tcW w:type="dxa" w:w="2448"/>
            <w:vAlign w:val="center"/>
            <w:shd w:fill="F5F7FA"/>
          </w:tcPr>
          <w:p>
            <w:pPr>
              <w:spacing w:after="0" w:before="0" w:line="240" w:lineRule="auto"/>
            </w:pPr>
            <w:r/>
            <w:r>
              <w:rPr>
                <w:rFonts w:ascii="Aptos" w:hAnsi="Aptos"/>
                <w:b w:val="0"/>
                <w:color w:val="111827"/>
                <w:sz w:val="12"/>
              </w:rPr>
              <w:t>Primary restock where feasible; WFS inspection; seller-directed keep-it; visible liquidation channel through Walmart Liquidation Auctions on B-Stock.</w:t>
            </w:r>
          </w:p>
        </w:tc>
        <w:tc>
          <w:tcPr>
            <w:tcW w:type="dxa" w:w="2880"/>
            <w:vAlign w:val="center"/>
            <w:shd w:fill="F5F7FA"/>
          </w:tcPr>
          <w:p>
            <w:pPr>
              <w:spacing w:after="0" w:before="0" w:line="240" w:lineRule="auto"/>
            </w:pPr>
            <w:r/>
            <w:r>
              <w:rPr>
                <w:rFonts w:ascii="Aptos" w:hAnsi="Aptos"/>
                <w:b w:val="0"/>
                <w:color w:val="111827"/>
                <w:sz w:val="12"/>
              </w:rPr>
              <w:t>Walmart covers return shipping only for Walmart-at-fault WFS returns; sellers pay return processing otherwise. Big &amp; bulky return fees are explicit.</w:t>
            </w:r>
          </w:p>
        </w:tc>
      </w:tr>
      <w:tr>
        <w:tc>
          <w:tcPr>
            <w:tcW w:type="dxa" w:w="1584"/>
            <w:vAlign w:val="center"/>
          </w:tcPr>
          <w:p>
            <w:pPr>
              <w:spacing w:after="0" w:before="0" w:line="240" w:lineRule="auto"/>
            </w:pPr>
            <w:r/>
            <w:r>
              <w:rPr>
                <w:rFonts w:ascii="Aptos" w:hAnsi="Aptos"/>
                <w:b/>
                <w:color w:val="111827"/>
                <w:sz w:val="12"/>
              </w:rPr>
              <w:t>Target and Target Plus</w:t>
            </w:r>
          </w:p>
        </w:tc>
        <w:tc>
          <w:tcPr>
            <w:tcW w:type="dxa" w:w="1728"/>
            <w:vAlign w:val="center"/>
          </w:tcPr>
          <w:p>
            <w:pPr>
              <w:spacing w:after="0" w:before="0" w:line="240" w:lineRule="auto"/>
            </w:pPr>
            <w:r/>
            <w:r>
              <w:rPr>
                <w:rFonts w:ascii="Aptos" w:hAnsi="Aptos"/>
                <w:b w:val="0"/>
                <w:color w:val="111827"/>
                <w:sz w:val="12"/>
              </w:rPr>
              <w:t>Large omnichannel retailer with store-heavy network plus partner marketplace</w:t>
            </w:r>
          </w:p>
        </w:tc>
        <w:tc>
          <w:tcPr>
            <w:tcW w:type="dxa" w:w="2880"/>
            <w:vAlign w:val="center"/>
          </w:tcPr>
          <w:p>
            <w:pPr>
              <w:spacing w:after="0" w:before="0" w:line="240" w:lineRule="auto"/>
            </w:pPr>
            <w:r/>
            <w:r>
              <w:rPr>
                <w:rFonts w:ascii="Aptos" w:hAnsi="Aptos"/>
                <w:b w:val="0"/>
                <w:color w:val="111827"/>
                <w:sz w:val="12"/>
              </w:rPr>
              <w:t>Most unopened Target items in new condition: 90 days. Target Plus partner items: mostly 30 days, returned to Target in store or by mail.</w:t>
            </w:r>
          </w:p>
        </w:tc>
        <w:tc>
          <w:tcPr>
            <w:tcW w:type="dxa" w:w="2736"/>
            <w:vAlign w:val="center"/>
          </w:tcPr>
          <w:p>
            <w:pPr>
              <w:spacing w:after="0" w:before="0" w:line="240" w:lineRule="auto"/>
            </w:pPr>
            <w:r/>
            <w:r>
              <w:rPr>
                <w:rFonts w:ascii="Aptos" w:hAnsi="Aptos"/>
                <w:b w:val="0"/>
                <w:color w:val="111827"/>
                <w:sz w:val="12"/>
              </w:rPr>
              <w:t>Store reverse-logistics role references Central Return Center, donations, electronics recycling, transfers, salvage, inventory removals, vendor credits, and ESIM logs.</w:t>
            </w:r>
          </w:p>
        </w:tc>
        <w:tc>
          <w:tcPr>
            <w:tcW w:type="dxa" w:w="2448"/>
            <w:vAlign w:val="center"/>
          </w:tcPr>
          <w:p>
            <w:pPr>
              <w:spacing w:after="0" w:before="0" w:line="240" w:lineRule="auto"/>
            </w:pPr>
            <w:r/>
            <w:r>
              <w:rPr>
                <w:rFonts w:ascii="Aptos" w:hAnsi="Aptos"/>
                <w:b w:val="0"/>
                <w:color w:val="111827"/>
                <w:sz w:val="12"/>
              </w:rPr>
              <w:t>Restock, CRC routing, donation, electronics recycling, salvage, vendor credit, inventory removals.</w:t>
            </w:r>
          </w:p>
        </w:tc>
        <w:tc>
          <w:tcPr>
            <w:tcW w:type="dxa" w:w="2880"/>
            <w:vAlign w:val="center"/>
          </w:tcPr>
          <w:p>
            <w:pPr>
              <w:spacing w:after="0" w:before="0" w:line="240" w:lineRule="auto"/>
            </w:pPr>
            <w:r/>
            <w:r>
              <w:rPr>
                <w:rFonts w:ascii="Aptos" w:hAnsi="Aptos"/>
                <w:b w:val="0"/>
                <w:color w:val="111827"/>
                <w:sz w:val="12"/>
              </w:rPr>
              <w:t>Platform experience is consumer-facing, but vendor credits and partner differences matter behind the scenes. Partner items physically come back to Target, but contractual loss-sharing is more fragmented than for owned inventory.</w:t>
            </w:r>
          </w:p>
        </w:tc>
      </w:tr>
      <w:tr>
        <w:tc>
          <w:tcPr>
            <w:tcW w:type="dxa" w:w="1584"/>
            <w:vAlign w:val="center"/>
            <w:shd w:fill="F5F7FA"/>
          </w:tcPr>
          <w:p>
            <w:pPr>
              <w:spacing w:after="0" w:before="0" w:line="240" w:lineRule="auto"/>
            </w:pPr>
            <w:r/>
            <w:r>
              <w:rPr>
                <w:rFonts w:ascii="Aptos" w:hAnsi="Aptos"/>
                <w:b/>
                <w:color w:val="111827"/>
                <w:sz w:val="12"/>
              </w:rPr>
              <w:t>Best Buy and marketplace partners</w:t>
            </w:r>
          </w:p>
        </w:tc>
        <w:tc>
          <w:tcPr>
            <w:tcW w:type="dxa" w:w="1728"/>
            <w:vAlign w:val="center"/>
            <w:shd w:fill="F5F7FA"/>
          </w:tcPr>
          <w:p>
            <w:pPr>
              <w:spacing w:after="0" w:before="0" w:line="240" w:lineRule="auto"/>
            </w:pPr>
            <w:r/>
            <w:r>
              <w:rPr>
                <w:rFonts w:ascii="Aptos" w:hAnsi="Aptos"/>
                <w:b w:val="0"/>
                <w:color w:val="111827"/>
                <w:sz w:val="12"/>
              </w:rPr>
              <w:t>Electronics-heavy retailer with open-box and partner marketplace features</w:t>
            </w:r>
          </w:p>
        </w:tc>
        <w:tc>
          <w:tcPr>
            <w:tcW w:type="dxa" w:w="2880"/>
            <w:vAlign w:val="center"/>
            <w:shd w:fill="F5F7FA"/>
          </w:tcPr>
          <w:p>
            <w:pPr>
              <w:spacing w:after="0" w:before="0" w:line="240" w:lineRule="auto"/>
            </w:pPr>
            <w:r/>
            <w:r>
              <w:rPr>
                <w:rFonts w:ascii="Aptos" w:hAnsi="Aptos"/>
                <w:b w:val="0"/>
                <w:color w:val="111827"/>
                <w:sz w:val="12"/>
              </w:rPr>
              <w:t>Standard window is short; some categories are nonreturnable once opened, including bodily-fluid-interacting goods and many marketplace entertainment goods.</w:t>
            </w:r>
          </w:p>
        </w:tc>
        <w:tc>
          <w:tcPr>
            <w:tcW w:type="dxa" w:w="2736"/>
            <w:vAlign w:val="center"/>
            <w:shd w:fill="F5F7FA"/>
          </w:tcPr>
          <w:p>
            <w:pPr>
              <w:spacing w:after="0" w:before="0" w:line="240" w:lineRule="auto"/>
            </w:pPr>
            <w:r/>
            <w:r>
              <w:rPr>
                <w:rFonts w:ascii="Aptos" w:hAnsi="Aptos"/>
                <w:b w:val="0"/>
                <w:color w:val="111827"/>
                <w:sz w:val="12"/>
              </w:rPr>
              <w:t>Policy differentiates Best Buy inventory and Marketplace Seller inventory; marketplace restrictions and packaging requirements are explicit.</w:t>
            </w:r>
          </w:p>
        </w:tc>
        <w:tc>
          <w:tcPr>
            <w:tcW w:type="dxa" w:w="2448"/>
            <w:vAlign w:val="center"/>
            <w:shd w:fill="F5F7FA"/>
          </w:tcPr>
          <w:p>
            <w:pPr>
              <w:spacing w:after="0" w:before="0" w:line="240" w:lineRule="auto"/>
            </w:pPr>
            <w:r/>
            <w:r>
              <w:rPr>
                <w:rFonts w:ascii="Aptos" w:hAnsi="Aptos"/>
                <w:b w:val="0"/>
                <w:color w:val="111827"/>
                <w:sz w:val="12"/>
              </w:rPr>
              <w:t>New restock, open-box, refurbished, pre-owned, recycling, and marketplace-partner-specific flows.</w:t>
            </w:r>
          </w:p>
        </w:tc>
        <w:tc>
          <w:tcPr>
            <w:tcW w:type="dxa" w:w="2880"/>
            <w:vAlign w:val="center"/>
            <w:shd w:fill="F5F7FA"/>
          </w:tcPr>
          <w:p>
            <w:pPr>
              <w:spacing w:after="0" w:before="0" w:line="240" w:lineRule="auto"/>
            </w:pPr>
            <w:r/>
            <w:r>
              <w:rPr>
                <w:rFonts w:ascii="Aptos" w:hAnsi="Aptos"/>
                <w:b w:val="0"/>
                <w:color w:val="111827"/>
                <w:sz w:val="12"/>
              </w:rPr>
              <w:t>Short windows and opened-item restrictions reduce recoverability risk. Vendor allowances are economically important in inventory and cost of sales.</w:t>
            </w:r>
          </w:p>
        </w:tc>
      </w:tr>
      <w:tr>
        <w:tc>
          <w:tcPr>
            <w:tcW w:type="dxa" w:w="1584"/>
            <w:vAlign w:val="center"/>
          </w:tcPr>
          <w:p>
            <w:pPr>
              <w:spacing w:after="0" w:before="0" w:line="240" w:lineRule="auto"/>
            </w:pPr>
            <w:r/>
            <w:r>
              <w:rPr>
                <w:rFonts w:ascii="Aptos" w:hAnsi="Aptos"/>
                <w:b/>
                <w:color w:val="111827"/>
                <w:sz w:val="12"/>
              </w:rPr>
              <w:t>Wayfair</w:t>
            </w:r>
          </w:p>
        </w:tc>
        <w:tc>
          <w:tcPr>
            <w:tcW w:type="dxa" w:w="1728"/>
            <w:vAlign w:val="center"/>
          </w:tcPr>
          <w:p>
            <w:pPr>
              <w:spacing w:after="0" w:before="0" w:line="240" w:lineRule="auto"/>
            </w:pPr>
            <w:r/>
            <w:r>
              <w:rPr>
                <w:rFonts w:ascii="Aptos" w:hAnsi="Aptos"/>
                <w:b w:val="0"/>
                <w:color w:val="111827"/>
                <w:sz w:val="12"/>
              </w:rPr>
              <w:t>Furniture and bulky home goods, high ship-cost and damage exposure</w:t>
            </w:r>
          </w:p>
        </w:tc>
        <w:tc>
          <w:tcPr>
            <w:tcW w:type="dxa" w:w="2880"/>
            <w:vAlign w:val="center"/>
          </w:tcPr>
          <w:p>
            <w:pPr>
              <w:spacing w:after="0" w:before="0" w:line="240" w:lineRule="auto"/>
            </w:pPr>
            <w:r/>
            <w:r>
              <w:rPr>
                <w:rFonts w:ascii="Aptos" w:hAnsi="Aptos"/>
                <w:b w:val="0"/>
                <w:color w:val="111827"/>
                <w:sz w:val="12"/>
              </w:rPr>
              <w:t>Wayfair public help pages are less transparent in scraped text, but its SEC disclosures emphasize customer returns risk and large-item special handling.</w:t>
            </w:r>
          </w:p>
        </w:tc>
        <w:tc>
          <w:tcPr>
            <w:tcW w:type="dxa" w:w="2736"/>
            <w:vAlign w:val="center"/>
          </w:tcPr>
          <w:p>
            <w:pPr>
              <w:spacing w:after="0" w:before="0" w:line="240" w:lineRule="auto"/>
            </w:pPr>
            <w:r/>
            <w:r>
              <w:rPr>
                <w:rFonts w:ascii="Aptos" w:hAnsi="Aptos"/>
                <w:b w:val="0"/>
                <w:color w:val="111827"/>
                <w:sz w:val="12"/>
              </w:rPr>
              <w:t>SEC filing says many products are large, need special handling, and can be damaged in transit; logistics footprint includes warehouses, consolidation centers, cross-docks, and last-mile facilities.</w:t>
            </w:r>
          </w:p>
        </w:tc>
        <w:tc>
          <w:tcPr>
            <w:tcW w:type="dxa" w:w="2448"/>
            <w:vAlign w:val="center"/>
          </w:tcPr>
          <w:p>
            <w:pPr>
              <w:spacing w:after="0" w:before="0" w:line="240" w:lineRule="auto"/>
            </w:pPr>
            <w:r/>
            <w:r>
              <w:rPr>
                <w:rFonts w:ascii="Aptos" w:hAnsi="Aptos"/>
                <w:b w:val="0"/>
                <w:color w:val="111827"/>
                <w:sz w:val="12"/>
              </w:rPr>
              <w:t>Restock where undamaged; open-box and closeout paths exist commercially, but public contract-level disclosure is thin; liquidation likely on bulky/problem inventory.</w:t>
            </w:r>
          </w:p>
        </w:tc>
        <w:tc>
          <w:tcPr>
            <w:tcW w:type="dxa" w:w="2880"/>
            <w:vAlign w:val="center"/>
          </w:tcPr>
          <w:p>
            <w:pPr>
              <w:spacing w:after="0" w:before="0" w:line="240" w:lineRule="auto"/>
            </w:pPr>
            <w:r/>
            <w:r>
              <w:rPr>
                <w:rFonts w:ascii="Aptos" w:hAnsi="Aptos"/>
                <w:b w:val="0"/>
                <w:color w:val="111827"/>
                <w:sz w:val="12"/>
              </w:rPr>
              <w:t>Freight and transit-damage economics dominate; resale delays are especially costly in large home categories.</w:t>
            </w:r>
          </w:p>
        </w:tc>
      </w:tr>
      <w:tr>
        <w:tc>
          <w:tcPr>
            <w:tcW w:type="dxa" w:w="1584"/>
            <w:vAlign w:val="center"/>
            <w:shd w:fill="F5F7FA"/>
          </w:tcPr>
          <w:p>
            <w:pPr>
              <w:spacing w:after="0" w:before="0" w:line="240" w:lineRule="auto"/>
            </w:pPr>
            <w:r/>
            <w:r>
              <w:rPr>
                <w:rFonts w:ascii="Aptos" w:hAnsi="Aptos"/>
                <w:b/>
                <w:color w:val="111827"/>
                <w:sz w:val="12"/>
              </w:rPr>
              <w:t>IKEA</w:t>
            </w:r>
          </w:p>
        </w:tc>
        <w:tc>
          <w:tcPr>
            <w:tcW w:type="dxa" w:w="1728"/>
            <w:vAlign w:val="center"/>
            <w:shd w:fill="F5F7FA"/>
          </w:tcPr>
          <w:p>
            <w:pPr>
              <w:spacing w:after="0" w:before="0" w:line="240" w:lineRule="auto"/>
            </w:pPr>
            <w:r/>
            <w:r>
              <w:rPr>
                <w:rFonts w:ascii="Aptos" w:hAnsi="Aptos"/>
                <w:b w:val="0"/>
                <w:color w:val="111827"/>
                <w:sz w:val="12"/>
              </w:rPr>
              <w:t>Furniture and home goods with high flat-pack share plus mattresses</w:t>
            </w:r>
          </w:p>
        </w:tc>
        <w:tc>
          <w:tcPr>
            <w:tcW w:type="dxa" w:w="2880"/>
            <w:vAlign w:val="center"/>
            <w:shd w:fill="F5F7FA"/>
          </w:tcPr>
          <w:p>
            <w:pPr>
              <w:spacing w:after="0" w:before="0" w:line="240" w:lineRule="auto"/>
            </w:pPr>
            <w:r/>
            <w:r>
              <w:rPr>
                <w:rFonts w:ascii="Aptos" w:hAnsi="Aptos"/>
                <w:b w:val="0"/>
                <w:color w:val="111827"/>
                <w:sz w:val="12"/>
              </w:rPr>
              <w:t>Unopened products: 365 days. Open products: 180 days. Mattresses: one exchange within 90 days.</w:t>
            </w:r>
          </w:p>
        </w:tc>
        <w:tc>
          <w:tcPr>
            <w:tcW w:type="dxa" w:w="2736"/>
            <w:vAlign w:val="center"/>
            <w:shd w:fill="F5F7FA"/>
          </w:tcPr>
          <w:p>
            <w:pPr>
              <w:spacing w:after="0" w:before="0" w:line="240" w:lineRule="auto"/>
            </w:pPr>
            <w:r/>
            <w:r>
              <w:rPr>
                <w:rFonts w:ascii="Aptos" w:hAnsi="Aptos"/>
                <w:b w:val="0"/>
                <w:color w:val="111827"/>
                <w:sz w:val="12"/>
              </w:rPr>
              <w:t>Heavy store network changes reverse economics versus pure e-commerce furniture.</w:t>
            </w:r>
          </w:p>
        </w:tc>
        <w:tc>
          <w:tcPr>
            <w:tcW w:type="dxa" w:w="2448"/>
            <w:vAlign w:val="center"/>
            <w:shd w:fill="F5F7FA"/>
          </w:tcPr>
          <w:p>
            <w:pPr>
              <w:spacing w:after="0" w:before="0" w:line="240" w:lineRule="auto"/>
            </w:pPr>
            <w:r/>
            <w:r>
              <w:rPr>
                <w:rFonts w:ascii="Aptos" w:hAnsi="Aptos"/>
                <w:b w:val="0"/>
                <w:color w:val="111827"/>
                <w:sz w:val="12"/>
              </w:rPr>
              <w:t>Re-entry to stock for unopened or fit-for-sale goods; exchange program for mattresses; secondary or disposal routes still needed for damaged/opened goods.</w:t>
            </w:r>
          </w:p>
        </w:tc>
        <w:tc>
          <w:tcPr>
            <w:tcW w:type="dxa" w:w="2880"/>
            <w:vAlign w:val="center"/>
            <w:shd w:fill="F5F7FA"/>
          </w:tcPr>
          <w:p>
            <w:pPr>
              <w:spacing w:after="0" w:before="0" w:line="240" w:lineRule="auto"/>
            </w:pPr>
            <w:r/>
            <w:r>
              <w:rPr>
                <w:rFonts w:ascii="Aptos" w:hAnsi="Aptos"/>
                <w:b w:val="0"/>
                <w:color w:val="111827"/>
                <w:sz w:val="12"/>
              </w:rPr>
              <w:t>Flat-pack format improves recoverability versus assembled furniture, but mattress flows are separate and replacement-heavy.</w:t>
            </w:r>
          </w:p>
        </w:tc>
      </w:tr>
      <w:tr>
        <w:tc>
          <w:tcPr>
            <w:tcW w:type="dxa" w:w="1584"/>
            <w:vAlign w:val="center"/>
          </w:tcPr>
          <w:p>
            <w:pPr>
              <w:spacing w:after="0" w:before="0" w:line="240" w:lineRule="auto"/>
            </w:pPr>
            <w:r/>
            <w:r>
              <w:rPr>
                <w:rFonts w:ascii="Aptos" w:hAnsi="Aptos"/>
                <w:b/>
                <w:color w:val="111827"/>
                <w:sz w:val="12"/>
              </w:rPr>
              <w:t>Ulta Beauty</w:t>
            </w:r>
          </w:p>
        </w:tc>
        <w:tc>
          <w:tcPr>
            <w:tcW w:type="dxa" w:w="1728"/>
            <w:vAlign w:val="center"/>
          </w:tcPr>
          <w:p>
            <w:pPr>
              <w:spacing w:after="0" w:before="0" w:line="240" w:lineRule="auto"/>
            </w:pPr>
            <w:r/>
            <w:r>
              <w:rPr>
                <w:rFonts w:ascii="Aptos" w:hAnsi="Aptos"/>
                <w:b w:val="0"/>
                <w:color w:val="111827"/>
                <w:sz w:val="12"/>
              </w:rPr>
              <w:t>Beauty, cosmetics, personal care</w:t>
            </w:r>
          </w:p>
        </w:tc>
        <w:tc>
          <w:tcPr>
            <w:tcW w:type="dxa" w:w="2880"/>
            <w:vAlign w:val="center"/>
          </w:tcPr>
          <w:p>
            <w:pPr>
              <w:spacing w:after="0" w:before="0" w:line="240" w:lineRule="auto"/>
            </w:pPr>
            <w:r/>
            <w:r>
              <w:rPr>
                <w:rFonts w:ascii="Aptos" w:hAnsi="Aptos"/>
                <w:b w:val="0"/>
                <w:color w:val="111827"/>
                <w:sz w:val="12"/>
              </w:rPr>
              <w:t>Returned-merchandise policy is blunt: used, damaged, or expired products are not resold and are disposed of.</w:t>
            </w:r>
          </w:p>
        </w:tc>
        <w:tc>
          <w:tcPr>
            <w:tcW w:type="dxa" w:w="2736"/>
            <w:vAlign w:val="center"/>
          </w:tcPr>
          <w:p>
            <w:pPr>
              <w:spacing w:after="0" w:before="0" w:line="240" w:lineRule="auto"/>
            </w:pPr>
            <w:r/>
            <w:r>
              <w:rPr>
                <w:rFonts w:ascii="Aptos" w:hAnsi="Aptos"/>
                <w:b w:val="0"/>
                <w:color w:val="111827"/>
                <w:sz w:val="12"/>
              </w:rPr>
              <w:t>Store-centric network reduces mail handling for many returns, but the key issue is not routing, it is resale eligibility.</w:t>
            </w:r>
          </w:p>
        </w:tc>
        <w:tc>
          <w:tcPr>
            <w:tcW w:type="dxa" w:w="2448"/>
            <w:vAlign w:val="center"/>
          </w:tcPr>
          <w:p>
            <w:pPr>
              <w:spacing w:after="0" w:before="0" w:line="240" w:lineRule="auto"/>
            </w:pPr>
            <w:r/>
            <w:r>
              <w:rPr>
                <w:rFonts w:ascii="Aptos" w:hAnsi="Aptos"/>
                <w:b w:val="0"/>
                <w:color w:val="111827"/>
                <w:sz w:val="12"/>
              </w:rPr>
              <w:t>Limited primary restock for unused compliant goods; nonstandard beauty returns go to disposal, not resale.</w:t>
            </w:r>
          </w:p>
        </w:tc>
        <w:tc>
          <w:tcPr>
            <w:tcW w:type="dxa" w:w="2880"/>
            <w:vAlign w:val="center"/>
          </w:tcPr>
          <w:p>
            <w:pPr>
              <w:spacing w:after="0" w:before="0" w:line="240" w:lineRule="auto"/>
            </w:pPr>
            <w:r/>
            <w:r>
              <w:rPr>
                <w:rFonts w:ascii="Aptos" w:hAnsi="Aptos"/>
                <w:b w:val="0"/>
                <w:color w:val="111827"/>
                <w:sz w:val="12"/>
              </w:rPr>
              <w:t>Here the loss is often the product cost plus handling, with little secondary recovery once product integrity is uncertain.</w:t>
            </w:r>
          </w:p>
        </w:tc>
      </w:tr>
      <w:tr>
        <w:tc>
          <w:tcPr>
            <w:tcW w:type="dxa" w:w="1584"/>
            <w:vAlign w:val="center"/>
            <w:shd w:fill="F5F7FA"/>
          </w:tcPr>
          <w:p>
            <w:pPr>
              <w:spacing w:after="0" w:before="0" w:line="240" w:lineRule="auto"/>
            </w:pPr>
            <w:r/>
            <w:r>
              <w:rPr>
                <w:rFonts w:ascii="Aptos" w:hAnsi="Aptos"/>
                <w:b/>
                <w:color w:val="111827"/>
                <w:sz w:val="12"/>
              </w:rPr>
              <w:t>Nike</w:t>
            </w:r>
          </w:p>
        </w:tc>
        <w:tc>
          <w:tcPr>
            <w:tcW w:type="dxa" w:w="1728"/>
            <w:vAlign w:val="center"/>
            <w:shd w:fill="F5F7FA"/>
          </w:tcPr>
          <w:p>
            <w:pPr>
              <w:spacing w:after="0" w:before="0" w:line="240" w:lineRule="auto"/>
            </w:pPr>
            <w:r/>
            <w:r>
              <w:rPr>
                <w:rFonts w:ascii="Aptos" w:hAnsi="Aptos"/>
                <w:b w:val="0"/>
                <w:color w:val="111827"/>
                <w:sz w:val="12"/>
              </w:rPr>
              <w:t>DTC apparel and footwear with brand control</w:t>
            </w:r>
          </w:p>
        </w:tc>
        <w:tc>
          <w:tcPr>
            <w:tcW w:type="dxa" w:w="2880"/>
            <w:vAlign w:val="center"/>
            <w:shd w:fill="F5F7FA"/>
          </w:tcPr>
          <w:p>
            <w:pPr>
              <w:spacing w:after="0" w:before="0" w:line="240" w:lineRule="auto"/>
            </w:pPr>
            <w:r/>
            <w:r>
              <w:rPr>
                <w:rFonts w:ascii="Aptos" w:hAnsi="Aptos"/>
                <w:b w:val="0"/>
                <w:color w:val="111827"/>
                <w:sz w:val="12"/>
              </w:rPr>
              <w:t>60-day return or exchange window with proof of purchase; some products must remain sealed or cannot be returned.</w:t>
            </w:r>
          </w:p>
        </w:tc>
        <w:tc>
          <w:tcPr>
            <w:tcW w:type="dxa" w:w="2736"/>
            <w:vAlign w:val="center"/>
            <w:shd w:fill="F5F7FA"/>
          </w:tcPr>
          <w:p>
            <w:pPr>
              <w:spacing w:after="0" w:before="0" w:line="240" w:lineRule="auto"/>
            </w:pPr>
            <w:r/>
            <w:r>
              <w:rPr>
                <w:rFonts w:ascii="Aptos" w:hAnsi="Aptos"/>
                <w:b w:val="0"/>
                <w:color w:val="111827"/>
                <w:sz w:val="12"/>
              </w:rPr>
              <w:t>Brand-controlled DTC network improves authorization and fraud checks.</w:t>
            </w:r>
          </w:p>
        </w:tc>
        <w:tc>
          <w:tcPr>
            <w:tcW w:type="dxa" w:w="2448"/>
            <w:vAlign w:val="center"/>
            <w:shd w:fill="F5F7FA"/>
          </w:tcPr>
          <w:p>
            <w:pPr>
              <w:spacing w:after="0" w:before="0" w:line="240" w:lineRule="auto"/>
            </w:pPr>
            <w:r/>
            <w:r>
              <w:rPr>
                <w:rFonts w:ascii="Aptos" w:hAnsi="Aptos"/>
                <w:b w:val="0"/>
                <w:color w:val="111827"/>
                <w:sz w:val="12"/>
              </w:rPr>
              <w:t>Restock as new when condition passes; likely factory/outlet or recommerce for other items, though Nike does not publicly publish a full return-disposition ladder.</w:t>
            </w:r>
          </w:p>
        </w:tc>
        <w:tc>
          <w:tcPr>
            <w:tcW w:type="dxa" w:w="2880"/>
            <w:vAlign w:val="center"/>
            <w:shd w:fill="F5F7FA"/>
          </w:tcPr>
          <w:p>
            <w:pPr>
              <w:spacing w:after="0" w:before="0" w:line="240" w:lineRule="auto"/>
            </w:pPr>
            <w:r/>
            <w:r>
              <w:rPr>
                <w:rFonts w:ascii="Aptos" w:hAnsi="Aptos"/>
                <w:b w:val="0"/>
                <w:color w:val="111827"/>
                <w:sz w:val="12"/>
              </w:rPr>
              <w:t>Nike carries both a sales-related reserve and a separate inventory reserve, showing both refund and inventory-value exposure.</w:t>
            </w:r>
          </w:p>
        </w:tc>
      </w:tr>
      <w:tr>
        <w:tc>
          <w:tcPr>
            <w:tcW w:type="dxa" w:w="1584"/>
            <w:vAlign w:val="center"/>
          </w:tcPr>
          <w:p>
            <w:pPr>
              <w:spacing w:after="0" w:before="0" w:line="240" w:lineRule="auto"/>
            </w:pPr>
            <w:r/>
            <w:r>
              <w:rPr>
                <w:rFonts w:ascii="Aptos" w:hAnsi="Aptos"/>
                <w:b/>
                <w:color w:val="111827"/>
                <w:sz w:val="12"/>
              </w:rPr>
              <w:t>ASOS</w:t>
            </w:r>
          </w:p>
        </w:tc>
        <w:tc>
          <w:tcPr>
            <w:tcW w:type="dxa" w:w="1728"/>
            <w:vAlign w:val="center"/>
          </w:tcPr>
          <w:p>
            <w:pPr>
              <w:spacing w:after="0" w:before="0" w:line="240" w:lineRule="auto"/>
            </w:pPr>
            <w:r/>
            <w:r>
              <w:rPr>
                <w:rFonts w:ascii="Aptos" w:hAnsi="Aptos"/>
                <w:b w:val="0"/>
                <w:color w:val="111827"/>
                <w:sz w:val="12"/>
              </w:rPr>
              <w:t>Apparel-heavy e-commerce with high return incidence</w:t>
            </w:r>
          </w:p>
        </w:tc>
        <w:tc>
          <w:tcPr>
            <w:tcW w:type="dxa" w:w="2880"/>
            <w:vAlign w:val="center"/>
          </w:tcPr>
          <w:p>
            <w:pPr>
              <w:spacing w:after="0" w:before="0" w:line="240" w:lineRule="auto"/>
            </w:pPr>
            <w:r/>
            <w:r>
              <w:rPr>
                <w:rFonts w:ascii="Aptos" w:hAnsi="Aptos"/>
                <w:b w:val="0"/>
                <w:color w:val="111827"/>
                <w:sz w:val="12"/>
              </w:rPr>
              <w:t>Original-condition rule, typically 28 days. Fair-use policy applies, and some high-return customers face a £3.95 deduction.</w:t>
            </w:r>
          </w:p>
        </w:tc>
        <w:tc>
          <w:tcPr>
            <w:tcW w:type="dxa" w:w="2736"/>
            <w:vAlign w:val="center"/>
          </w:tcPr>
          <w:p>
            <w:pPr>
              <w:spacing w:after="0" w:before="0" w:line="240" w:lineRule="auto"/>
            </w:pPr>
            <w:r/>
            <w:r>
              <w:rPr>
                <w:rFonts w:ascii="Aptos" w:hAnsi="Aptos"/>
                <w:b w:val="0"/>
                <w:color w:val="111827"/>
                <w:sz w:val="12"/>
              </w:rPr>
              <w:t>Centralized parcel returns; customer feedback box in return flow; brand-partner items can have separate processing times.</w:t>
            </w:r>
          </w:p>
        </w:tc>
        <w:tc>
          <w:tcPr>
            <w:tcW w:type="dxa" w:w="2448"/>
            <w:vAlign w:val="center"/>
          </w:tcPr>
          <w:p>
            <w:pPr>
              <w:spacing w:after="0" w:before="0" w:line="240" w:lineRule="auto"/>
            </w:pPr>
            <w:r/>
            <w:r>
              <w:rPr>
                <w:rFonts w:ascii="Aptos" w:hAnsi="Aptos"/>
                <w:b w:val="0"/>
                <w:color w:val="111827"/>
                <w:sz w:val="12"/>
              </w:rPr>
              <w:t>New-condition restock where possible; markdown, outlet, partner return, or disposal where not.</w:t>
            </w:r>
          </w:p>
        </w:tc>
        <w:tc>
          <w:tcPr>
            <w:tcW w:type="dxa" w:w="2880"/>
            <w:vAlign w:val="center"/>
          </w:tcPr>
          <w:p>
            <w:pPr>
              <w:spacing w:after="0" w:before="0" w:line="240" w:lineRule="auto"/>
            </w:pPr>
            <w:r/>
            <w:r>
              <w:rPr>
                <w:rFonts w:ascii="Aptos" w:hAnsi="Aptos"/>
                <w:b w:val="0"/>
                <w:color w:val="111827"/>
                <w:sz w:val="12"/>
              </w:rPr>
              <w:t>ASOS has been explicit that tighter return economics improved profitability and order quality, especially in high-return segments.</w:t>
            </w:r>
          </w:p>
        </w:tc>
      </w:tr>
      <w:tr>
        <w:tc>
          <w:tcPr>
            <w:tcW w:type="dxa" w:w="1584"/>
            <w:vAlign w:val="center"/>
            <w:shd w:fill="F5F7FA"/>
          </w:tcPr>
          <w:p>
            <w:pPr>
              <w:spacing w:after="0" w:before="0" w:line="240" w:lineRule="auto"/>
            </w:pPr>
            <w:r/>
            <w:r>
              <w:rPr>
                <w:rFonts w:ascii="Aptos" w:hAnsi="Aptos"/>
                <w:b/>
                <w:color w:val="111827"/>
                <w:sz w:val="12"/>
              </w:rPr>
              <w:t>eBay</w:t>
            </w:r>
          </w:p>
        </w:tc>
        <w:tc>
          <w:tcPr>
            <w:tcW w:type="dxa" w:w="1728"/>
            <w:vAlign w:val="center"/>
            <w:shd w:fill="F5F7FA"/>
          </w:tcPr>
          <w:p>
            <w:pPr>
              <w:spacing w:after="0" w:before="0" w:line="240" w:lineRule="auto"/>
            </w:pPr>
            <w:r/>
            <w:r>
              <w:rPr>
                <w:rFonts w:ascii="Aptos" w:hAnsi="Aptos"/>
                <w:b w:val="0"/>
                <w:color w:val="111827"/>
                <w:sz w:val="12"/>
              </w:rPr>
              <w:t>Marketplace, mostly seller-owned inventory</w:t>
            </w:r>
          </w:p>
        </w:tc>
        <w:tc>
          <w:tcPr>
            <w:tcW w:type="dxa" w:w="2880"/>
            <w:vAlign w:val="center"/>
            <w:shd w:fill="F5F7FA"/>
          </w:tcPr>
          <w:p>
            <w:pPr>
              <w:spacing w:after="0" w:before="0" w:line="240" w:lineRule="auto"/>
            </w:pPr>
            <w:r/>
            <w:r>
              <w:rPr>
                <w:rFonts w:ascii="Aptos" w:hAnsi="Aptos"/>
                <w:b w:val="0"/>
                <w:color w:val="111827"/>
                <w:sz w:val="12"/>
              </w:rPr>
              <w:t>Sellers can automate returns and immediate refunds. After inspection, seller completes refund; if a dispute goes against seller, eBay can deduct seller funds.</w:t>
            </w:r>
          </w:p>
        </w:tc>
        <w:tc>
          <w:tcPr>
            <w:tcW w:type="dxa" w:w="2736"/>
            <w:vAlign w:val="center"/>
            <w:shd w:fill="F5F7FA"/>
          </w:tcPr>
          <w:p>
            <w:pPr>
              <w:spacing w:after="0" w:before="0" w:line="240" w:lineRule="auto"/>
            </w:pPr>
            <w:r/>
            <w:r>
              <w:rPr>
                <w:rFonts w:ascii="Aptos" w:hAnsi="Aptos"/>
                <w:b w:val="0"/>
                <w:color w:val="111827"/>
                <w:sz w:val="12"/>
              </w:rPr>
              <w:t>No platform-owned reverse network in the Amazon/WFS sense; routing depends on listing and program.</w:t>
            </w:r>
          </w:p>
        </w:tc>
        <w:tc>
          <w:tcPr>
            <w:tcW w:type="dxa" w:w="2448"/>
            <w:vAlign w:val="center"/>
            <w:shd w:fill="F5F7FA"/>
          </w:tcPr>
          <w:p>
            <w:pPr>
              <w:spacing w:after="0" w:before="0" w:line="240" w:lineRule="auto"/>
            </w:pPr>
            <w:r/>
            <w:r>
              <w:rPr>
                <w:rFonts w:ascii="Aptos" w:hAnsi="Aptos"/>
                <w:b w:val="0"/>
                <w:color w:val="111827"/>
                <w:sz w:val="12"/>
              </w:rPr>
              <w:t>Return to seller, relist, payment-dispute refund without physical recovery in some cases; eBay Refurbished provides a distinct resale channel.</w:t>
            </w:r>
          </w:p>
        </w:tc>
        <w:tc>
          <w:tcPr>
            <w:tcW w:type="dxa" w:w="2880"/>
            <w:vAlign w:val="center"/>
            <w:shd w:fill="F5F7FA"/>
          </w:tcPr>
          <w:p>
            <w:pPr>
              <w:spacing w:after="0" w:before="0" w:line="240" w:lineRule="auto"/>
            </w:pPr>
            <w:r/>
            <w:r>
              <w:rPr>
                <w:rFonts w:ascii="Aptos" w:hAnsi="Aptos"/>
                <w:b w:val="0"/>
                <w:color w:val="111827"/>
                <w:sz w:val="12"/>
              </w:rPr>
              <w:t>Seller usually funds the loss unless seller protections apply. eBay can seek reimbursement from seller payouts or on-file payment methods.</w:t>
            </w:r>
          </w:p>
        </w:tc>
      </w:tr>
    </w:tbl>
    <w:p>
      <w:pPr>
        <w:spacing w:after="0"/>
      </w:pPr>
    </w:p>
    <w:p>
      <w:pPr>
        <w:pStyle w:val="Caption"/>
        <w:jc w:val="left"/>
      </w:pPr>
      <w:r>
        <w:rPr>
          <w:b/>
        </w:rPr>
        <w:t>Table 10. Company and platform operating evidence</w:t>
      </w:r>
      <w:r>
        <w:rPr>
          <w:i/>
          <w:color w:val="6B7280"/>
        </w:rPr>
        <w:t xml:space="preserve">  Source: P01 company dossiers; source IDs in Source Ledger</w:t>
      </w:r>
    </w:p>
    <w:p>
      <w:pPr>
        <w:pStyle w:val="Heading2"/>
      </w:pPr>
      <w:r>
        <w:t>Ownership and loss allocation by operating model</w:t>
      </w:r>
    </w:p>
    <w:tbl>
      <w:tblPr>
        <w:tblStyle w:val="TableGrid"/>
        <w:tblW w:type="auto" w:w="0"/>
        <w:jc w:val="center"/>
        <w:tblLayout w:type="fixed"/>
        <w:tblLook w:firstColumn="1" w:firstRow="1" w:lastColumn="0" w:lastRow="0" w:noHBand="0" w:noVBand="1" w:val="04A0"/>
      </w:tblPr>
      <w:tblGrid>
        <w:gridCol w:w="1296"/>
        <w:gridCol w:w="1296"/>
        <w:gridCol w:w="1296"/>
        <w:gridCol w:w="1296"/>
        <w:gridCol w:w="1296"/>
        <w:gridCol w:w="1296"/>
        <w:gridCol w:w="1296"/>
        <w:gridCol w:w="1296"/>
        <w:gridCol w:w="1296"/>
        <w:gridCol w:w="1296"/>
        <w:gridCol w:w="1296"/>
      </w:tblGrid>
      <w:tr>
        <w:trPr>
          <w:tblHeader w:val="true"/>
        </w:trPr>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1"/>
              </w:rPr>
              <w:t>Operating model</w:t>
            </w:r>
          </w:p>
        </w:tc>
        <w:tc>
          <w:tcPr>
            <w:tcW w:type="dxa" w:w="1296"/>
            <w:vAlign w:val="center"/>
            <w:shd w:fill="17324D"/>
            <w:tcBorders>
              <w:bottom w:val="single" w:sz="8" w:color="FFFFFF"/>
            </w:tcBorders>
          </w:tcPr>
          <w:p>
            <w:pPr>
              <w:spacing w:after="0" w:before="0" w:line="240" w:lineRule="auto"/>
              <w:jc w:val="left"/>
            </w:pPr>
            <w:r/>
            <w:r>
              <w:rPr>
                <w:rFonts w:ascii="Aptos" w:hAnsi="Aptos"/>
                <w:b/>
                <w:color w:val="FFFFFF"/>
                <w:sz w:val="11"/>
              </w:rPr>
              <w:t>Inventory owner</w:t>
            </w:r>
          </w:p>
        </w:tc>
        <w:tc>
          <w:tcPr>
            <w:tcW w:type="dxa" w:w="1296"/>
            <w:vAlign w:val="center"/>
            <w:shd w:fill="17324D"/>
            <w:tcBorders>
              <w:bottom w:val="single" w:sz="8" w:color="FFFFFF"/>
            </w:tcBorders>
          </w:tcPr>
          <w:p>
            <w:pPr>
              <w:spacing w:after="0" w:before="0" w:line="240" w:lineRule="auto"/>
              <w:jc w:val="left"/>
            </w:pPr>
            <w:r/>
            <w:r>
              <w:rPr>
                <w:rFonts w:ascii="Aptos" w:hAnsi="Aptos"/>
                <w:b/>
                <w:color w:val="FFFFFF"/>
                <w:sz w:val="11"/>
              </w:rPr>
              <w:t>Refund payer</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1"/>
              </w:rPr>
              <w:t>Freight payer</w:t>
            </w:r>
          </w:p>
        </w:tc>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1"/>
              </w:rPr>
              <w:t>Processing payer</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1"/>
              </w:rPr>
              <w:t>Disposition controller</w:t>
            </w:r>
          </w:p>
        </w:tc>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1"/>
              </w:rPr>
              <w:t>Recovery recipient</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1"/>
              </w:rPr>
              <w:t>Fraud-loss bearer</w:t>
            </w:r>
          </w:p>
        </w:tc>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1"/>
              </w:rPr>
              <w:t>Write-down bearer</w:t>
            </w:r>
          </w:p>
        </w:tc>
        <w:tc>
          <w:tcPr>
            <w:tcW w:type="dxa" w:w="2160"/>
            <w:vAlign w:val="center"/>
            <w:shd w:fill="17324D"/>
            <w:tcBorders>
              <w:bottom w:val="single" w:sz="8" w:color="FFFFFF"/>
            </w:tcBorders>
          </w:tcPr>
          <w:p>
            <w:pPr>
              <w:spacing w:after="0" w:before="0" w:line="240" w:lineRule="auto"/>
              <w:jc w:val="left"/>
            </w:pPr>
            <w:r/>
            <w:r>
              <w:rPr>
                <w:rFonts w:ascii="Aptos" w:hAnsi="Aptos"/>
                <w:b/>
                <w:color w:val="FFFFFF"/>
                <w:sz w:val="11"/>
              </w:rPr>
              <w:t>Environmental reporting entity</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1"/>
              </w:rPr>
              <w:t>Confidence</w:t>
            </w:r>
          </w:p>
        </w:tc>
      </w:tr>
      <w:tr>
        <w:tc>
          <w:tcPr>
            <w:tcW w:type="dxa" w:w="1584"/>
            <w:vAlign w:val="center"/>
          </w:tcPr>
          <w:p>
            <w:pPr>
              <w:spacing w:after="0" w:before="0" w:line="240" w:lineRule="auto"/>
            </w:pPr>
            <w:r/>
            <w:r>
              <w:rPr>
                <w:rFonts w:ascii="Aptos" w:hAnsi="Aptos"/>
                <w:b/>
                <w:color w:val="111827"/>
                <w:sz w:val="11"/>
              </w:rPr>
              <w:t>Vertically integrated retailer</w:t>
            </w:r>
          </w:p>
        </w:tc>
        <w:tc>
          <w:tcPr>
            <w:tcW w:type="dxa" w:w="1296"/>
            <w:vAlign w:val="center"/>
          </w:tcPr>
          <w:p>
            <w:pPr>
              <w:spacing w:after="0" w:before="0" w:line="240" w:lineRule="auto"/>
            </w:pPr>
            <w:r/>
            <w:r>
              <w:rPr>
                <w:rFonts w:ascii="Aptos" w:hAnsi="Aptos"/>
                <w:b w:val="0"/>
                <w:color w:val="111827"/>
                <w:sz w:val="11"/>
              </w:rPr>
              <w:t>Retailer</w:t>
            </w:r>
          </w:p>
        </w:tc>
        <w:tc>
          <w:tcPr>
            <w:tcW w:type="dxa" w:w="1296"/>
            <w:vAlign w:val="center"/>
          </w:tcPr>
          <w:p>
            <w:pPr>
              <w:spacing w:after="0" w:before="0" w:line="240" w:lineRule="auto"/>
            </w:pPr>
            <w:r/>
            <w:r>
              <w:rPr>
                <w:rFonts w:ascii="Aptos" w:hAnsi="Aptos"/>
                <w:b w:val="0"/>
                <w:color w:val="111827"/>
                <w:sz w:val="11"/>
              </w:rPr>
              <w:t>Retailer</w:t>
            </w:r>
          </w:p>
        </w:tc>
        <w:tc>
          <w:tcPr>
            <w:tcW w:type="dxa" w:w="1728"/>
            <w:vAlign w:val="center"/>
          </w:tcPr>
          <w:p>
            <w:pPr>
              <w:spacing w:after="0" w:before="0" w:line="240" w:lineRule="auto"/>
            </w:pPr>
            <w:r/>
            <w:r>
              <w:rPr>
                <w:rFonts w:ascii="Aptos" w:hAnsi="Aptos"/>
                <w:b w:val="0"/>
                <w:color w:val="111827"/>
                <w:sz w:val="11"/>
              </w:rPr>
              <w:t>Retailer or customer under policy</w:t>
            </w:r>
          </w:p>
        </w:tc>
        <w:tc>
          <w:tcPr>
            <w:tcW w:type="dxa" w:w="1584"/>
            <w:vAlign w:val="center"/>
          </w:tcPr>
          <w:p>
            <w:pPr>
              <w:spacing w:after="0" w:before="0" w:line="240" w:lineRule="auto"/>
            </w:pPr>
            <w:r/>
            <w:r>
              <w:rPr>
                <w:rFonts w:ascii="Aptos" w:hAnsi="Aptos"/>
                <w:b w:val="0"/>
                <w:color w:val="111827"/>
                <w:sz w:val="11"/>
              </w:rPr>
              <w:t>Retailer</w:t>
            </w:r>
          </w:p>
        </w:tc>
        <w:tc>
          <w:tcPr>
            <w:tcW w:type="dxa" w:w="1728"/>
            <w:vAlign w:val="center"/>
          </w:tcPr>
          <w:p>
            <w:pPr>
              <w:spacing w:after="0" w:before="0" w:line="240" w:lineRule="auto"/>
            </w:pPr>
            <w:r/>
            <w:r>
              <w:rPr>
                <w:rFonts w:ascii="Aptos" w:hAnsi="Aptos"/>
                <w:b w:val="0"/>
                <w:color w:val="111827"/>
                <w:sz w:val="11"/>
              </w:rPr>
              <w:t>Retailer</w:t>
            </w:r>
          </w:p>
        </w:tc>
        <w:tc>
          <w:tcPr>
            <w:tcW w:type="dxa" w:w="1584"/>
            <w:vAlign w:val="center"/>
          </w:tcPr>
          <w:p>
            <w:pPr>
              <w:spacing w:after="0" w:before="0" w:line="240" w:lineRule="auto"/>
            </w:pPr>
            <w:r/>
            <w:r>
              <w:rPr>
                <w:rFonts w:ascii="Aptos" w:hAnsi="Aptos"/>
                <w:b w:val="0"/>
                <w:color w:val="111827"/>
                <w:sz w:val="11"/>
              </w:rPr>
              <w:t>Retailer</w:t>
            </w:r>
          </w:p>
        </w:tc>
        <w:tc>
          <w:tcPr>
            <w:tcW w:type="dxa" w:w="1728"/>
            <w:vAlign w:val="center"/>
          </w:tcPr>
          <w:p>
            <w:pPr>
              <w:spacing w:after="0" w:before="0" w:line="240" w:lineRule="auto"/>
            </w:pPr>
            <w:r/>
            <w:r>
              <w:rPr>
                <w:rFonts w:ascii="Aptos" w:hAnsi="Aptos"/>
                <w:b w:val="0"/>
                <w:color w:val="111827"/>
                <w:sz w:val="11"/>
              </w:rPr>
              <w:t>Retailer</w:t>
            </w:r>
          </w:p>
        </w:tc>
        <w:tc>
          <w:tcPr>
            <w:tcW w:type="dxa" w:w="1584"/>
            <w:vAlign w:val="center"/>
          </w:tcPr>
          <w:p>
            <w:pPr>
              <w:spacing w:after="0" w:before="0" w:line="240" w:lineRule="auto"/>
            </w:pPr>
            <w:r/>
            <w:r>
              <w:rPr>
                <w:rFonts w:ascii="Aptos" w:hAnsi="Aptos"/>
                <w:b w:val="0"/>
                <w:color w:val="111827"/>
                <w:sz w:val="11"/>
              </w:rPr>
              <w:t>Retailer</w:t>
            </w:r>
          </w:p>
        </w:tc>
        <w:tc>
          <w:tcPr>
            <w:tcW w:type="dxa" w:w="2160"/>
            <w:vAlign w:val="center"/>
          </w:tcPr>
          <w:p>
            <w:pPr>
              <w:spacing w:after="0" w:before="0" w:line="240" w:lineRule="auto"/>
            </w:pPr>
            <w:r/>
            <w:r>
              <w:rPr>
                <w:rFonts w:ascii="Aptos" w:hAnsi="Aptos"/>
                <w:b w:val="0"/>
                <w:color w:val="111827"/>
                <w:sz w:val="11"/>
              </w:rPr>
              <w:t>Retailer; downstream processors may report their own operations</w:t>
            </w:r>
          </w:p>
        </w:tc>
        <w:tc>
          <w:tcPr>
            <w:tcW w:type="dxa" w:w="936"/>
            <w:vAlign w:val="center"/>
          </w:tcPr>
          <w:p>
            <w:pPr>
              <w:spacing w:after="0" w:before="0" w:line="240" w:lineRule="auto"/>
            </w:pPr>
            <w:r/>
            <w:r>
              <w:rPr>
                <w:rFonts w:ascii="Aptos" w:hAnsi="Aptos"/>
                <w:b w:val="0"/>
                <w:color w:val="111827"/>
                <w:sz w:val="11"/>
              </w:rPr>
              <w:t>High</w:t>
            </w:r>
          </w:p>
        </w:tc>
      </w:tr>
      <w:tr>
        <w:tc>
          <w:tcPr>
            <w:tcW w:type="dxa" w:w="1584"/>
            <w:vAlign w:val="center"/>
            <w:shd w:fill="F5F7FA"/>
          </w:tcPr>
          <w:p>
            <w:pPr>
              <w:spacing w:after="0" w:before="0" w:line="240" w:lineRule="auto"/>
            </w:pPr>
            <w:r/>
            <w:r>
              <w:rPr>
                <w:rFonts w:ascii="Aptos" w:hAnsi="Aptos"/>
                <w:b/>
                <w:color w:val="111827"/>
                <w:sz w:val="11"/>
              </w:rPr>
              <w:t>Brand selling direct to consumer</w:t>
            </w:r>
          </w:p>
        </w:tc>
        <w:tc>
          <w:tcPr>
            <w:tcW w:type="dxa" w:w="1296"/>
            <w:vAlign w:val="center"/>
            <w:shd w:fill="F5F7FA"/>
          </w:tcPr>
          <w:p>
            <w:pPr>
              <w:spacing w:after="0" w:before="0" w:line="240" w:lineRule="auto"/>
            </w:pPr>
            <w:r/>
            <w:r>
              <w:rPr>
                <w:rFonts w:ascii="Aptos" w:hAnsi="Aptos"/>
                <w:b w:val="0"/>
                <w:color w:val="111827"/>
                <w:sz w:val="11"/>
              </w:rPr>
              <w:t>Brand</w:t>
            </w:r>
          </w:p>
        </w:tc>
        <w:tc>
          <w:tcPr>
            <w:tcW w:type="dxa" w:w="1296"/>
            <w:vAlign w:val="center"/>
            <w:shd w:fill="F5F7FA"/>
          </w:tcPr>
          <w:p>
            <w:pPr>
              <w:spacing w:after="0" w:before="0" w:line="240" w:lineRule="auto"/>
            </w:pPr>
            <w:r/>
            <w:r>
              <w:rPr>
                <w:rFonts w:ascii="Aptos" w:hAnsi="Aptos"/>
                <w:b w:val="0"/>
                <w:color w:val="111827"/>
                <w:sz w:val="11"/>
              </w:rPr>
              <w:t>Brand</w:t>
            </w:r>
          </w:p>
        </w:tc>
        <w:tc>
          <w:tcPr>
            <w:tcW w:type="dxa" w:w="1728"/>
            <w:vAlign w:val="center"/>
            <w:shd w:fill="F5F7FA"/>
          </w:tcPr>
          <w:p>
            <w:pPr>
              <w:spacing w:after="0" w:before="0" w:line="240" w:lineRule="auto"/>
            </w:pPr>
            <w:r/>
            <w:r>
              <w:rPr>
                <w:rFonts w:ascii="Aptos" w:hAnsi="Aptos"/>
                <w:b w:val="0"/>
                <w:color w:val="111827"/>
                <w:sz w:val="11"/>
              </w:rPr>
              <w:t>Brand or customer by policy</w:t>
            </w:r>
          </w:p>
        </w:tc>
        <w:tc>
          <w:tcPr>
            <w:tcW w:type="dxa" w:w="1584"/>
            <w:vAlign w:val="center"/>
            <w:shd w:fill="F5F7FA"/>
          </w:tcPr>
          <w:p>
            <w:pPr>
              <w:spacing w:after="0" w:before="0" w:line="240" w:lineRule="auto"/>
            </w:pPr>
            <w:r/>
            <w:r>
              <w:rPr>
                <w:rFonts w:ascii="Aptos" w:hAnsi="Aptos"/>
                <w:b w:val="0"/>
                <w:color w:val="111827"/>
                <w:sz w:val="11"/>
              </w:rPr>
              <w:t>Brand or contracted 3PL</w:t>
            </w:r>
          </w:p>
        </w:tc>
        <w:tc>
          <w:tcPr>
            <w:tcW w:type="dxa" w:w="1728"/>
            <w:vAlign w:val="center"/>
            <w:shd w:fill="F5F7FA"/>
          </w:tcPr>
          <w:p>
            <w:pPr>
              <w:spacing w:after="0" w:before="0" w:line="240" w:lineRule="auto"/>
            </w:pPr>
            <w:r/>
            <w:r>
              <w:rPr>
                <w:rFonts w:ascii="Aptos" w:hAnsi="Aptos"/>
                <w:b w:val="0"/>
                <w:color w:val="111827"/>
                <w:sz w:val="11"/>
              </w:rPr>
              <w:t>Brand within contract/SLA</w:t>
            </w:r>
          </w:p>
        </w:tc>
        <w:tc>
          <w:tcPr>
            <w:tcW w:type="dxa" w:w="1584"/>
            <w:vAlign w:val="center"/>
            <w:shd w:fill="F5F7FA"/>
          </w:tcPr>
          <w:p>
            <w:pPr>
              <w:spacing w:after="0" w:before="0" w:line="240" w:lineRule="auto"/>
            </w:pPr>
            <w:r/>
            <w:r>
              <w:rPr>
                <w:rFonts w:ascii="Aptos" w:hAnsi="Aptos"/>
                <w:b w:val="0"/>
                <w:color w:val="111827"/>
                <w:sz w:val="11"/>
              </w:rPr>
              <w:t>Brand</w:t>
            </w:r>
          </w:p>
        </w:tc>
        <w:tc>
          <w:tcPr>
            <w:tcW w:type="dxa" w:w="1728"/>
            <w:vAlign w:val="center"/>
            <w:shd w:fill="F5F7FA"/>
          </w:tcPr>
          <w:p>
            <w:pPr>
              <w:spacing w:after="0" w:before="0" w:line="240" w:lineRule="auto"/>
            </w:pPr>
            <w:r/>
            <w:r>
              <w:rPr>
                <w:rFonts w:ascii="Aptos" w:hAnsi="Aptos"/>
                <w:b w:val="0"/>
                <w:color w:val="111827"/>
                <w:sz w:val="11"/>
              </w:rPr>
              <w:t>Brand</w:t>
            </w:r>
          </w:p>
        </w:tc>
        <w:tc>
          <w:tcPr>
            <w:tcW w:type="dxa" w:w="1584"/>
            <w:vAlign w:val="center"/>
            <w:shd w:fill="F5F7FA"/>
          </w:tcPr>
          <w:p>
            <w:pPr>
              <w:spacing w:after="0" w:before="0" w:line="240" w:lineRule="auto"/>
            </w:pPr>
            <w:r/>
            <w:r>
              <w:rPr>
                <w:rFonts w:ascii="Aptos" w:hAnsi="Aptos"/>
                <w:b w:val="0"/>
                <w:color w:val="111827"/>
                <w:sz w:val="11"/>
              </w:rPr>
              <w:t>Brand</w:t>
            </w:r>
          </w:p>
        </w:tc>
        <w:tc>
          <w:tcPr>
            <w:tcW w:type="dxa" w:w="2160"/>
            <w:vAlign w:val="center"/>
            <w:shd w:fill="F5F7FA"/>
          </w:tcPr>
          <w:p>
            <w:pPr>
              <w:spacing w:after="0" w:before="0" w:line="240" w:lineRule="auto"/>
            </w:pPr>
            <w:r/>
            <w:r>
              <w:rPr>
                <w:rFonts w:ascii="Aptos" w:hAnsi="Aptos"/>
                <w:b w:val="0"/>
                <w:color w:val="111827"/>
                <w:sz w:val="11"/>
              </w:rPr>
              <w:t>Brand for product claims; logistics vendor for operational footprint</w:t>
            </w:r>
          </w:p>
        </w:tc>
        <w:tc>
          <w:tcPr>
            <w:tcW w:type="dxa" w:w="936"/>
            <w:vAlign w:val="center"/>
            <w:shd w:fill="F5F7FA"/>
          </w:tcPr>
          <w:p>
            <w:pPr>
              <w:spacing w:after="0" w:before="0" w:line="240" w:lineRule="auto"/>
            </w:pPr>
            <w:r/>
            <w:r>
              <w:rPr>
                <w:rFonts w:ascii="Aptos" w:hAnsi="Aptos"/>
                <w:b w:val="0"/>
                <w:color w:val="111827"/>
                <w:sz w:val="11"/>
              </w:rPr>
              <w:t>High-medium</w:t>
            </w:r>
          </w:p>
        </w:tc>
      </w:tr>
      <w:tr>
        <w:tc>
          <w:tcPr>
            <w:tcW w:type="dxa" w:w="1584"/>
            <w:vAlign w:val="center"/>
          </w:tcPr>
          <w:p>
            <w:pPr>
              <w:spacing w:after="0" w:before="0" w:line="240" w:lineRule="auto"/>
            </w:pPr>
            <w:r/>
            <w:r>
              <w:rPr>
                <w:rFonts w:ascii="Aptos" w:hAnsi="Aptos"/>
                <w:b/>
                <w:color w:val="111827"/>
                <w:sz w:val="11"/>
              </w:rPr>
              <w:t>Marketplace first-party retail</w:t>
            </w:r>
          </w:p>
        </w:tc>
        <w:tc>
          <w:tcPr>
            <w:tcW w:type="dxa" w:w="1296"/>
            <w:vAlign w:val="center"/>
          </w:tcPr>
          <w:p>
            <w:pPr>
              <w:spacing w:after="0" w:before="0" w:line="240" w:lineRule="auto"/>
            </w:pPr>
            <w:r/>
            <w:r>
              <w:rPr>
                <w:rFonts w:ascii="Aptos" w:hAnsi="Aptos"/>
                <w:b w:val="0"/>
                <w:color w:val="111827"/>
                <w:sz w:val="11"/>
              </w:rPr>
              <w:t>Platform retailer</w:t>
            </w:r>
          </w:p>
        </w:tc>
        <w:tc>
          <w:tcPr>
            <w:tcW w:type="dxa" w:w="1296"/>
            <w:vAlign w:val="center"/>
          </w:tcPr>
          <w:p>
            <w:pPr>
              <w:spacing w:after="0" w:before="0" w:line="240" w:lineRule="auto"/>
            </w:pPr>
            <w:r/>
            <w:r>
              <w:rPr>
                <w:rFonts w:ascii="Aptos" w:hAnsi="Aptos"/>
                <w:b w:val="0"/>
                <w:color w:val="111827"/>
                <w:sz w:val="11"/>
              </w:rPr>
              <w:t>Platform retailer</w:t>
            </w:r>
          </w:p>
        </w:tc>
        <w:tc>
          <w:tcPr>
            <w:tcW w:type="dxa" w:w="1728"/>
            <w:vAlign w:val="center"/>
          </w:tcPr>
          <w:p>
            <w:pPr>
              <w:spacing w:after="0" w:before="0" w:line="240" w:lineRule="auto"/>
            </w:pPr>
            <w:r/>
            <w:r>
              <w:rPr>
                <w:rFonts w:ascii="Aptos" w:hAnsi="Aptos"/>
                <w:b w:val="0"/>
                <w:color w:val="111827"/>
                <w:sz w:val="11"/>
              </w:rPr>
              <w:t>Platform retailer, customer, or vendor allowance depending fault/policy</w:t>
            </w:r>
          </w:p>
        </w:tc>
        <w:tc>
          <w:tcPr>
            <w:tcW w:type="dxa" w:w="1584"/>
            <w:vAlign w:val="center"/>
          </w:tcPr>
          <w:p>
            <w:pPr>
              <w:spacing w:after="0" w:before="0" w:line="240" w:lineRule="auto"/>
            </w:pPr>
            <w:r/>
            <w:r>
              <w:rPr>
                <w:rFonts w:ascii="Aptos" w:hAnsi="Aptos"/>
                <w:b w:val="0"/>
                <w:color w:val="111827"/>
                <w:sz w:val="11"/>
              </w:rPr>
              <w:t>Platform retailer</w:t>
            </w:r>
          </w:p>
        </w:tc>
        <w:tc>
          <w:tcPr>
            <w:tcW w:type="dxa" w:w="1728"/>
            <w:vAlign w:val="center"/>
          </w:tcPr>
          <w:p>
            <w:pPr>
              <w:spacing w:after="0" w:before="0" w:line="240" w:lineRule="auto"/>
            </w:pPr>
            <w:r/>
            <w:r>
              <w:rPr>
                <w:rFonts w:ascii="Aptos" w:hAnsi="Aptos"/>
                <w:b w:val="0"/>
                <w:color w:val="111827"/>
                <w:sz w:val="11"/>
              </w:rPr>
              <w:t>Platform retailer</w:t>
            </w:r>
          </w:p>
        </w:tc>
        <w:tc>
          <w:tcPr>
            <w:tcW w:type="dxa" w:w="1584"/>
            <w:vAlign w:val="center"/>
          </w:tcPr>
          <w:p>
            <w:pPr>
              <w:spacing w:after="0" w:before="0" w:line="240" w:lineRule="auto"/>
            </w:pPr>
            <w:r/>
            <w:r>
              <w:rPr>
                <w:rFonts w:ascii="Aptos" w:hAnsi="Aptos"/>
                <w:b w:val="0"/>
                <w:color w:val="111827"/>
                <w:sz w:val="11"/>
              </w:rPr>
              <w:t>Platform retailer; vendor credits may offset loss</w:t>
            </w:r>
          </w:p>
        </w:tc>
        <w:tc>
          <w:tcPr>
            <w:tcW w:type="dxa" w:w="1728"/>
            <w:vAlign w:val="center"/>
          </w:tcPr>
          <w:p>
            <w:pPr>
              <w:spacing w:after="0" w:before="0" w:line="240" w:lineRule="auto"/>
            </w:pPr>
            <w:r/>
            <w:r>
              <w:rPr>
                <w:rFonts w:ascii="Aptos" w:hAnsi="Aptos"/>
                <w:b w:val="0"/>
                <w:color w:val="111827"/>
                <w:sz w:val="11"/>
              </w:rPr>
              <w:t>Platform retailer, subject to carrier/vendor recovery</w:t>
            </w:r>
          </w:p>
        </w:tc>
        <w:tc>
          <w:tcPr>
            <w:tcW w:type="dxa" w:w="1584"/>
            <w:vAlign w:val="center"/>
          </w:tcPr>
          <w:p>
            <w:pPr>
              <w:spacing w:after="0" w:before="0" w:line="240" w:lineRule="auto"/>
            </w:pPr>
            <w:r/>
            <w:r>
              <w:rPr>
                <w:rFonts w:ascii="Aptos" w:hAnsi="Aptos"/>
                <w:b w:val="0"/>
                <w:color w:val="111827"/>
                <w:sz w:val="11"/>
              </w:rPr>
              <w:t>Platform retailer</w:t>
            </w:r>
          </w:p>
        </w:tc>
        <w:tc>
          <w:tcPr>
            <w:tcW w:type="dxa" w:w="2160"/>
            <w:vAlign w:val="center"/>
          </w:tcPr>
          <w:p>
            <w:pPr>
              <w:spacing w:after="0" w:before="0" w:line="240" w:lineRule="auto"/>
            </w:pPr>
            <w:r/>
            <w:r>
              <w:rPr>
                <w:rFonts w:ascii="Aptos" w:hAnsi="Aptos"/>
                <w:b w:val="0"/>
                <w:color w:val="111827"/>
                <w:sz w:val="11"/>
              </w:rPr>
              <w:t>Platform retailer for owned inventory</w:t>
            </w:r>
          </w:p>
        </w:tc>
        <w:tc>
          <w:tcPr>
            <w:tcW w:type="dxa" w:w="936"/>
            <w:vAlign w:val="center"/>
          </w:tcPr>
          <w:p>
            <w:pPr>
              <w:spacing w:after="0" w:before="0" w:line="240" w:lineRule="auto"/>
            </w:pPr>
            <w:r/>
            <w:r>
              <w:rPr>
                <w:rFonts w:ascii="Aptos" w:hAnsi="Aptos"/>
                <w:b w:val="0"/>
                <w:color w:val="111827"/>
                <w:sz w:val="11"/>
              </w:rPr>
              <w:t>High</w:t>
            </w:r>
          </w:p>
        </w:tc>
      </w:tr>
      <w:tr>
        <w:tc>
          <w:tcPr>
            <w:tcW w:type="dxa" w:w="1584"/>
            <w:vAlign w:val="center"/>
            <w:shd w:fill="F5F7FA"/>
          </w:tcPr>
          <w:p>
            <w:pPr>
              <w:spacing w:after="0" w:before="0" w:line="240" w:lineRule="auto"/>
            </w:pPr>
            <w:r/>
            <w:r>
              <w:rPr>
                <w:rFonts w:ascii="Aptos" w:hAnsi="Aptos"/>
                <w:b/>
                <w:color w:val="111827"/>
                <w:sz w:val="11"/>
              </w:rPr>
              <w:t>Marketplace third-party fulfillment</w:t>
            </w:r>
          </w:p>
        </w:tc>
        <w:tc>
          <w:tcPr>
            <w:tcW w:type="dxa" w:w="1296"/>
            <w:vAlign w:val="center"/>
            <w:shd w:fill="F5F7FA"/>
          </w:tcPr>
          <w:p>
            <w:pPr>
              <w:spacing w:after="0" w:before="0" w:line="240" w:lineRule="auto"/>
            </w:pPr>
            <w:r/>
            <w:r>
              <w:rPr>
                <w:rFonts w:ascii="Aptos" w:hAnsi="Aptos"/>
                <w:b w:val="0"/>
                <w:color w:val="111827"/>
                <w:sz w:val="11"/>
              </w:rPr>
              <w:t>Third-party seller</w:t>
            </w:r>
          </w:p>
        </w:tc>
        <w:tc>
          <w:tcPr>
            <w:tcW w:type="dxa" w:w="1296"/>
            <w:vAlign w:val="center"/>
            <w:shd w:fill="F5F7FA"/>
          </w:tcPr>
          <w:p>
            <w:pPr>
              <w:spacing w:after="0" w:before="0" w:line="240" w:lineRule="auto"/>
            </w:pPr>
            <w:r/>
            <w:r>
              <w:rPr>
                <w:rFonts w:ascii="Aptos" w:hAnsi="Aptos"/>
                <w:b w:val="0"/>
                <w:color w:val="111827"/>
                <w:sz w:val="11"/>
              </w:rPr>
              <w:t>Platform-facing process, economically seller in many cases</w:t>
            </w:r>
          </w:p>
        </w:tc>
        <w:tc>
          <w:tcPr>
            <w:tcW w:type="dxa" w:w="1728"/>
            <w:vAlign w:val="center"/>
            <w:shd w:fill="F5F7FA"/>
          </w:tcPr>
          <w:p>
            <w:pPr>
              <w:spacing w:after="0" w:before="0" w:line="240" w:lineRule="auto"/>
            </w:pPr>
            <w:r/>
            <w:r>
              <w:rPr>
                <w:rFonts w:ascii="Aptos" w:hAnsi="Aptos"/>
                <w:b w:val="0"/>
                <w:color w:val="111827"/>
                <w:sz w:val="11"/>
              </w:rPr>
              <w:t>Seller for non-platform-fault returns; platform for protected/fault cases</w:t>
            </w:r>
          </w:p>
        </w:tc>
        <w:tc>
          <w:tcPr>
            <w:tcW w:type="dxa" w:w="1584"/>
            <w:vAlign w:val="center"/>
            <w:shd w:fill="F5F7FA"/>
          </w:tcPr>
          <w:p>
            <w:pPr>
              <w:spacing w:after="0" w:before="0" w:line="240" w:lineRule="auto"/>
            </w:pPr>
            <w:r/>
            <w:r>
              <w:rPr>
                <w:rFonts w:ascii="Aptos" w:hAnsi="Aptos"/>
                <w:b w:val="0"/>
                <w:color w:val="111827"/>
                <w:sz w:val="11"/>
              </w:rPr>
              <w:t>Seller through program fees or platform under exceptions</w:t>
            </w:r>
          </w:p>
        </w:tc>
        <w:tc>
          <w:tcPr>
            <w:tcW w:type="dxa" w:w="1728"/>
            <w:vAlign w:val="center"/>
            <w:shd w:fill="F5F7FA"/>
          </w:tcPr>
          <w:p>
            <w:pPr>
              <w:spacing w:after="0" w:before="0" w:line="240" w:lineRule="auto"/>
            </w:pPr>
            <w:r/>
            <w:r>
              <w:rPr>
                <w:rFonts w:ascii="Aptos" w:hAnsi="Aptos"/>
                <w:b w:val="0"/>
                <w:color w:val="111827"/>
                <w:sz w:val="11"/>
              </w:rPr>
              <w:t>Platform operationally; seller elects program options</w:t>
            </w:r>
          </w:p>
        </w:tc>
        <w:tc>
          <w:tcPr>
            <w:tcW w:type="dxa" w:w="1584"/>
            <w:vAlign w:val="center"/>
            <w:shd w:fill="F5F7FA"/>
          </w:tcPr>
          <w:p>
            <w:pPr>
              <w:spacing w:after="0" w:before="0" w:line="240" w:lineRule="auto"/>
            </w:pPr>
            <w:r/>
            <w:r>
              <w:rPr>
                <w:rFonts w:ascii="Aptos" w:hAnsi="Aptos"/>
                <w:b w:val="0"/>
                <w:color w:val="111827"/>
                <w:sz w:val="11"/>
              </w:rPr>
              <w:t>Seller net of fees</w:t>
            </w:r>
          </w:p>
        </w:tc>
        <w:tc>
          <w:tcPr>
            <w:tcW w:type="dxa" w:w="1728"/>
            <w:vAlign w:val="center"/>
            <w:shd w:fill="F5F7FA"/>
          </w:tcPr>
          <w:p>
            <w:pPr>
              <w:spacing w:after="0" w:before="0" w:line="240" w:lineRule="auto"/>
            </w:pPr>
            <w:r/>
            <w:r>
              <w:rPr>
                <w:rFonts w:ascii="Aptos" w:hAnsi="Aptos"/>
                <w:b w:val="0"/>
                <w:color w:val="111827"/>
                <w:sz w:val="11"/>
              </w:rPr>
              <w:t>Seller unless protection or platform-at-fault rule applies</w:t>
            </w:r>
          </w:p>
        </w:tc>
        <w:tc>
          <w:tcPr>
            <w:tcW w:type="dxa" w:w="1584"/>
            <w:vAlign w:val="center"/>
            <w:shd w:fill="F5F7FA"/>
          </w:tcPr>
          <w:p>
            <w:pPr>
              <w:spacing w:after="0" w:before="0" w:line="240" w:lineRule="auto"/>
            </w:pPr>
            <w:r/>
            <w:r>
              <w:rPr>
                <w:rFonts w:ascii="Aptos" w:hAnsi="Aptos"/>
                <w:b w:val="0"/>
                <w:color w:val="111827"/>
                <w:sz w:val="11"/>
              </w:rPr>
              <w:t>Seller</w:t>
            </w:r>
          </w:p>
        </w:tc>
        <w:tc>
          <w:tcPr>
            <w:tcW w:type="dxa" w:w="2160"/>
            <w:vAlign w:val="center"/>
            <w:shd w:fill="F5F7FA"/>
          </w:tcPr>
          <w:p>
            <w:pPr>
              <w:spacing w:after="0" w:before="0" w:line="240" w:lineRule="auto"/>
            </w:pPr>
            <w:r/>
            <w:r>
              <w:rPr>
                <w:rFonts w:ascii="Aptos" w:hAnsi="Aptos"/>
                <w:b w:val="0"/>
                <w:color w:val="111827"/>
                <w:sz w:val="11"/>
              </w:rPr>
              <w:t>Ambiguous: seller owns inventory, platform operates facility and may make program claims</w:t>
            </w:r>
          </w:p>
        </w:tc>
        <w:tc>
          <w:tcPr>
            <w:tcW w:type="dxa" w:w="936"/>
            <w:vAlign w:val="center"/>
            <w:shd w:fill="F5F7FA"/>
          </w:tcPr>
          <w:p>
            <w:pPr>
              <w:spacing w:after="0" w:before="0" w:line="240" w:lineRule="auto"/>
            </w:pPr>
            <w:r/>
            <w:r>
              <w:rPr>
                <w:rFonts w:ascii="Aptos" w:hAnsi="Aptos"/>
                <w:b w:val="0"/>
                <w:color w:val="111827"/>
                <w:sz w:val="11"/>
              </w:rPr>
              <w:t>Medium-high</w:t>
            </w:r>
          </w:p>
        </w:tc>
      </w:tr>
      <w:tr>
        <w:tc>
          <w:tcPr>
            <w:tcW w:type="dxa" w:w="1584"/>
            <w:vAlign w:val="center"/>
          </w:tcPr>
          <w:p>
            <w:pPr>
              <w:spacing w:after="0" w:before="0" w:line="240" w:lineRule="auto"/>
            </w:pPr>
            <w:r/>
            <w:r>
              <w:rPr>
                <w:rFonts w:ascii="Aptos" w:hAnsi="Aptos"/>
                <w:b/>
                <w:color w:val="111827"/>
                <w:sz w:val="11"/>
              </w:rPr>
              <w:t>Merchant-fulfilled marketplace sale</w:t>
            </w:r>
          </w:p>
        </w:tc>
        <w:tc>
          <w:tcPr>
            <w:tcW w:type="dxa" w:w="1296"/>
            <w:vAlign w:val="center"/>
          </w:tcPr>
          <w:p>
            <w:pPr>
              <w:spacing w:after="0" w:before="0" w:line="240" w:lineRule="auto"/>
            </w:pPr>
            <w:r/>
            <w:r>
              <w:rPr>
                <w:rFonts w:ascii="Aptos" w:hAnsi="Aptos"/>
                <w:b w:val="0"/>
                <w:color w:val="111827"/>
                <w:sz w:val="11"/>
              </w:rPr>
              <w:t>Seller</w:t>
            </w:r>
          </w:p>
        </w:tc>
        <w:tc>
          <w:tcPr>
            <w:tcW w:type="dxa" w:w="1296"/>
            <w:vAlign w:val="center"/>
          </w:tcPr>
          <w:p>
            <w:pPr>
              <w:spacing w:after="0" w:before="0" w:line="240" w:lineRule="auto"/>
            </w:pPr>
            <w:r/>
            <w:r>
              <w:rPr>
                <w:rFonts w:ascii="Aptos" w:hAnsi="Aptos"/>
                <w:b w:val="0"/>
                <w:color w:val="111827"/>
                <w:sz w:val="11"/>
              </w:rPr>
              <w:t>Seller, sometimes enforced/debited by platform</w:t>
            </w:r>
          </w:p>
        </w:tc>
        <w:tc>
          <w:tcPr>
            <w:tcW w:type="dxa" w:w="1728"/>
            <w:vAlign w:val="center"/>
          </w:tcPr>
          <w:p>
            <w:pPr>
              <w:spacing w:after="0" w:before="0" w:line="240" w:lineRule="auto"/>
            </w:pPr>
            <w:r/>
            <w:r>
              <w:rPr>
                <w:rFonts w:ascii="Aptos" w:hAnsi="Aptos"/>
                <w:b w:val="0"/>
                <w:color w:val="111827"/>
                <w:sz w:val="11"/>
              </w:rPr>
              <w:t>Seller/customer under listing and platform rules</w:t>
            </w:r>
          </w:p>
        </w:tc>
        <w:tc>
          <w:tcPr>
            <w:tcW w:type="dxa" w:w="1584"/>
            <w:vAlign w:val="center"/>
          </w:tcPr>
          <w:p>
            <w:pPr>
              <w:spacing w:after="0" w:before="0" w:line="240" w:lineRule="auto"/>
            </w:pPr>
            <w:r/>
            <w:r>
              <w:rPr>
                <w:rFonts w:ascii="Aptos" w:hAnsi="Aptos"/>
                <w:b w:val="0"/>
                <w:color w:val="111827"/>
                <w:sz w:val="11"/>
              </w:rPr>
              <w:t>Seller</w:t>
            </w:r>
          </w:p>
        </w:tc>
        <w:tc>
          <w:tcPr>
            <w:tcW w:type="dxa" w:w="1728"/>
            <w:vAlign w:val="center"/>
          </w:tcPr>
          <w:p>
            <w:pPr>
              <w:spacing w:after="0" w:before="0" w:line="240" w:lineRule="auto"/>
            </w:pPr>
            <w:r/>
            <w:r>
              <w:rPr>
                <w:rFonts w:ascii="Aptos" w:hAnsi="Aptos"/>
                <w:b w:val="0"/>
                <w:color w:val="111827"/>
                <w:sz w:val="11"/>
              </w:rPr>
              <w:t>Seller</w:t>
            </w:r>
          </w:p>
        </w:tc>
        <w:tc>
          <w:tcPr>
            <w:tcW w:type="dxa" w:w="1584"/>
            <w:vAlign w:val="center"/>
          </w:tcPr>
          <w:p>
            <w:pPr>
              <w:spacing w:after="0" w:before="0" w:line="240" w:lineRule="auto"/>
            </w:pPr>
            <w:r/>
            <w:r>
              <w:rPr>
                <w:rFonts w:ascii="Aptos" w:hAnsi="Aptos"/>
                <w:b w:val="0"/>
                <w:color w:val="111827"/>
                <w:sz w:val="11"/>
              </w:rPr>
              <w:t>Seller</w:t>
            </w:r>
          </w:p>
        </w:tc>
        <w:tc>
          <w:tcPr>
            <w:tcW w:type="dxa" w:w="1728"/>
            <w:vAlign w:val="center"/>
          </w:tcPr>
          <w:p>
            <w:pPr>
              <w:spacing w:after="0" w:before="0" w:line="240" w:lineRule="auto"/>
            </w:pPr>
            <w:r/>
            <w:r>
              <w:rPr>
                <w:rFonts w:ascii="Aptos" w:hAnsi="Aptos"/>
                <w:b w:val="0"/>
                <w:color w:val="111827"/>
                <w:sz w:val="11"/>
              </w:rPr>
              <w:t>Seller unless marketplace protection applies</w:t>
            </w:r>
          </w:p>
        </w:tc>
        <w:tc>
          <w:tcPr>
            <w:tcW w:type="dxa" w:w="1584"/>
            <w:vAlign w:val="center"/>
          </w:tcPr>
          <w:p>
            <w:pPr>
              <w:spacing w:after="0" w:before="0" w:line="240" w:lineRule="auto"/>
            </w:pPr>
            <w:r/>
            <w:r>
              <w:rPr>
                <w:rFonts w:ascii="Aptos" w:hAnsi="Aptos"/>
                <w:b w:val="0"/>
                <w:color w:val="111827"/>
                <w:sz w:val="11"/>
              </w:rPr>
              <w:t>Seller</w:t>
            </w:r>
          </w:p>
        </w:tc>
        <w:tc>
          <w:tcPr>
            <w:tcW w:type="dxa" w:w="2160"/>
            <w:vAlign w:val="center"/>
          </w:tcPr>
          <w:p>
            <w:pPr>
              <w:spacing w:after="0" w:before="0" w:line="240" w:lineRule="auto"/>
            </w:pPr>
            <w:r/>
            <w:r>
              <w:rPr>
                <w:rFonts w:ascii="Aptos" w:hAnsi="Aptos"/>
                <w:b w:val="0"/>
                <w:color w:val="111827"/>
                <w:sz w:val="11"/>
              </w:rPr>
              <w:t>Seller; platform may report only limited program data</w:t>
            </w:r>
          </w:p>
        </w:tc>
        <w:tc>
          <w:tcPr>
            <w:tcW w:type="dxa" w:w="936"/>
            <w:vAlign w:val="center"/>
          </w:tcPr>
          <w:p>
            <w:pPr>
              <w:spacing w:after="0" w:before="0" w:line="240" w:lineRule="auto"/>
            </w:pPr>
            <w:r/>
            <w:r>
              <w:rPr>
                <w:rFonts w:ascii="Aptos" w:hAnsi="Aptos"/>
                <w:b w:val="0"/>
                <w:color w:val="111827"/>
                <w:sz w:val="11"/>
              </w:rPr>
              <w:t>High</w:t>
            </w:r>
          </w:p>
        </w:tc>
      </w:tr>
      <w:tr>
        <w:tc>
          <w:tcPr>
            <w:tcW w:type="dxa" w:w="1584"/>
            <w:vAlign w:val="center"/>
            <w:shd w:fill="F5F7FA"/>
          </w:tcPr>
          <w:p>
            <w:pPr>
              <w:spacing w:after="0" w:before="0" w:line="240" w:lineRule="auto"/>
            </w:pPr>
            <w:r/>
            <w:r>
              <w:rPr>
                <w:rFonts w:ascii="Aptos" w:hAnsi="Aptos"/>
                <w:b/>
                <w:color w:val="111827"/>
                <w:sz w:val="11"/>
              </w:rPr>
              <w:t>Vendor-supported retailer</w:t>
            </w:r>
          </w:p>
        </w:tc>
        <w:tc>
          <w:tcPr>
            <w:tcW w:type="dxa" w:w="1296"/>
            <w:vAlign w:val="center"/>
            <w:shd w:fill="F5F7FA"/>
          </w:tcPr>
          <w:p>
            <w:pPr>
              <w:spacing w:after="0" w:before="0" w:line="240" w:lineRule="auto"/>
            </w:pPr>
            <w:r/>
            <w:r>
              <w:rPr>
                <w:rFonts w:ascii="Aptos" w:hAnsi="Aptos"/>
                <w:b w:val="0"/>
                <w:color w:val="111827"/>
                <w:sz w:val="11"/>
              </w:rPr>
              <w:t>Usually retailer after purchase; title may vary</w:t>
            </w:r>
          </w:p>
        </w:tc>
        <w:tc>
          <w:tcPr>
            <w:tcW w:type="dxa" w:w="1296"/>
            <w:vAlign w:val="center"/>
            <w:shd w:fill="F5F7FA"/>
          </w:tcPr>
          <w:p>
            <w:pPr>
              <w:spacing w:after="0" w:before="0" w:line="240" w:lineRule="auto"/>
            </w:pPr>
            <w:r/>
            <w:r>
              <w:rPr>
                <w:rFonts w:ascii="Aptos" w:hAnsi="Aptos"/>
                <w:b w:val="0"/>
                <w:color w:val="111827"/>
                <w:sz w:val="11"/>
              </w:rPr>
              <w:t>Retailer to customer</w:t>
            </w:r>
          </w:p>
        </w:tc>
        <w:tc>
          <w:tcPr>
            <w:tcW w:type="dxa" w:w="1728"/>
            <w:vAlign w:val="center"/>
            <w:shd w:fill="F5F7FA"/>
          </w:tcPr>
          <w:p>
            <w:pPr>
              <w:spacing w:after="0" w:before="0" w:line="240" w:lineRule="auto"/>
            </w:pPr>
            <w:r/>
            <w:r>
              <w:rPr>
                <w:rFonts w:ascii="Aptos" w:hAnsi="Aptos"/>
                <w:b w:val="0"/>
                <w:color w:val="111827"/>
                <w:sz w:val="11"/>
              </w:rPr>
              <w:t>Retailer initially; vendor may reimburse defect/fault costs</w:t>
            </w:r>
          </w:p>
        </w:tc>
        <w:tc>
          <w:tcPr>
            <w:tcW w:type="dxa" w:w="1584"/>
            <w:vAlign w:val="center"/>
            <w:shd w:fill="F5F7FA"/>
          </w:tcPr>
          <w:p>
            <w:pPr>
              <w:spacing w:after="0" w:before="0" w:line="240" w:lineRule="auto"/>
            </w:pPr>
            <w:r/>
            <w:r>
              <w:rPr>
                <w:rFonts w:ascii="Aptos" w:hAnsi="Aptos"/>
                <w:b w:val="0"/>
                <w:color w:val="111827"/>
                <w:sz w:val="11"/>
              </w:rPr>
              <w:t>Retailer or vendor under allowance/return-to-vendor terms</w:t>
            </w:r>
          </w:p>
        </w:tc>
        <w:tc>
          <w:tcPr>
            <w:tcW w:type="dxa" w:w="1728"/>
            <w:vAlign w:val="center"/>
            <w:shd w:fill="F5F7FA"/>
          </w:tcPr>
          <w:p>
            <w:pPr>
              <w:spacing w:after="0" w:before="0" w:line="240" w:lineRule="auto"/>
            </w:pPr>
            <w:r/>
            <w:r>
              <w:rPr>
                <w:rFonts w:ascii="Aptos" w:hAnsi="Aptos"/>
                <w:b w:val="0"/>
                <w:color w:val="111827"/>
                <w:sz w:val="11"/>
              </w:rPr>
              <w:t>Retailer, vendor, or shared by contract</w:t>
            </w:r>
          </w:p>
        </w:tc>
        <w:tc>
          <w:tcPr>
            <w:tcW w:type="dxa" w:w="1584"/>
            <w:vAlign w:val="center"/>
            <w:shd w:fill="F5F7FA"/>
          </w:tcPr>
          <w:p>
            <w:pPr>
              <w:spacing w:after="0" w:before="0" w:line="240" w:lineRule="auto"/>
            </w:pPr>
            <w:r/>
            <w:r>
              <w:rPr>
                <w:rFonts w:ascii="Aptos" w:hAnsi="Aptos"/>
                <w:b w:val="0"/>
                <w:color w:val="111827"/>
                <w:sz w:val="11"/>
              </w:rPr>
              <w:t>Retailer unless vendor credit or return-to-vendor transfers economics</w:t>
            </w:r>
          </w:p>
        </w:tc>
        <w:tc>
          <w:tcPr>
            <w:tcW w:type="dxa" w:w="1728"/>
            <w:vAlign w:val="center"/>
            <w:shd w:fill="F5F7FA"/>
          </w:tcPr>
          <w:p>
            <w:pPr>
              <w:spacing w:after="0" w:before="0" w:line="240" w:lineRule="auto"/>
            </w:pPr>
            <w:r/>
            <w:r>
              <w:rPr>
                <w:rFonts w:ascii="Aptos" w:hAnsi="Aptos"/>
                <w:b w:val="0"/>
                <w:color w:val="111827"/>
                <w:sz w:val="11"/>
              </w:rPr>
              <w:t>Usually retailer for customer fraud; vendor for validated defect obligations</w:t>
            </w:r>
          </w:p>
        </w:tc>
        <w:tc>
          <w:tcPr>
            <w:tcW w:type="dxa" w:w="1584"/>
            <w:vAlign w:val="center"/>
            <w:shd w:fill="F5F7FA"/>
          </w:tcPr>
          <w:p>
            <w:pPr>
              <w:spacing w:after="0" w:before="0" w:line="240" w:lineRule="auto"/>
            </w:pPr>
            <w:r/>
            <w:r>
              <w:rPr>
                <w:rFonts w:ascii="Aptos" w:hAnsi="Aptos"/>
                <w:b w:val="0"/>
                <w:color w:val="111827"/>
                <w:sz w:val="11"/>
              </w:rPr>
              <w:t>Retailer net of vendor allowances/credits</w:t>
            </w:r>
          </w:p>
        </w:tc>
        <w:tc>
          <w:tcPr>
            <w:tcW w:type="dxa" w:w="2160"/>
            <w:vAlign w:val="center"/>
            <w:shd w:fill="F5F7FA"/>
          </w:tcPr>
          <w:p>
            <w:pPr>
              <w:spacing w:after="0" w:before="0" w:line="240" w:lineRule="auto"/>
            </w:pPr>
            <w:r/>
            <w:r>
              <w:rPr>
                <w:rFonts w:ascii="Aptos" w:hAnsi="Aptos"/>
                <w:b w:val="0"/>
                <w:color w:val="111827"/>
                <w:sz w:val="11"/>
              </w:rPr>
              <w:t>Depends on title and contractual responsibility</w:t>
            </w:r>
          </w:p>
        </w:tc>
        <w:tc>
          <w:tcPr>
            <w:tcW w:type="dxa" w:w="936"/>
            <w:vAlign w:val="center"/>
            <w:shd w:fill="F5F7FA"/>
          </w:tcPr>
          <w:p>
            <w:pPr>
              <w:spacing w:after="0" w:before="0" w:line="240" w:lineRule="auto"/>
            </w:pPr>
            <w:r/>
            <w:r>
              <w:rPr>
                <w:rFonts w:ascii="Aptos" w:hAnsi="Aptos"/>
                <w:b w:val="0"/>
                <w:color w:val="111827"/>
                <w:sz w:val="11"/>
              </w:rPr>
              <w:t>Medium</w:t>
            </w:r>
          </w:p>
        </w:tc>
      </w:tr>
      <w:tr>
        <w:tc>
          <w:tcPr>
            <w:tcW w:type="dxa" w:w="1584"/>
            <w:vAlign w:val="center"/>
          </w:tcPr>
          <w:p>
            <w:pPr>
              <w:spacing w:after="0" w:before="0" w:line="240" w:lineRule="auto"/>
            </w:pPr>
            <w:r/>
            <w:r>
              <w:rPr>
                <w:rFonts w:ascii="Aptos" w:hAnsi="Aptos"/>
                <w:b/>
                <w:color w:val="111827"/>
                <w:sz w:val="11"/>
              </w:rPr>
              <w:t>Consignment</w:t>
            </w:r>
          </w:p>
        </w:tc>
        <w:tc>
          <w:tcPr>
            <w:tcW w:type="dxa" w:w="1296"/>
            <w:vAlign w:val="center"/>
          </w:tcPr>
          <w:p>
            <w:pPr>
              <w:spacing w:after="0" w:before="0" w:line="240" w:lineRule="auto"/>
            </w:pPr>
            <w:r/>
            <w:r>
              <w:rPr>
                <w:rFonts w:ascii="Aptos" w:hAnsi="Aptos"/>
                <w:b w:val="0"/>
                <w:color w:val="111827"/>
                <w:sz w:val="11"/>
              </w:rPr>
              <w:t>Consignor until sale or contractual title transfer</w:t>
            </w:r>
          </w:p>
        </w:tc>
        <w:tc>
          <w:tcPr>
            <w:tcW w:type="dxa" w:w="1296"/>
            <w:vAlign w:val="center"/>
          </w:tcPr>
          <w:p>
            <w:pPr>
              <w:spacing w:after="0" w:before="0" w:line="240" w:lineRule="auto"/>
            </w:pPr>
            <w:r/>
            <w:r>
              <w:rPr>
                <w:rFonts w:ascii="Aptos" w:hAnsi="Aptos"/>
                <w:b w:val="0"/>
                <w:color w:val="111827"/>
                <w:sz w:val="11"/>
              </w:rPr>
              <w:t>Retailer/platform to customer, then settled with consignor under contract</w:t>
            </w:r>
          </w:p>
        </w:tc>
        <w:tc>
          <w:tcPr>
            <w:tcW w:type="dxa" w:w="1728"/>
            <w:vAlign w:val="center"/>
          </w:tcPr>
          <w:p>
            <w:pPr>
              <w:spacing w:after="0" w:before="0" w:line="240" w:lineRule="auto"/>
            </w:pPr>
            <w:r/>
            <w:r>
              <w:rPr>
                <w:rFonts w:ascii="Aptos" w:hAnsi="Aptos"/>
                <w:b w:val="0"/>
                <w:color w:val="111827"/>
                <w:sz w:val="11"/>
              </w:rPr>
              <w:t>Contract-specific</w:t>
            </w:r>
          </w:p>
        </w:tc>
        <w:tc>
          <w:tcPr>
            <w:tcW w:type="dxa" w:w="1584"/>
            <w:vAlign w:val="center"/>
          </w:tcPr>
          <w:p>
            <w:pPr>
              <w:spacing w:after="0" w:before="0" w:line="240" w:lineRule="auto"/>
            </w:pPr>
            <w:r/>
            <w:r>
              <w:rPr>
                <w:rFonts w:ascii="Aptos" w:hAnsi="Aptos"/>
                <w:b w:val="0"/>
                <w:color w:val="111827"/>
                <w:sz w:val="11"/>
              </w:rPr>
              <w:t>Contract-specific; often retailer charges consignor</w:t>
            </w:r>
          </w:p>
        </w:tc>
        <w:tc>
          <w:tcPr>
            <w:tcW w:type="dxa" w:w="1728"/>
            <w:vAlign w:val="center"/>
          </w:tcPr>
          <w:p>
            <w:pPr>
              <w:spacing w:after="0" w:before="0" w:line="240" w:lineRule="auto"/>
            </w:pPr>
            <w:r/>
            <w:r>
              <w:rPr>
                <w:rFonts w:ascii="Aptos" w:hAnsi="Aptos"/>
                <w:b w:val="0"/>
                <w:color w:val="111827"/>
                <w:sz w:val="11"/>
              </w:rPr>
              <w:t>Consignor or retailer within agreed rules</w:t>
            </w:r>
          </w:p>
        </w:tc>
        <w:tc>
          <w:tcPr>
            <w:tcW w:type="dxa" w:w="1584"/>
            <w:vAlign w:val="center"/>
          </w:tcPr>
          <w:p>
            <w:pPr>
              <w:spacing w:after="0" w:before="0" w:line="240" w:lineRule="auto"/>
            </w:pPr>
            <w:r/>
            <w:r>
              <w:rPr>
                <w:rFonts w:ascii="Aptos" w:hAnsi="Aptos"/>
                <w:b w:val="0"/>
                <w:color w:val="111827"/>
                <w:sz w:val="11"/>
              </w:rPr>
              <w:t>Consignor net of commission/fees</w:t>
            </w:r>
          </w:p>
        </w:tc>
        <w:tc>
          <w:tcPr>
            <w:tcW w:type="dxa" w:w="1728"/>
            <w:vAlign w:val="center"/>
          </w:tcPr>
          <w:p>
            <w:pPr>
              <w:spacing w:after="0" w:before="0" w:line="240" w:lineRule="auto"/>
            </w:pPr>
            <w:r/>
            <w:r>
              <w:rPr>
                <w:rFonts w:ascii="Aptos" w:hAnsi="Aptos"/>
                <w:b w:val="0"/>
                <w:color w:val="111827"/>
                <w:sz w:val="11"/>
              </w:rPr>
              <w:t>Contract-specific; often consignor for merchandise, retailer for process failure</w:t>
            </w:r>
          </w:p>
        </w:tc>
        <w:tc>
          <w:tcPr>
            <w:tcW w:type="dxa" w:w="1584"/>
            <w:vAlign w:val="center"/>
          </w:tcPr>
          <w:p>
            <w:pPr>
              <w:spacing w:after="0" w:before="0" w:line="240" w:lineRule="auto"/>
            </w:pPr>
            <w:r/>
            <w:r>
              <w:rPr>
                <w:rFonts w:ascii="Aptos" w:hAnsi="Aptos"/>
                <w:b w:val="0"/>
                <w:color w:val="111827"/>
                <w:sz w:val="11"/>
              </w:rPr>
              <w:t>Consignor before title transfer</w:t>
            </w:r>
          </w:p>
        </w:tc>
        <w:tc>
          <w:tcPr>
            <w:tcW w:type="dxa" w:w="2160"/>
            <w:vAlign w:val="center"/>
          </w:tcPr>
          <w:p>
            <w:pPr>
              <w:spacing w:after="0" w:before="0" w:line="240" w:lineRule="auto"/>
            </w:pPr>
            <w:r/>
            <w:r>
              <w:rPr>
                <w:rFonts w:ascii="Aptos" w:hAnsi="Aptos"/>
                <w:b w:val="0"/>
                <w:color w:val="111827"/>
                <w:sz w:val="11"/>
              </w:rPr>
              <w:t>Owner/consignor for product outcome; processor for operations</w:t>
            </w:r>
          </w:p>
        </w:tc>
        <w:tc>
          <w:tcPr>
            <w:tcW w:type="dxa" w:w="936"/>
            <w:vAlign w:val="center"/>
          </w:tcPr>
          <w:p>
            <w:pPr>
              <w:spacing w:after="0" w:before="0" w:line="240" w:lineRule="auto"/>
            </w:pPr>
            <w:r/>
            <w:r>
              <w:rPr>
                <w:rFonts w:ascii="Aptos" w:hAnsi="Aptos"/>
                <w:b w:val="0"/>
                <w:color w:val="111827"/>
                <w:sz w:val="11"/>
              </w:rPr>
              <w:t>Low-medium</w:t>
            </w:r>
          </w:p>
        </w:tc>
      </w:tr>
      <w:tr>
        <w:tc>
          <w:tcPr>
            <w:tcW w:type="dxa" w:w="1584"/>
            <w:vAlign w:val="center"/>
            <w:shd w:fill="F5F7FA"/>
          </w:tcPr>
          <w:p>
            <w:pPr>
              <w:spacing w:after="0" w:before="0" w:line="240" w:lineRule="auto"/>
            </w:pPr>
            <w:r/>
            <w:r>
              <w:rPr>
                <w:rFonts w:ascii="Aptos" w:hAnsi="Aptos"/>
                <w:b/>
                <w:color w:val="111827"/>
                <w:sz w:val="11"/>
              </w:rPr>
              <w:t>Reverse-logistics service contract</w:t>
            </w:r>
          </w:p>
        </w:tc>
        <w:tc>
          <w:tcPr>
            <w:tcW w:type="dxa" w:w="1296"/>
            <w:vAlign w:val="center"/>
            <w:shd w:fill="F5F7FA"/>
          </w:tcPr>
          <w:p>
            <w:pPr>
              <w:spacing w:after="0" w:before="0" w:line="240" w:lineRule="auto"/>
            </w:pPr>
            <w:r/>
            <w:r>
              <w:rPr>
                <w:rFonts w:ascii="Aptos" w:hAnsi="Aptos"/>
                <w:b w:val="0"/>
                <w:color w:val="111827"/>
                <w:sz w:val="11"/>
              </w:rPr>
              <w:t>Client retailer/brand/seller</w:t>
            </w:r>
          </w:p>
        </w:tc>
        <w:tc>
          <w:tcPr>
            <w:tcW w:type="dxa" w:w="1296"/>
            <w:vAlign w:val="center"/>
            <w:shd w:fill="F5F7FA"/>
          </w:tcPr>
          <w:p>
            <w:pPr>
              <w:spacing w:after="0" w:before="0" w:line="240" w:lineRule="auto"/>
            </w:pPr>
            <w:r/>
            <w:r>
              <w:rPr>
                <w:rFonts w:ascii="Aptos" w:hAnsi="Aptos"/>
                <w:b w:val="0"/>
                <w:color w:val="111827"/>
                <w:sz w:val="11"/>
              </w:rPr>
              <w:t>Client or platform</w:t>
            </w:r>
          </w:p>
        </w:tc>
        <w:tc>
          <w:tcPr>
            <w:tcW w:type="dxa" w:w="1728"/>
            <w:vAlign w:val="center"/>
            <w:shd w:fill="F5F7FA"/>
          </w:tcPr>
          <w:p>
            <w:pPr>
              <w:spacing w:after="0" w:before="0" w:line="240" w:lineRule="auto"/>
            </w:pPr>
            <w:r/>
            <w:r>
              <w:rPr>
                <w:rFonts w:ascii="Aptos" w:hAnsi="Aptos"/>
                <w:b w:val="0"/>
                <w:color w:val="111827"/>
                <w:sz w:val="11"/>
              </w:rPr>
              <w:t>Client, passed through or bundled</w:t>
            </w:r>
          </w:p>
        </w:tc>
        <w:tc>
          <w:tcPr>
            <w:tcW w:type="dxa" w:w="1584"/>
            <w:vAlign w:val="center"/>
            <w:shd w:fill="F5F7FA"/>
          </w:tcPr>
          <w:p>
            <w:pPr>
              <w:spacing w:after="0" w:before="0" w:line="240" w:lineRule="auto"/>
            </w:pPr>
            <w:r/>
            <w:r>
              <w:rPr>
                <w:rFonts w:ascii="Aptos" w:hAnsi="Aptos"/>
                <w:b w:val="0"/>
                <w:color w:val="111827"/>
                <w:sz w:val="11"/>
              </w:rPr>
              <w:t>Client pays service fee</w:t>
            </w:r>
          </w:p>
        </w:tc>
        <w:tc>
          <w:tcPr>
            <w:tcW w:type="dxa" w:w="1728"/>
            <w:vAlign w:val="center"/>
            <w:shd w:fill="F5F7FA"/>
          </w:tcPr>
          <w:p>
            <w:pPr>
              <w:spacing w:after="0" w:before="0" w:line="240" w:lineRule="auto"/>
            </w:pPr>
            <w:r/>
            <w:r>
              <w:rPr>
                <w:rFonts w:ascii="Aptos" w:hAnsi="Aptos"/>
                <w:b w:val="0"/>
                <w:color w:val="111827"/>
                <w:sz w:val="11"/>
              </w:rPr>
              <w:t>3PL within SLA; client retains policy authority</w:t>
            </w:r>
          </w:p>
        </w:tc>
        <w:tc>
          <w:tcPr>
            <w:tcW w:type="dxa" w:w="1584"/>
            <w:vAlign w:val="center"/>
            <w:shd w:fill="F5F7FA"/>
          </w:tcPr>
          <w:p>
            <w:pPr>
              <w:spacing w:after="0" w:before="0" w:line="240" w:lineRule="auto"/>
            </w:pPr>
            <w:r/>
            <w:r>
              <w:rPr>
                <w:rFonts w:ascii="Aptos" w:hAnsi="Aptos"/>
                <w:b w:val="0"/>
                <w:color w:val="111827"/>
                <w:sz w:val="11"/>
              </w:rPr>
              <w:t>Client, net of service and channel fees</w:t>
            </w:r>
          </w:p>
        </w:tc>
        <w:tc>
          <w:tcPr>
            <w:tcW w:type="dxa" w:w="1728"/>
            <w:vAlign w:val="center"/>
            <w:shd w:fill="F5F7FA"/>
          </w:tcPr>
          <w:p>
            <w:pPr>
              <w:spacing w:after="0" w:before="0" w:line="240" w:lineRule="auto"/>
            </w:pPr>
            <w:r/>
            <w:r>
              <w:rPr>
                <w:rFonts w:ascii="Aptos" w:hAnsi="Aptos"/>
                <w:b w:val="0"/>
                <w:color w:val="111827"/>
                <w:sz w:val="11"/>
              </w:rPr>
              <w:t>Client unless service-level guarantee shifts defined losses</w:t>
            </w:r>
          </w:p>
        </w:tc>
        <w:tc>
          <w:tcPr>
            <w:tcW w:type="dxa" w:w="1584"/>
            <w:vAlign w:val="center"/>
            <w:shd w:fill="F5F7FA"/>
          </w:tcPr>
          <w:p>
            <w:pPr>
              <w:spacing w:after="0" w:before="0" w:line="240" w:lineRule="auto"/>
            </w:pPr>
            <w:r/>
            <w:r>
              <w:rPr>
                <w:rFonts w:ascii="Aptos" w:hAnsi="Aptos"/>
                <w:b w:val="0"/>
                <w:color w:val="111827"/>
                <w:sz w:val="11"/>
              </w:rPr>
              <w:t>Client</w:t>
            </w:r>
          </w:p>
        </w:tc>
        <w:tc>
          <w:tcPr>
            <w:tcW w:type="dxa" w:w="2160"/>
            <w:vAlign w:val="center"/>
            <w:shd w:fill="F5F7FA"/>
          </w:tcPr>
          <w:p>
            <w:pPr>
              <w:spacing w:after="0" w:before="0" w:line="240" w:lineRule="auto"/>
            </w:pPr>
            <w:r/>
            <w:r>
              <w:rPr>
                <w:rFonts w:ascii="Aptos" w:hAnsi="Aptos"/>
                <w:b w:val="0"/>
                <w:color w:val="111827"/>
                <w:sz w:val="11"/>
              </w:rPr>
              <w:t>Client for product claims; 3PL may report handling/diversion metrics</w:t>
            </w:r>
          </w:p>
        </w:tc>
        <w:tc>
          <w:tcPr>
            <w:tcW w:type="dxa" w:w="936"/>
            <w:vAlign w:val="center"/>
            <w:shd w:fill="F5F7FA"/>
          </w:tcPr>
          <w:p>
            <w:pPr>
              <w:spacing w:after="0" w:before="0" w:line="240" w:lineRule="auto"/>
            </w:pPr>
            <w:r/>
            <w:r>
              <w:rPr>
                <w:rFonts w:ascii="Aptos" w:hAnsi="Aptos"/>
                <w:b w:val="0"/>
                <w:color w:val="111827"/>
                <w:sz w:val="11"/>
              </w:rPr>
              <w:t>Medium-low</w:t>
            </w:r>
          </w:p>
        </w:tc>
      </w:tr>
      <w:tr>
        <w:tc>
          <w:tcPr>
            <w:tcW w:type="dxa" w:w="1584"/>
            <w:vAlign w:val="center"/>
          </w:tcPr>
          <w:p>
            <w:pPr>
              <w:spacing w:after="0" w:before="0" w:line="240" w:lineRule="auto"/>
            </w:pPr>
            <w:r/>
            <w:r>
              <w:rPr>
                <w:rFonts w:ascii="Aptos" w:hAnsi="Aptos"/>
                <w:b/>
                <w:color w:val="111827"/>
                <w:sz w:val="11"/>
              </w:rPr>
              <w:t>Inventory-purchase arrangement</w:t>
            </w:r>
          </w:p>
        </w:tc>
        <w:tc>
          <w:tcPr>
            <w:tcW w:type="dxa" w:w="1296"/>
            <w:vAlign w:val="center"/>
          </w:tcPr>
          <w:p>
            <w:pPr>
              <w:spacing w:after="0" w:before="0" w:line="240" w:lineRule="auto"/>
            </w:pPr>
            <w:r/>
            <w:r>
              <w:rPr>
                <w:rFonts w:ascii="Aptos" w:hAnsi="Aptos"/>
                <w:b w:val="0"/>
                <w:color w:val="111827"/>
                <w:sz w:val="11"/>
              </w:rPr>
              <w:t>Retailer until bulk sale; liquidator after title transfer</w:t>
            </w:r>
          </w:p>
        </w:tc>
        <w:tc>
          <w:tcPr>
            <w:tcW w:type="dxa" w:w="1296"/>
            <w:vAlign w:val="center"/>
          </w:tcPr>
          <w:p>
            <w:pPr>
              <w:spacing w:after="0" w:before="0" w:line="240" w:lineRule="auto"/>
            </w:pPr>
            <w:r/>
            <w:r>
              <w:rPr>
                <w:rFonts w:ascii="Aptos" w:hAnsi="Aptos"/>
                <w:b w:val="0"/>
                <w:color w:val="111827"/>
                <w:sz w:val="11"/>
              </w:rPr>
              <w:t>Retailer/seller before inventory sale</w:t>
            </w:r>
          </w:p>
        </w:tc>
        <w:tc>
          <w:tcPr>
            <w:tcW w:type="dxa" w:w="1728"/>
            <w:vAlign w:val="center"/>
          </w:tcPr>
          <w:p>
            <w:pPr>
              <w:spacing w:after="0" w:before="0" w:line="240" w:lineRule="auto"/>
            </w:pPr>
            <w:r/>
            <w:r>
              <w:rPr>
                <w:rFonts w:ascii="Aptos" w:hAnsi="Aptos"/>
                <w:b w:val="0"/>
                <w:color w:val="111827"/>
                <w:sz w:val="11"/>
              </w:rPr>
              <w:t>Negotiated: seller-delivered, buyer pickup, or embedded in price</w:t>
            </w:r>
          </w:p>
        </w:tc>
        <w:tc>
          <w:tcPr>
            <w:tcW w:type="dxa" w:w="1584"/>
            <w:vAlign w:val="center"/>
          </w:tcPr>
          <w:p>
            <w:pPr>
              <w:spacing w:after="0" w:before="0" w:line="240" w:lineRule="auto"/>
            </w:pPr>
            <w:r/>
            <w:r>
              <w:rPr>
                <w:rFonts w:ascii="Aptos" w:hAnsi="Aptos"/>
                <w:b w:val="0"/>
                <w:color w:val="111827"/>
                <w:sz w:val="11"/>
              </w:rPr>
              <w:t>Liquidator after purchase; retailer may pay prep</w:t>
            </w:r>
          </w:p>
        </w:tc>
        <w:tc>
          <w:tcPr>
            <w:tcW w:type="dxa" w:w="1728"/>
            <w:vAlign w:val="center"/>
          </w:tcPr>
          <w:p>
            <w:pPr>
              <w:spacing w:after="0" w:before="0" w:line="240" w:lineRule="auto"/>
            </w:pPr>
            <w:r/>
            <w:r>
              <w:rPr>
                <w:rFonts w:ascii="Aptos" w:hAnsi="Aptos"/>
                <w:b w:val="0"/>
                <w:color w:val="111827"/>
                <w:sz w:val="11"/>
              </w:rPr>
              <w:t>Liquidator after title transfer</w:t>
            </w:r>
          </w:p>
        </w:tc>
        <w:tc>
          <w:tcPr>
            <w:tcW w:type="dxa" w:w="1584"/>
            <w:vAlign w:val="center"/>
          </w:tcPr>
          <w:p>
            <w:pPr>
              <w:spacing w:after="0" w:before="0" w:line="240" w:lineRule="auto"/>
            </w:pPr>
            <w:r/>
            <w:r>
              <w:rPr>
                <w:rFonts w:ascii="Aptos" w:hAnsi="Aptos"/>
                <w:b w:val="0"/>
                <w:color w:val="111827"/>
                <w:sz w:val="11"/>
              </w:rPr>
              <w:t>Retailer gets fixed sale proceeds; liquidator keeps downstream upside</w:t>
            </w:r>
          </w:p>
        </w:tc>
        <w:tc>
          <w:tcPr>
            <w:tcW w:type="dxa" w:w="1728"/>
            <w:vAlign w:val="center"/>
          </w:tcPr>
          <w:p>
            <w:pPr>
              <w:spacing w:after="0" w:before="0" w:line="240" w:lineRule="auto"/>
            </w:pPr>
            <w:r/>
            <w:r>
              <w:rPr>
                <w:rFonts w:ascii="Aptos" w:hAnsi="Aptos"/>
                <w:b w:val="0"/>
                <w:color w:val="111827"/>
                <w:sz w:val="11"/>
              </w:rPr>
              <w:t>Retailer before title transfer; liquidator bears manifest/sell-through risk after purchase subject to claims rights</w:t>
            </w:r>
          </w:p>
        </w:tc>
        <w:tc>
          <w:tcPr>
            <w:tcW w:type="dxa" w:w="1584"/>
            <w:vAlign w:val="center"/>
          </w:tcPr>
          <w:p>
            <w:pPr>
              <w:spacing w:after="0" w:before="0" w:line="240" w:lineRule="auto"/>
            </w:pPr>
            <w:r/>
            <w:r>
              <w:rPr>
                <w:rFonts w:ascii="Aptos" w:hAnsi="Aptos"/>
                <w:b w:val="0"/>
                <w:color w:val="111827"/>
                <w:sz w:val="11"/>
              </w:rPr>
              <w:t>Retailer through discounted sale, then liquidator on purchased inventory</w:t>
            </w:r>
          </w:p>
        </w:tc>
        <w:tc>
          <w:tcPr>
            <w:tcW w:type="dxa" w:w="2160"/>
            <w:vAlign w:val="center"/>
          </w:tcPr>
          <w:p>
            <w:pPr>
              <w:spacing w:after="0" w:before="0" w:line="240" w:lineRule="auto"/>
            </w:pPr>
            <w:r/>
            <w:r>
              <w:rPr>
                <w:rFonts w:ascii="Aptos" w:hAnsi="Aptos"/>
                <w:b w:val="0"/>
                <w:color w:val="111827"/>
                <w:sz w:val="11"/>
              </w:rPr>
              <w:t>Ambiguous after title transfer; retailer may count transfer without observing endpoint</w:t>
            </w:r>
          </w:p>
        </w:tc>
        <w:tc>
          <w:tcPr>
            <w:tcW w:type="dxa" w:w="936"/>
            <w:vAlign w:val="center"/>
          </w:tcPr>
          <w:p>
            <w:pPr>
              <w:spacing w:after="0" w:before="0" w:line="240" w:lineRule="auto"/>
            </w:pPr>
            <w:r/>
            <w:r>
              <w:rPr>
                <w:rFonts w:ascii="Aptos" w:hAnsi="Aptos"/>
                <w:b w:val="0"/>
                <w:color w:val="111827"/>
                <w:sz w:val="11"/>
              </w:rPr>
              <w:t>Medium</w:t>
            </w:r>
          </w:p>
        </w:tc>
      </w:tr>
      <w:tr>
        <w:tc>
          <w:tcPr>
            <w:tcW w:type="dxa" w:w="1584"/>
            <w:vAlign w:val="center"/>
            <w:shd w:fill="F5F7FA"/>
          </w:tcPr>
          <w:p>
            <w:pPr>
              <w:spacing w:after="0" w:before="0" w:line="240" w:lineRule="auto"/>
            </w:pPr>
            <w:r/>
            <w:r>
              <w:rPr>
                <w:rFonts w:ascii="Aptos" w:hAnsi="Aptos"/>
                <w:b/>
                <w:color w:val="111827"/>
                <w:sz w:val="11"/>
              </w:rPr>
              <w:t>Auction agency model</w:t>
            </w:r>
          </w:p>
        </w:tc>
        <w:tc>
          <w:tcPr>
            <w:tcW w:type="dxa" w:w="1296"/>
            <w:vAlign w:val="center"/>
            <w:shd w:fill="F5F7FA"/>
          </w:tcPr>
          <w:p>
            <w:pPr>
              <w:spacing w:after="0" w:before="0" w:line="240" w:lineRule="auto"/>
            </w:pPr>
            <w:r/>
            <w:r>
              <w:rPr>
                <w:rFonts w:ascii="Aptos" w:hAnsi="Aptos"/>
                <w:b w:val="0"/>
                <w:color w:val="111827"/>
                <w:sz w:val="11"/>
              </w:rPr>
              <w:t>Retailer/seller until auction sale closes</w:t>
            </w:r>
          </w:p>
        </w:tc>
        <w:tc>
          <w:tcPr>
            <w:tcW w:type="dxa" w:w="1296"/>
            <w:vAlign w:val="center"/>
            <w:shd w:fill="F5F7FA"/>
          </w:tcPr>
          <w:p>
            <w:pPr>
              <w:spacing w:after="0" w:before="0" w:line="240" w:lineRule="auto"/>
            </w:pPr>
            <w:r/>
            <w:r>
              <w:rPr>
                <w:rFonts w:ascii="Aptos" w:hAnsi="Aptos"/>
                <w:b w:val="0"/>
                <w:color w:val="111827"/>
                <w:sz w:val="11"/>
              </w:rPr>
              <w:t>Retailer/seller</w:t>
            </w:r>
          </w:p>
        </w:tc>
        <w:tc>
          <w:tcPr>
            <w:tcW w:type="dxa" w:w="1728"/>
            <w:vAlign w:val="center"/>
            <w:shd w:fill="F5F7FA"/>
          </w:tcPr>
          <w:p>
            <w:pPr>
              <w:spacing w:after="0" w:before="0" w:line="240" w:lineRule="auto"/>
            </w:pPr>
            <w:r/>
            <w:r>
              <w:rPr>
                <w:rFonts w:ascii="Aptos" w:hAnsi="Aptos"/>
                <w:b w:val="0"/>
                <w:color w:val="111827"/>
                <w:sz w:val="11"/>
              </w:rPr>
              <w:t>Upstream owner to sale point or buyer after sale, per terms</w:t>
            </w:r>
          </w:p>
        </w:tc>
        <w:tc>
          <w:tcPr>
            <w:tcW w:type="dxa" w:w="1584"/>
            <w:vAlign w:val="center"/>
            <w:shd w:fill="F5F7FA"/>
          </w:tcPr>
          <w:p>
            <w:pPr>
              <w:spacing w:after="0" w:before="0" w:line="240" w:lineRule="auto"/>
            </w:pPr>
            <w:r/>
            <w:r>
              <w:rPr>
                <w:rFonts w:ascii="Aptos" w:hAnsi="Aptos"/>
                <w:b w:val="0"/>
                <w:color w:val="111827"/>
                <w:sz w:val="11"/>
              </w:rPr>
              <w:t>Owner and/or agent fee</w:t>
            </w:r>
          </w:p>
        </w:tc>
        <w:tc>
          <w:tcPr>
            <w:tcW w:type="dxa" w:w="1728"/>
            <w:vAlign w:val="center"/>
            <w:shd w:fill="F5F7FA"/>
          </w:tcPr>
          <w:p>
            <w:pPr>
              <w:spacing w:after="0" w:before="0" w:line="240" w:lineRule="auto"/>
            </w:pPr>
            <w:r/>
            <w:r>
              <w:rPr>
                <w:rFonts w:ascii="Aptos" w:hAnsi="Aptos"/>
                <w:b w:val="0"/>
                <w:color w:val="111827"/>
                <w:sz w:val="11"/>
              </w:rPr>
              <w:t>Agent runs auction; owner sets program constraints; buyer controls after title transfer</w:t>
            </w:r>
          </w:p>
        </w:tc>
        <w:tc>
          <w:tcPr>
            <w:tcW w:type="dxa" w:w="1584"/>
            <w:vAlign w:val="center"/>
            <w:shd w:fill="F5F7FA"/>
          </w:tcPr>
          <w:p>
            <w:pPr>
              <w:spacing w:after="0" w:before="0" w:line="240" w:lineRule="auto"/>
            </w:pPr>
            <w:r/>
            <w:r>
              <w:rPr>
                <w:rFonts w:ascii="Aptos" w:hAnsi="Aptos"/>
                <w:b w:val="0"/>
                <w:color w:val="111827"/>
                <w:sz w:val="11"/>
              </w:rPr>
              <w:t>Owner receives bid proceeds net of seller-side fees; agent receives fees</w:t>
            </w:r>
          </w:p>
        </w:tc>
        <w:tc>
          <w:tcPr>
            <w:tcW w:type="dxa" w:w="1728"/>
            <w:vAlign w:val="center"/>
            <w:shd w:fill="F5F7FA"/>
          </w:tcPr>
          <w:p>
            <w:pPr>
              <w:spacing w:after="0" w:before="0" w:line="240" w:lineRule="auto"/>
            </w:pPr>
            <w:r/>
            <w:r>
              <w:rPr>
                <w:rFonts w:ascii="Aptos" w:hAnsi="Aptos"/>
                <w:b w:val="0"/>
                <w:color w:val="111827"/>
                <w:sz w:val="11"/>
              </w:rPr>
              <w:t>Owner until title transfer; buyer takes manifest and resale risk subject to narrow dispute rights</w:t>
            </w:r>
          </w:p>
        </w:tc>
        <w:tc>
          <w:tcPr>
            <w:tcW w:type="dxa" w:w="1584"/>
            <w:vAlign w:val="center"/>
            <w:shd w:fill="F5F7FA"/>
          </w:tcPr>
          <w:p>
            <w:pPr>
              <w:spacing w:after="0" w:before="0" w:line="240" w:lineRule="auto"/>
            </w:pPr>
            <w:r/>
            <w:r>
              <w:rPr>
                <w:rFonts w:ascii="Aptos" w:hAnsi="Aptos"/>
                <w:b w:val="0"/>
                <w:color w:val="111827"/>
                <w:sz w:val="11"/>
              </w:rPr>
              <w:t>Owner until sale; buyer thereafter</w:t>
            </w:r>
          </w:p>
        </w:tc>
        <w:tc>
          <w:tcPr>
            <w:tcW w:type="dxa" w:w="2160"/>
            <w:vAlign w:val="center"/>
            <w:shd w:fill="F5F7FA"/>
          </w:tcPr>
          <w:p>
            <w:pPr>
              <w:spacing w:after="0" w:before="0" w:line="240" w:lineRule="auto"/>
            </w:pPr>
            <w:r/>
            <w:r>
              <w:rPr>
                <w:rFonts w:ascii="Aptos" w:hAnsi="Aptos"/>
                <w:b w:val="0"/>
                <w:color w:val="111827"/>
                <w:sz w:val="11"/>
              </w:rPr>
              <w:t>Owner may report liquidation transfer; final endpoint rests with buyer and is often unobserved</w:t>
            </w:r>
          </w:p>
        </w:tc>
        <w:tc>
          <w:tcPr>
            <w:tcW w:type="dxa" w:w="936"/>
            <w:vAlign w:val="center"/>
            <w:shd w:fill="F5F7FA"/>
          </w:tcPr>
          <w:p>
            <w:pPr>
              <w:spacing w:after="0" w:before="0" w:line="240" w:lineRule="auto"/>
            </w:pPr>
            <w:r/>
            <w:r>
              <w:rPr>
                <w:rFonts w:ascii="Aptos" w:hAnsi="Aptos"/>
                <w:b w:val="0"/>
                <w:color w:val="111827"/>
                <w:sz w:val="11"/>
              </w:rPr>
              <w:t>Medium</w:t>
            </w:r>
          </w:p>
        </w:tc>
      </w:tr>
    </w:tbl>
    <w:p>
      <w:pPr>
        <w:spacing w:after="0"/>
      </w:pPr>
    </w:p>
    <w:p>
      <w:pPr>
        <w:pStyle w:val="Caption"/>
        <w:jc w:val="left"/>
      </w:pPr>
      <w:r>
        <w:rPr>
          <w:b/>
        </w:rPr>
        <w:t>Table 11. Ownership and loss-allocation ledger</w:t>
      </w:r>
      <w:r>
        <w:rPr>
          <w:i/>
          <w:color w:val="6B7280"/>
        </w:rPr>
        <w:t xml:space="preserve">  Source: P01; contractual archetypes labeled by confidence</w:t>
      </w:r>
    </w:p>
    <w:p>
      <w:pPr>
        <w:sectPr>
          <w:pgSz w:w="15840" w:h="12240" w:orient="landscape"/>
          <w:pgMar w:top="792" w:right="792" w:bottom="792" w:left="792" w:header="720" w:footer="720" w:gutter="0"/>
          <w:cols w:space="720"/>
          <w:docGrid w:linePitch="360"/>
        </w:sectPr>
      </w:pPr>
    </w:p>
    <w:p>
      <w:pPr>
        <w:pStyle w:val="Heading1"/>
      </w:pPr>
      <w:r>
        <w:t>Fraud analysis detail</w:t>
      </w:r>
    </w:p>
    <w:tbl>
      <w:tblPr>
        <w:tblStyle w:val="TableGrid"/>
        <w:tblW w:type="auto" w:w="0"/>
        <w:jc w:val="center"/>
        <w:tblLayout w:type="fixed"/>
        <w:tblLook w:firstColumn="1" w:firstRow="1" w:lastColumn="0" w:lastRow="0" w:noHBand="0" w:noVBand="1" w:val="04A0"/>
      </w:tblPr>
      <w:tblGrid>
        <w:gridCol w:w="1242"/>
        <w:gridCol w:w="1242"/>
        <w:gridCol w:w="1242"/>
        <w:gridCol w:w="1242"/>
        <w:gridCol w:w="1242"/>
        <w:gridCol w:w="1242"/>
        <w:gridCol w:w="1242"/>
        <w:gridCol w:w="1242"/>
      </w:tblGrid>
      <w:tr>
        <w:trPr>
          <w:tblHeader w:val="true"/>
        </w:trPr>
        <w:tc>
          <w:tcPr>
            <w:tcW w:type="dxa" w:w="2376"/>
            <w:vAlign w:val="center"/>
            <w:shd w:fill="17324D"/>
            <w:tcBorders>
              <w:bottom w:val="single" w:sz="8" w:color="FFFFFF"/>
            </w:tcBorders>
          </w:tcPr>
          <w:p>
            <w:pPr>
              <w:spacing w:after="0" w:before="0" w:line="240" w:lineRule="auto"/>
              <w:jc w:val="left"/>
            </w:pPr>
            <w:r/>
            <w:r>
              <w:rPr>
                <w:rFonts w:ascii="Aptos" w:hAnsi="Aptos"/>
                <w:b/>
                <w:color w:val="FFFFFF"/>
                <w:sz w:val="13"/>
              </w:rPr>
              <w:t>Product</w:t>
            </w:r>
          </w:p>
        </w:tc>
        <w:tc>
          <w:tcPr>
            <w:tcW w:type="dxa" w:w="792"/>
            <w:vAlign w:val="center"/>
            <w:shd w:fill="17324D"/>
            <w:tcBorders>
              <w:bottom w:val="single" w:sz="8" w:color="FFFFFF"/>
            </w:tcBorders>
          </w:tcPr>
          <w:p>
            <w:pPr>
              <w:spacing w:after="0" w:before="0" w:line="240" w:lineRule="auto"/>
              <w:jc w:val="left"/>
            </w:pPr>
            <w:r/>
            <w:r>
              <w:rPr>
                <w:rFonts w:ascii="Aptos" w:hAnsi="Aptos"/>
                <w:b/>
                <w:color w:val="FFFFFF"/>
                <w:sz w:val="13"/>
              </w:rPr>
              <w:t>Base p_f</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3"/>
              </w:rPr>
              <w:t>Lost recovery</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3"/>
              </w:rPr>
              <w:t>Admin/claims</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3"/>
              </w:rPr>
              <w:t>LGD</w:t>
            </w:r>
          </w:p>
        </w:tc>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3"/>
              </w:rPr>
              <w:t>Expected total fraud loss</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3"/>
              </w:rPr>
              <w:t>Inside Qj</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3"/>
              </w:rPr>
              <w:t>Separate A</w:t>
            </w:r>
          </w:p>
        </w:tc>
      </w:tr>
      <w:tr>
        <w:tc>
          <w:tcPr>
            <w:tcW w:type="dxa" w:w="2376"/>
            <w:vAlign w:val="center"/>
          </w:tcPr>
          <w:p>
            <w:pPr>
              <w:spacing w:after="0" w:before="0" w:line="240" w:lineRule="auto"/>
            </w:pPr>
            <w:r/>
            <w:r>
              <w:rPr>
                <w:rFonts w:ascii="Aptos" w:hAnsi="Aptos"/>
                <w:b/>
                <w:color w:val="111827"/>
                <w:sz w:val="13"/>
              </w:rPr>
              <w:t>Footwear/premium apparel ($100)</w:t>
            </w:r>
          </w:p>
        </w:tc>
        <w:tc>
          <w:tcPr>
            <w:tcW w:type="dxa" w:w="792"/>
            <w:vAlign w:val="center"/>
          </w:tcPr>
          <w:p>
            <w:pPr>
              <w:spacing w:after="0" w:before="0" w:line="240" w:lineRule="auto"/>
            </w:pPr>
            <w:r/>
            <w:r>
              <w:rPr>
                <w:rFonts w:ascii="Aptos" w:hAnsi="Aptos"/>
                <w:b w:val="0"/>
                <w:color w:val="111827"/>
                <w:sz w:val="13"/>
              </w:rPr>
              <w:t>3.0%</w:t>
            </w:r>
          </w:p>
        </w:tc>
        <w:tc>
          <w:tcPr>
            <w:tcW w:type="dxa" w:w="1008"/>
            <w:vAlign w:val="center"/>
          </w:tcPr>
          <w:p>
            <w:pPr>
              <w:spacing w:after="0" w:before="0" w:line="240" w:lineRule="auto"/>
            </w:pPr>
            <w:r/>
            <w:r>
              <w:rPr>
                <w:rFonts w:ascii="Aptos" w:hAnsi="Aptos"/>
                <w:b w:val="0"/>
                <w:color w:val="111827"/>
                <w:sz w:val="13"/>
              </w:rPr>
              <w:t>$34.90</w:t>
            </w:r>
          </w:p>
        </w:tc>
        <w:tc>
          <w:tcPr>
            <w:tcW w:type="dxa" w:w="936"/>
            <w:vAlign w:val="center"/>
          </w:tcPr>
          <w:p>
            <w:pPr>
              <w:spacing w:after="0" w:before="0" w:line="240" w:lineRule="auto"/>
            </w:pPr>
            <w:r/>
            <w:r>
              <w:rPr>
                <w:rFonts w:ascii="Aptos" w:hAnsi="Aptos"/>
                <w:b w:val="0"/>
                <w:color w:val="111827"/>
                <w:sz w:val="13"/>
              </w:rPr>
              <w:t>$12.00</w:t>
            </w:r>
          </w:p>
        </w:tc>
        <w:tc>
          <w:tcPr>
            <w:tcW w:type="dxa" w:w="936"/>
            <w:vAlign w:val="center"/>
          </w:tcPr>
          <w:p>
            <w:pPr>
              <w:spacing w:after="0" w:before="0" w:line="240" w:lineRule="auto"/>
            </w:pPr>
            <w:r/>
            <w:r>
              <w:rPr>
                <w:rFonts w:ascii="Aptos" w:hAnsi="Aptos"/>
                <w:b w:val="0"/>
                <w:color w:val="111827"/>
                <w:sz w:val="13"/>
              </w:rPr>
              <w:t>$46.90</w:t>
            </w:r>
          </w:p>
        </w:tc>
        <w:tc>
          <w:tcPr>
            <w:tcW w:type="dxa" w:w="1152"/>
            <w:vAlign w:val="center"/>
          </w:tcPr>
          <w:p>
            <w:pPr>
              <w:spacing w:after="0" w:before="0" w:line="240" w:lineRule="auto"/>
            </w:pPr>
            <w:r/>
            <w:r>
              <w:rPr>
                <w:rFonts w:ascii="Aptos" w:hAnsi="Aptos"/>
                <w:b w:val="0"/>
                <w:color w:val="111827"/>
                <w:sz w:val="13"/>
              </w:rPr>
              <w:t>$1.41</w:t>
            </w:r>
          </w:p>
        </w:tc>
        <w:tc>
          <w:tcPr>
            <w:tcW w:type="dxa" w:w="936"/>
            <w:vAlign w:val="center"/>
          </w:tcPr>
          <w:p>
            <w:pPr>
              <w:spacing w:after="0" w:before="0" w:line="240" w:lineRule="auto"/>
            </w:pPr>
            <w:r/>
            <w:r>
              <w:rPr>
                <w:rFonts w:ascii="Aptos" w:hAnsi="Aptos"/>
                <w:b w:val="0"/>
                <w:color w:val="111827"/>
                <w:sz w:val="13"/>
              </w:rPr>
              <w:t>$1.05</w:t>
            </w:r>
          </w:p>
        </w:tc>
        <w:tc>
          <w:tcPr>
            <w:tcW w:type="dxa" w:w="936"/>
            <w:vAlign w:val="center"/>
          </w:tcPr>
          <w:p>
            <w:pPr>
              <w:spacing w:after="0" w:before="0" w:line="240" w:lineRule="auto"/>
            </w:pPr>
            <w:r/>
            <w:r>
              <w:rPr>
                <w:rFonts w:ascii="Aptos" w:hAnsi="Aptos"/>
                <w:b w:val="0"/>
                <w:color w:val="111827"/>
                <w:sz w:val="13"/>
              </w:rPr>
              <w:t>$0.36</w:t>
            </w:r>
          </w:p>
        </w:tc>
      </w:tr>
      <w:tr>
        <w:tc>
          <w:tcPr>
            <w:tcW w:type="dxa" w:w="2376"/>
            <w:vAlign w:val="center"/>
            <w:shd w:fill="F5F7FA"/>
          </w:tcPr>
          <w:p>
            <w:pPr>
              <w:spacing w:after="0" w:before="0" w:line="240" w:lineRule="auto"/>
            </w:pPr>
            <w:r/>
            <w:r>
              <w:rPr>
                <w:rFonts w:ascii="Aptos" w:hAnsi="Aptos"/>
                <w:b/>
                <w:color w:val="111827"/>
                <w:sz w:val="13"/>
              </w:rPr>
              <w:t>Headphones/small electronics ($100)</w:t>
            </w:r>
          </w:p>
        </w:tc>
        <w:tc>
          <w:tcPr>
            <w:tcW w:type="dxa" w:w="792"/>
            <w:vAlign w:val="center"/>
            <w:shd w:fill="F5F7FA"/>
          </w:tcPr>
          <w:p>
            <w:pPr>
              <w:spacing w:after="0" w:before="0" w:line="240" w:lineRule="auto"/>
            </w:pPr>
            <w:r/>
            <w:r>
              <w:rPr>
                <w:rFonts w:ascii="Aptos" w:hAnsi="Aptos"/>
                <w:b w:val="0"/>
                <w:color w:val="111827"/>
                <w:sz w:val="13"/>
              </w:rPr>
              <w:t>5.0%</w:t>
            </w:r>
          </w:p>
        </w:tc>
        <w:tc>
          <w:tcPr>
            <w:tcW w:type="dxa" w:w="1008"/>
            <w:vAlign w:val="center"/>
            <w:shd w:fill="F5F7FA"/>
          </w:tcPr>
          <w:p>
            <w:pPr>
              <w:spacing w:after="0" w:before="0" w:line="240" w:lineRule="auto"/>
            </w:pPr>
            <w:r/>
            <w:r>
              <w:rPr>
                <w:rFonts w:ascii="Aptos" w:hAnsi="Aptos"/>
                <w:b w:val="0"/>
                <w:color w:val="111827"/>
                <w:sz w:val="13"/>
              </w:rPr>
              <w:t>$33.22</w:t>
            </w:r>
          </w:p>
        </w:tc>
        <w:tc>
          <w:tcPr>
            <w:tcW w:type="dxa" w:w="936"/>
            <w:vAlign w:val="center"/>
            <w:shd w:fill="F5F7FA"/>
          </w:tcPr>
          <w:p>
            <w:pPr>
              <w:spacing w:after="0" w:before="0" w:line="240" w:lineRule="auto"/>
            </w:pPr>
            <w:r/>
            <w:r>
              <w:rPr>
                <w:rFonts w:ascii="Aptos" w:hAnsi="Aptos"/>
                <w:b w:val="0"/>
                <w:color w:val="111827"/>
                <w:sz w:val="13"/>
              </w:rPr>
              <w:t>$18.00</w:t>
            </w:r>
          </w:p>
        </w:tc>
        <w:tc>
          <w:tcPr>
            <w:tcW w:type="dxa" w:w="936"/>
            <w:vAlign w:val="center"/>
            <w:shd w:fill="F5F7FA"/>
          </w:tcPr>
          <w:p>
            <w:pPr>
              <w:spacing w:after="0" w:before="0" w:line="240" w:lineRule="auto"/>
            </w:pPr>
            <w:r/>
            <w:r>
              <w:rPr>
                <w:rFonts w:ascii="Aptos" w:hAnsi="Aptos"/>
                <w:b w:val="0"/>
                <w:color w:val="111827"/>
                <w:sz w:val="13"/>
              </w:rPr>
              <w:t>$51.22</w:t>
            </w:r>
          </w:p>
        </w:tc>
        <w:tc>
          <w:tcPr>
            <w:tcW w:type="dxa" w:w="1152"/>
            <w:vAlign w:val="center"/>
            <w:shd w:fill="F5F7FA"/>
          </w:tcPr>
          <w:p>
            <w:pPr>
              <w:spacing w:after="0" w:before="0" w:line="240" w:lineRule="auto"/>
            </w:pPr>
            <w:r/>
            <w:r>
              <w:rPr>
                <w:rFonts w:ascii="Aptos" w:hAnsi="Aptos"/>
                <w:b w:val="0"/>
                <w:color w:val="111827"/>
                <w:sz w:val="13"/>
              </w:rPr>
              <w:t>$2.56</w:t>
            </w:r>
          </w:p>
        </w:tc>
        <w:tc>
          <w:tcPr>
            <w:tcW w:type="dxa" w:w="936"/>
            <w:vAlign w:val="center"/>
            <w:shd w:fill="F5F7FA"/>
          </w:tcPr>
          <w:p>
            <w:pPr>
              <w:spacing w:after="0" w:before="0" w:line="240" w:lineRule="auto"/>
            </w:pPr>
            <w:r/>
            <w:r>
              <w:rPr>
                <w:rFonts w:ascii="Aptos" w:hAnsi="Aptos"/>
                <w:b w:val="0"/>
                <w:color w:val="111827"/>
                <w:sz w:val="13"/>
              </w:rPr>
              <w:t>$1.66</w:t>
            </w:r>
          </w:p>
        </w:tc>
        <w:tc>
          <w:tcPr>
            <w:tcW w:type="dxa" w:w="936"/>
            <w:vAlign w:val="center"/>
            <w:shd w:fill="F5F7FA"/>
          </w:tcPr>
          <w:p>
            <w:pPr>
              <w:spacing w:after="0" w:before="0" w:line="240" w:lineRule="auto"/>
            </w:pPr>
            <w:r/>
            <w:r>
              <w:rPr>
                <w:rFonts w:ascii="Aptos" w:hAnsi="Aptos"/>
                <w:b w:val="0"/>
                <w:color w:val="111827"/>
                <w:sz w:val="13"/>
              </w:rPr>
              <w:t>$0.90</w:t>
            </w:r>
          </w:p>
        </w:tc>
      </w:tr>
      <w:tr>
        <w:tc>
          <w:tcPr>
            <w:tcW w:type="dxa" w:w="2376"/>
            <w:vAlign w:val="center"/>
          </w:tcPr>
          <w:p>
            <w:pPr>
              <w:spacing w:after="0" w:before="0" w:line="240" w:lineRule="auto"/>
            </w:pPr>
            <w:r/>
            <w:r>
              <w:rPr>
                <w:rFonts w:ascii="Aptos" w:hAnsi="Aptos"/>
                <w:b/>
                <w:color w:val="111827"/>
                <w:sz w:val="13"/>
              </w:rPr>
              <w:t>Laptop/phone premium electronics ($500)</w:t>
            </w:r>
          </w:p>
        </w:tc>
        <w:tc>
          <w:tcPr>
            <w:tcW w:type="dxa" w:w="792"/>
            <w:vAlign w:val="center"/>
          </w:tcPr>
          <w:p>
            <w:pPr>
              <w:spacing w:after="0" w:before="0" w:line="240" w:lineRule="auto"/>
            </w:pPr>
            <w:r/>
            <w:r>
              <w:rPr>
                <w:rFonts w:ascii="Aptos" w:hAnsi="Aptos"/>
                <w:b w:val="0"/>
                <w:color w:val="111827"/>
                <w:sz w:val="13"/>
              </w:rPr>
              <w:t>7.0%</w:t>
            </w:r>
          </w:p>
        </w:tc>
        <w:tc>
          <w:tcPr>
            <w:tcW w:type="dxa" w:w="1008"/>
            <w:vAlign w:val="center"/>
          </w:tcPr>
          <w:p>
            <w:pPr>
              <w:spacing w:after="0" w:before="0" w:line="240" w:lineRule="auto"/>
            </w:pPr>
            <w:r/>
            <w:r>
              <w:rPr>
                <w:rFonts w:ascii="Aptos" w:hAnsi="Aptos"/>
                <w:b w:val="0"/>
                <w:color w:val="111827"/>
                <w:sz w:val="13"/>
              </w:rPr>
              <w:t>$228.93</w:t>
            </w:r>
          </w:p>
        </w:tc>
        <w:tc>
          <w:tcPr>
            <w:tcW w:type="dxa" w:w="936"/>
            <w:vAlign w:val="center"/>
          </w:tcPr>
          <w:p>
            <w:pPr>
              <w:spacing w:after="0" w:before="0" w:line="240" w:lineRule="auto"/>
            </w:pPr>
            <w:r/>
            <w:r>
              <w:rPr>
                <w:rFonts w:ascii="Aptos" w:hAnsi="Aptos"/>
                <w:b w:val="0"/>
                <w:color w:val="111827"/>
                <w:sz w:val="13"/>
              </w:rPr>
              <w:t>$70.00</w:t>
            </w:r>
          </w:p>
        </w:tc>
        <w:tc>
          <w:tcPr>
            <w:tcW w:type="dxa" w:w="936"/>
            <w:vAlign w:val="center"/>
          </w:tcPr>
          <w:p>
            <w:pPr>
              <w:spacing w:after="0" w:before="0" w:line="240" w:lineRule="auto"/>
            </w:pPr>
            <w:r/>
            <w:r>
              <w:rPr>
                <w:rFonts w:ascii="Aptos" w:hAnsi="Aptos"/>
                <w:b w:val="0"/>
                <w:color w:val="111827"/>
                <w:sz w:val="13"/>
              </w:rPr>
              <w:t>$298.93</w:t>
            </w:r>
          </w:p>
        </w:tc>
        <w:tc>
          <w:tcPr>
            <w:tcW w:type="dxa" w:w="1152"/>
            <w:vAlign w:val="center"/>
          </w:tcPr>
          <w:p>
            <w:pPr>
              <w:spacing w:after="0" w:before="0" w:line="240" w:lineRule="auto"/>
            </w:pPr>
            <w:r/>
            <w:r>
              <w:rPr>
                <w:rFonts w:ascii="Aptos" w:hAnsi="Aptos"/>
                <w:b w:val="0"/>
                <w:color w:val="111827"/>
                <w:sz w:val="13"/>
              </w:rPr>
              <w:t>$20.93</w:t>
            </w:r>
          </w:p>
        </w:tc>
        <w:tc>
          <w:tcPr>
            <w:tcW w:type="dxa" w:w="936"/>
            <w:vAlign w:val="center"/>
          </w:tcPr>
          <w:p>
            <w:pPr>
              <w:spacing w:after="0" w:before="0" w:line="240" w:lineRule="auto"/>
            </w:pPr>
            <w:r/>
            <w:r>
              <w:rPr>
                <w:rFonts w:ascii="Aptos" w:hAnsi="Aptos"/>
                <w:b w:val="0"/>
                <w:color w:val="111827"/>
                <w:sz w:val="13"/>
              </w:rPr>
              <w:t>$16.03</w:t>
            </w:r>
          </w:p>
        </w:tc>
        <w:tc>
          <w:tcPr>
            <w:tcW w:type="dxa" w:w="936"/>
            <w:vAlign w:val="center"/>
          </w:tcPr>
          <w:p>
            <w:pPr>
              <w:spacing w:after="0" w:before="0" w:line="240" w:lineRule="auto"/>
            </w:pPr>
            <w:r/>
            <w:r>
              <w:rPr>
                <w:rFonts w:ascii="Aptos" w:hAnsi="Aptos"/>
                <w:b w:val="0"/>
                <w:color w:val="111827"/>
                <w:sz w:val="13"/>
              </w:rPr>
              <w:t>$4.90</w:t>
            </w:r>
          </w:p>
        </w:tc>
      </w:tr>
      <w:tr>
        <w:tc>
          <w:tcPr>
            <w:tcW w:type="dxa" w:w="2376"/>
            <w:vAlign w:val="center"/>
            <w:shd w:fill="F5F7FA"/>
          </w:tcPr>
          <w:p>
            <w:pPr>
              <w:spacing w:after="0" w:before="0" w:line="240" w:lineRule="auto"/>
            </w:pPr>
            <w:r/>
            <w:r>
              <w:rPr>
                <w:rFonts w:ascii="Aptos" w:hAnsi="Aptos"/>
                <w:b/>
                <w:color w:val="111827"/>
                <w:sz w:val="13"/>
              </w:rPr>
              <w:t>Premium apparel/accessory ($500)</w:t>
            </w:r>
          </w:p>
        </w:tc>
        <w:tc>
          <w:tcPr>
            <w:tcW w:type="dxa" w:w="792"/>
            <w:vAlign w:val="center"/>
            <w:shd w:fill="F5F7FA"/>
          </w:tcPr>
          <w:p>
            <w:pPr>
              <w:spacing w:after="0" w:before="0" w:line="240" w:lineRule="auto"/>
            </w:pPr>
            <w:r/>
            <w:r>
              <w:rPr>
                <w:rFonts w:ascii="Aptos" w:hAnsi="Aptos"/>
                <w:b w:val="0"/>
                <w:color w:val="111827"/>
                <w:sz w:val="13"/>
              </w:rPr>
              <w:t>7.0%</w:t>
            </w:r>
          </w:p>
        </w:tc>
        <w:tc>
          <w:tcPr>
            <w:tcW w:type="dxa" w:w="1008"/>
            <w:vAlign w:val="center"/>
            <w:shd w:fill="F5F7FA"/>
          </w:tcPr>
          <w:p>
            <w:pPr>
              <w:spacing w:after="0" w:before="0" w:line="240" w:lineRule="auto"/>
            </w:pPr>
            <w:r/>
            <w:r>
              <w:rPr>
                <w:rFonts w:ascii="Aptos" w:hAnsi="Aptos"/>
                <w:b w:val="0"/>
                <w:color w:val="111827"/>
                <w:sz w:val="13"/>
              </w:rPr>
              <w:t>$240.92</w:t>
            </w:r>
          </w:p>
        </w:tc>
        <w:tc>
          <w:tcPr>
            <w:tcW w:type="dxa" w:w="936"/>
            <w:vAlign w:val="center"/>
            <w:shd w:fill="F5F7FA"/>
          </w:tcPr>
          <w:p>
            <w:pPr>
              <w:spacing w:after="0" w:before="0" w:line="240" w:lineRule="auto"/>
            </w:pPr>
            <w:r/>
            <w:r>
              <w:rPr>
                <w:rFonts w:ascii="Aptos" w:hAnsi="Aptos"/>
                <w:b w:val="0"/>
                <w:color w:val="111827"/>
                <w:sz w:val="13"/>
              </w:rPr>
              <w:t>$55.00</w:t>
            </w:r>
          </w:p>
        </w:tc>
        <w:tc>
          <w:tcPr>
            <w:tcW w:type="dxa" w:w="936"/>
            <w:vAlign w:val="center"/>
            <w:shd w:fill="F5F7FA"/>
          </w:tcPr>
          <w:p>
            <w:pPr>
              <w:spacing w:after="0" w:before="0" w:line="240" w:lineRule="auto"/>
            </w:pPr>
            <w:r/>
            <w:r>
              <w:rPr>
                <w:rFonts w:ascii="Aptos" w:hAnsi="Aptos"/>
                <w:b w:val="0"/>
                <w:color w:val="111827"/>
                <w:sz w:val="13"/>
              </w:rPr>
              <w:t>$295.92</w:t>
            </w:r>
          </w:p>
        </w:tc>
        <w:tc>
          <w:tcPr>
            <w:tcW w:type="dxa" w:w="1152"/>
            <w:vAlign w:val="center"/>
            <w:shd w:fill="F5F7FA"/>
          </w:tcPr>
          <w:p>
            <w:pPr>
              <w:spacing w:after="0" w:before="0" w:line="240" w:lineRule="auto"/>
            </w:pPr>
            <w:r/>
            <w:r>
              <w:rPr>
                <w:rFonts w:ascii="Aptos" w:hAnsi="Aptos"/>
                <w:b w:val="0"/>
                <w:color w:val="111827"/>
                <w:sz w:val="13"/>
              </w:rPr>
              <w:t>$20.71</w:t>
            </w:r>
          </w:p>
        </w:tc>
        <w:tc>
          <w:tcPr>
            <w:tcW w:type="dxa" w:w="936"/>
            <w:vAlign w:val="center"/>
            <w:shd w:fill="F5F7FA"/>
          </w:tcPr>
          <w:p>
            <w:pPr>
              <w:spacing w:after="0" w:before="0" w:line="240" w:lineRule="auto"/>
            </w:pPr>
            <w:r/>
            <w:r>
              <w:rPr>
                <w:rFonts w:ascii="Aptos" w:hAnsi="Aptos"/>
                <w:b w:val="0"/>
                <w:color w:val="111827"/>
                <w:sz w:val="13"/>
              </w:rPr>
              <w:t>$16.86</w:t>
            </w:r>
          </w:p>
        </w:tc>
        <w:tc>
          <w:tcPr>
            <w:tcW w:type="dxa" w:w="936"/>
            <w:vAlign w:val="center"/>
            <w:shd w:fill="F5F7FA"/>
          </w:tcPr>
          <w:p>
            <w:pPr>
              <w:spacing w:after="0" w:before="0" w:line="240" w:lineRule="auto"/>
            </w:pPr>
            <w:r/>
            <w:r>
              <w:rPr>
                <w:rFonts w:ascii="Aptos" w:hAnsi="Aptos"/>
                <w:b w:val="0"/>
                <w:color w:val="111827"/>
                <w:sz w:val="13"/>
              </w:rPr>
              <w:t>$3.85</w:t>
            </w:r>
          </w:p>
        </w:tc>
      </w:tr>
    </w:tbl>
    <w:p>
      <w:pPr>
        <w:spacing w:after="0"/>
      </w:pPr>
    </w:p>
    <w:p>
      <w:pPr>
        <w:pStyle w:val="Caption"/>
        <w:jc w:val="left"/>
      </w:pPr>
      <w:r>
        <w:rPr>
          <w:b/>
        </w:rPr>
        <w:t>Table 12. Expected fraud loss and double-counting control</w:t>
      </w:r>
      <w:r>
        <w:rPr>
          <w:i/>
          <w:color w:val="6B7280"/>
        </w:rPr>
        <w:t xml:space="preserve">  Source: S31; Model assumptions</w:t>
      </w:r>
    </w:p>
    <w:tbl>
      <w:tblPr>
        <w:tblStyle w:val="TableGrid"/>
        <w:tblW w:type="auto" w:w="0"/>
        <w:jc w:val="center"/>
        <w:tblLayout w:type="fixed"/>
        <w:tblLook w:firstColumn="1" w:firstRow="1" w:lastColumn="0" w:lastRow="0" w:noHBand="0" w:noVBand="1" w:val="04A0"/>
      </w:tblPr>
      <w:tblGrid>
        <w:gridCol w:w="1104"/>
        <w:gridCol w:w="1104"/>
        <w:gridCol w:w="1104"/>
        <w:gridCol w:w="1104"/>
        <w:gridCol w:w="1104"/>
        <w:gridCol w:w="1104"/>
        <w:gridCol w:w="1104"/>
        <w:gridCol w:w="1104"/>
        <w:gridCol w:w="1104"/>
      </w:tblGrid>
      <w:tr>
        <w:trPr>
          <w:tblHeader w:val="true"/>
        </w:trPr>
        <w:tc>
          <w:tcPr>
            <w:tcW w:type="dxa" w:w="2376"/>
            <w:vAlign w:val="center"/>
            <w:shd w:fill="17324D"/>
            <w:tcBorders>
              <w:bottom w:val="single" w:sz="8" w:color="FFFFFF"/>
            </w:tcBorders>
          </w:tcPr>
          <w:p>
            <w:pPr>
              <w:spacing w:after="0" w:before="0" w:line="240" w:lineRule="auto"/>
              <w:jc w:val="left"/>
            </w:pPr>
            <w:r/>
            <w:r>
              <w:rPr>
                <w:rFonts w:ascii="Aptos" w:hAnsi="Aptos"/>
                <w:b/>
                <w:color w:val="FFFFFF"/>
                <w:sz w:val="13"/>
              </w:rPr>
              <w:t>Product</w:t>
            </w:r>
          </w:p>
        </w:tc>
        <w:tc>
          <w:tcPr>
            <w:tcW w:type="dxa" w:w="792"/>
            <w:vAlign w:val="center"/>
            <w:shd w:fill="17324D"/>
            <w:tcBorders>
              <w:bottom w:val="single" w:sz="8" w:color="FFFFFF"/>
            </w:tcBorders>
          </w:tcPr>
          <w:p>
            <w:pPr>
              <w:spacing w:after="0" w:before="0" w:line="240" w:lineRule="auto"/>
              <w:jc w:val="left"/>
            </w:pPr>
            <w:r/>
            <w:r>
              <w:rPr>
                <w:rFonts w:ascii="Aptos" w:hAnsi="Aptos"/>
                <w:b/>
                <w:color w:val="FFFFFF"/>
                <w:sz w:val="13"/>
              </w:rPr>
              <w:t>Base p_f</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3"/>
              </w:rPr>
              <w:t>Controlled p_f</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3"/>
              </w:rPr>
              <w:t>Avoided loss</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3"/>
              </w:rPr>
              <w:t>Inspection cost</w:t>
            </w:r>
          </w:p>
        </w:tc>
        <w:tc>
          <w:tcPr>
            <w:tcW w:type="dxa" w:w="1080"/>
            <w:vAlign w:val="center"/>
            <w:shd w:fill="17324D"/>
            <w:tcBorders>
              <w:bottom w:val="single" w:sz="8" w:color="FFFFFF"/>
            </w:tcBorders>
          </w:tcPr>
          <w:p>
            <w:pPr>
              <w:spacing w:after="0" w:before="0" w:line="240" w:lineRule="auto"/>
              <w:jc w:val="left"/>
            </w:pPr>
            <w:r/>
            <w:r>
              <w:rPr>
                <w:rFonts w:ascii="Aptos" w:hAnsi="Aptos"/>
                <w:b/>
                <w:color w:val="FFFFFF"/>
                <w:sz w:val="13"/>
              </w:rPr>
              <w:t>False-positive cost</w:t>
            </w:r>
          </w:p>
        </w:tc>
        <w:tc>
          <w:tcPr>
            <w:tcW w:type="dxa" w:w="1080"/>
            <w:vAlign w:val="center"/>
            <w:shd w:fill="17324D"/>
            <w:tcBorders>
              <w:bottom w:val="single" w:sz="8" w:color="FFFFFF"/>
            </w:tcBorders>
          </w:tcPr>
          <w:p>
            <w:pPr>
              <w:spacing w:after="0" w:before="0" w:line="240" w:lineRule="auto"/>
              <w:jc w:val="left"/>
            </w:pPr>
            <w:r/>
            <w:r>
              <w:rPr>
                <w:rFonts w:ascii="Aptos" w:hAnsi="Aptos"/>
                <w:b/>
                <w:color w:val="FFFFFF"/>
                <w:sz w:val="13"/>
              </w:rPr>
              <w:t>Delay/service cost</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3"/>
              </w:rPr>
              <w:t>Total control cost</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3"/>
              </w:rPr>
              <w:t>Net benefit</w:t>
            </w:r>
          </w:p>
        </w:tc>
      </w:tr>
      <w:tr>
        <w:tc>
          <w:tcPr>
            <w:tcW w:type="dxa" w:w="2376"/>
            <w:vAlign w:val="center"/>
          </w:tcPr>
          <w:p>
            <w:pPr>
              <w:spacing w:after="0" w:before="0" w:line="240" w:lineRule="auto"/>
            </w:pPr>
            <w:r/>
            <w:r>
              <w:rPr>
                <w:rFonts w:ascii="Aptos" w:hAnsi="Aptos"/>
                <w:b/>
                <w:color w:val="111827"/>
                <w:sz w:val="13"/>
              </w:rPr>
              <w:t>Footwear/premium apparel ($100)</w:t>
            </w:r>
          </w:p>
        </w:tc>
        <w:tc>
          <w:tcPr>
            <w:tcW w:type="dxa" w:w="792"/>
            <w:vAlign w:val="center"/>
          </w:tcPr>
          <w:p>
            <w:pPr>
              <w:spacing w:after="0" w:before="0" w:line="240" w:lineRule="auto"/>
            </w:pPr>
            <w:r/>
            <w:r>
              <w:rPr>
                <w:rFonts w:ascii="Aptos" w:hAnsi="Aptos"/>
                <w:b w:val="0"/>
                <w:color w:val="111827"/>
                <w:sz w:val="13"/>
              </w:rPr>
              <w:t>3.0%</w:t>
            </w:r>
          </w:p>
        </w:tc>
        <w:tc>
          <w:tcPr>
            <w:tcW w:type="dxa" w:w="936"/>
            <w:vAlign w:val="center"/>
          </w:tcPr>
          <w:p>
            <w:pPr>
              <w:spacing w:after="0" w:before="0" w:line="240" w:lineRule="auto"/>
            </w:pPr>
            <w:r/>
            <w:r>
              <w:rPr>
                <w:rFonts w:ascii="Aptos" w:hAnsi="Aptos"/>
                <w:b w:val="0"/>
                <w:color w:val="111827"/>
                <w:sz w:val="13"/>
              </w:rPr>
              <w:t>1.5%</w:t>
            </w:r>
          </w:p>
        </w:tc>
        <w:tc>
          <w:tcPr>
            <w:tcW w:type="dxa" w:w="936"/>
            <w:vAlign w:val="center"/>
          </w:tcPr>
          <w:p>
            <w:pPr>
              <w:spacing w:after="0" w:before="0" w:line="240" w:lineRule="auto"/>
            </w:pPr>
            <w:r/>
            <w:r>
              <w:rPr>
                <w:rFonts w:ascii="Aptos" w:hAnsi="Aptos"/>
                <w:b w:val="0"/>
                <w:color w:val="111827"/>
                <w:sz w:val="13"/>
              </w:rPr>
              <w:t>$0.70</w:t>
            </w:r>
          </w:p>
        </w:tc>
        <w:tc>
          <w:tcPr>
            <w:tcW w:type="dxa" w:w="1008"/>
            <w:vAlign w:val="center"/>
          </w:tcPr>
          <w:p>
            <w:pPr>
              <w:spacing w:after="0" w:before="0" w:line="240" w:lineRule="auto"/>
            </w:pPr>
            <w:r/>
            <w:r>
              <w:rPr>
                <w:rFonts w:ascii="Aptos" w:hAnsi="Aptos"/>
                <w:b w:val="0"/>
                <w:color w:val="111827"/>
                <w:sz w:val="13"/>
              </w:rPr>
              <w:t>$0.93</w:t>
            </w:r>
          </w:p>
        </w:tc>
        <w:tc>
          <w:tcPr>
            <w:tcW w:type="dxa" w:w="1080"/>
            <w:vAlign w:val="center"/>
          </w:tcPr>
          <w:p>
            <w:pPr>
              <w:spacing w:after="0" w:before="0" w:line="240" w:lineRule="auto"/>
            </w:pPr>
            <w:r/>
            <w:r>
              <w:rPr>
                <w:rFonts w:ascii="Aptos" w:hAnsi="Aptos"/>
                <w:b w:val="0"/>
                <w:color w:val="111827"/>
                <w:sz w:val="13"/>
              </w:rPr>
              <w:t>$0.20</w:t>
            </w:r>
          </w:p>
        </w:tc>
        <w:tc>
          <w:tcPr>
            <w:tcW w:type="dxa" w:w="1080"/>
            <w:vAlign w:val="center"/>
          </w:tcPr>
          <w:p>
            <w:pPr>
              <w:spacing w:after="0" w:before="0" w:line="240" w:lineRule="auto"/>
            </w:pPr>
            <w:r/>
            <w:r>
              <w:rPr>
                <w:rFonts w:ascii="Aptos" w:hAnsi="Aptos"/>
                <w:b w:val="0"/>
                <w:color w:val="111827"/>
                <w:sz w:val="13"/>
              </w:rPr>
              <w:t>$0.75</w:t>
            </w:r>
          </w:p>
        </w:tc>
        <w:tc>
          <w:tcPr>
            <w:tcW w:type="dxa" w:w="1008"/>
            <w:vAlign w:val="center"/>
          </w:tcPr>
          <w:p>
            <w:pPr>
              <w:spacing w:after="0" w:before="0" w:line="240" w:lineRule="auto"/>
            </w:pPr>
            <w:r/>
            <w:r>
              <w:rPr>
                <w:rFonts w:ascii="Aptos" w:hAnsi="Aptos"/>
                <w:b w:val="0"/>
                <w:color w:val="111827"/>
                <w:sz w:val="13"/>
              </w:rPr>
              <w:t>$1.88</w:t>
            </w:r>
          </w:p>
        </w:tc>
        <w:tc>
          <w:tcPr>
            <w:tcW w:type="dxa" w:w="936"/>
            <w:vAlign w:val="center"/>
          </w:tcPr>
          <w:p>
            <w:pPr>
              <w:spacing w:after="0" w:before="0" w:line="240" w:lineRule="auto"/>
            </w:pPr>
            <w:r/>
            <w:r>
              <w:rPr>
                <w:rFonts w:ascii="Aptos" w:hAnsi="Aptos"/>
                <w:b w:val="0"/>
                <w:color w:val="111827"/>
                <w:sz w:val="13"/>
              </w:rPr>
              <w:t>$-1.18</w:t>
            </w:r>
          </w:p>
        </w:tc>
      </w:tr>
      <w:tr>
        <w:tc>
          <w:tcPr>
            <w:tcW w:type="dxa" w:w="2376"/>
            <w:vAlign w:val="center"/>
            <w:shd w:fill="F5F7FA"/>
          </w:tcPr>
          <w:p>
            <w:pPr>
              <w:spacing w:after="0" w:before="0" w:line="240" w:lineRule="auto"/>
            </w:pPr>
            <w:r/>
            <w:r>
              <w:rPr>
                <w:rFonts w:ascii="Aptos" w:hAnsi="Aptos"/>
                <w:b/>
                <w:color w:val="111827"/>
                <w:sz w:val="13"/>
              </w:rPr>
              <w:t>Headphones/small electronics ($100)</w:t>
            </w:r>
          </w:p>
        </w:tc>
        <w:tc>
          <w:tcPr>
            <w:tcW w:type="dxa" w:w="792"/>
            <w:vAlign w:val="center"/>
            <w:shd w:fill="F5F7FA"/>
          </w:tcPr>
          <w:p>
            <w:pPr>
              <w:spacing w:after="0" w:before="0" w:line="240" w:lineRule="auto"/>
            </w:pPr>
            <w:r/>
            <w:r>
              <w:rPr>
                <w:rFonts w:ascii="Aptos" w:hAnsi="Aptos"/>
                <w:b w:val="0"/>
                <w:color w:val="111827"/>
                <w:sz w:val="13"/>
              </w:rPr>
              <w:t>5.0%</w:t>
            </w:r>
          </w:p>
        </w:tc>
        <w:tc>
          <w:tcPr>
            <w:tcW w:type="dxa" w:w="936"/>
            <w:vAlign w:val="center"/>
            <w:shd w:fill="F5F7FA"/>
          </w:tcPr>
          <w:p>
            <w:pPr>
              <w:spacing w:after="0" w:before="0" w:line="240" w:lineRule="auto"/>
            </w:pPr>
            <w:r/>
            <w:r>
              <w:rPr>
                <w:rFonts w:ascii="Aptos" w:hAnsi="Aptos"/>
                <w:b w:val="0"/>
                <w:color w:val="111827"/>
                <w:sz w:val="13"/>
              </w:rPr>
              <w:t>2.5%</w:t>
            </w:r>
          </w:p>
        </w:tc>
        <w:tc>
          <w:tcPr>
            <w:tcW w:type="dxa" w:w="936"/>
            <w:vAlign w:val="center"/>
            <w:shd w:fill="F5F7FA"/>
          </w:tcPr>
          <w:p>
            <w:pPr>
              <w:spacing w:after="0" w:before="0" w:line="240" w:lineRule="auto"/>
            </w:pPr>
            <w:r/>
            <w:r>
              <w:rPr>
                <w:rFonts w:ascii="Aptos" w:hAnsi="Aptos"/>
                <w:b w:val="0"/>
                <w:color w:val="111827"/>
                <w:sz w:val="13"/>
              </w:rPr>
              <w:t>$1.28</w:t>
            </w:r>
          </w:p>
        </w:tc>
        <w:tc>
          <w:tcPr>
            <w:tcW w:type="dxa" w:w="1008"/>
            <w:vAlign w:val="center"/>
            <w:shd w:fill="F5F7FA"/>
          </w:tcPr>
          <w:p>
            <w:pPr>
              <w:spacing w:after="0" w:before="0" w:line="240" w:lineRule="auto"/>
            </w:pPr>
            <w:r/>
            <w:r>
              <w:rPr>
                <w:rFonts w:ascii="Aptos" w:hAnsi="Aptos"/>
                <w:b w:val="0"/>
                <w:color w:val="111827"/>
                <w:sz w:val="13"/>
              </w:rPr>
              <w:t>$2.00</w:t>
            </w:r>
          </w:p>
        </w:tc>
        <w:tc>
          <w:tcPr>
            <w:tcW w:type="dxa" w:w="1080"/>
            <w:vAlign w:val="center"/>
            <w:shd w:fill="F5F7FA"/>
          </w:tcPr>
          <w:p>
            <w:pPr>
              <w:spacing w:after="0" w:before="0" w:line="240" w:lineRule="auto"/>
            </w:pPr>
            <w:r/>
            <w:r>
              <w:rPr>
                <w:rFonts w:ascii="Aptos" w:hAnsi="Aptos"/>
                <w:b w:val="0"/>
                <w:color w:val="111827"/>
                <w:sz w:val="13"/>
              </w:rPr>
              <w:t>$0.38</w:t>
            </w:r>
          </w:p>
        </w:tc>
        <w:tc>
          <w:tcPr>
            <w:tcW w:type="dxa" w:w="1080"/>
            <w:vAlign w:val="center"/>
            <w:shd w:fill="F5F7FA"/>
          </w:tcPr>
          <w:p>
            <w:pPr>
              <w:spacing w:after="0" w:before="0" w:line="240" w:lineRule="auto"/>
            </w:pPr>
            <w:r/>
            <w:r>
              <w:rPr>
                <w:rFonts w:ascii="Aptos" w:hAnsi="Aptos"/>
                <w:b w:val="0"/>
                <w:color w:val="111827"/>
                <w:sz w:val="13"/>
              </w:rPr>
              <w:t>$1.00</w:t>
            </w:r>
          </w:p>
        </w:tc>
        <w:tc>
          <w:tcPr>
            <w:tcW w:type="dxa" w:w="1008"/>
            <w:vAlign w:val="center"/>
            <w:shd w:fill="F5F7FA"/>
          </w:tcPr>
          <w:p>
            <w:pPr>
              <w:spacing w:after="0" w:before="0" w:line="240" w:lineRule="auto"/>
            </w:pPr>
            <w:r/>
            <w:r>
              <w:rPr>
                <w:rFonts w:ascii="Aptos" w:hAnsi="Aptos"/>
                <w:b w:val="0"/>
                <w:color w:val="111827"/>
                <w:sz w:val="13"/>
              </w:rPr>
              <w:t>$3.38</w:t>
            </w:r>
          </w:p>
        </w:tc>
        <w:tc>
          <w:tcPr>
            <w:tcW w:type="dxa" w:w="936"/>
            <w:vAlign w:val="center"/>
            <w:shd w:fill="F5F7FA"/>
          </w:tcPr>
          <w:p>
            <w:pPr>
              <w:spacing w:after="0" w:before="0" w:line="240" w:lineRule="auto"/>
            </w:pPr>
            <w:r/>
            <w:r>
              <w:rPr>
                <w:rFonts w:ascii="Aptos" w:hAnsi="Aptos"/>
                <w:b w:val="0"/>
                <w:color w:val="111827"/>
                <w:sz w:val="13"/>
              </w:rPr>
              <w:t>$-2.09</w:t>
            </w:r>
          </w:p>
        </w:tc>
      </w:tr>
      <w:tr>
        <w:tc>
          <w:tcPr>
            <w:tcW w:type="dxa" w:w="2376"/>
            <w:vAlign w:val="center"/>
          </w:tcPr>
          <w:p>
            <w:pPr>
              <w:spacing w:after="0" w:before="0" w:line="240" w:lineRule="auto"/>
            </w:pPr>
            <w:r/>
            <w:r>
              <w:rPr>
                <w:rFonts w:ascii="Aptos" w:hAnsi="Aptos"/>
                <w:b/>
                <w:color w:val="111827"/>
                <w:sz w:val="13"/>
              </w:rPr>
              <w:t>Laptop/phone premium electronics ($500)</w:t>
            </w:r>
          </w:p>
        </w:tc>
        <w:tc>
          <w:tcPr>
            <w:tcW w:type="dxa" w:w="792"/>
            <w:vAlign w:val="center"/>
          </w:tcPr>
          <w:p>
            <w:pPr>
              <w:spacing w:after="0" w:before="0" w:line="240" w:lineRule="auto"/>
            </w:pPr>
            <w:r/>
            <w:r>
              <w:rPr>
                <w:rFonts w:ascii="Aptos" w:hAnsi="Aptos"/>
                <w:b w:val="0"/>
                <w:color w:val="111827"/>
                <w:sz w:val="13"/>
              </w:rPr>
              <w:t>7.0%</w:t>
            </w:r>
          </w:p>
        </w:tc>
        <w:tc>
          <w:tcPr>
            <w:tcW w:type="dxa" w:w="936"/>
            <w:vAlign w:val="center"/>
          </w:tcPr>
          <w:p>
            <w:pPr>
              <w:spacing w:after="0" w:before="0" w:line="240" w:lineRule="auto"/>
            </w:pPr>
            <w:r/>
            <w:r>
              <w:rPr>
                <w:rFonts w:ascii="Aptos" w:hAnsi="Aptos"/>
                <w:b w:val="0"/>
                <w:color w:val="111827"/>
                <w:sz w:val="13"/>
              </w:rPr>
              <w:t>3.0%</w:t>
            </w:r>
          </w:p>
        </w:tc>
        <w:tc>
          <w:tcPr>
            <w:tcW w:type="dxa" w:w="936"/>
            <w:vAlign w:val="center"/>
          </w:tcPr>
          <w:p>
            <w:pPr>
              <w:spacing w:after="0" w:before="0" w:line="240" w:lineRule="auto"/>
            </w:pPr>
            <w:r/>
            <w:r>
              <w:rPr>
                <w:rFonts w:ascii="Aptos" w:hAnsi="Aptos"/>
                <w:b w:val="0"/>
                <w:color w:val="111827"/>
                <w:sz w:val="13"/>
              </w:rPr>
              <w:t>$11.96</w:t>
            </w:r>
          </w:p>
        </w:tc>
        <w:tc>
          <w:tcPr>
            <w:tcW w:type="dxa" w:w="1008"/>
            <w:vAlign w:val="center"/>
          </w:tcPr>
          <w:p>
            <w:pPr>
              <w:spacing w:after="0" w:before="0" w:line="240" w:lineRule="auto"/>
            </w:pPr>
            <w:r/>
            <w:r>
              <w:rPr>
                <w:rFonts w:ascii="Aptos" w:hAnsi="Aptos"/>
                <w:b w:val="0"/>
                <w:color w:val="111827"/>
                <w:sz w:val="13"/>
              </w:rPr>
              <w:t>$3.40</w:t>
            </w:r>
          </w:p>
        </w:tc>
        <w:tc>
          <w:tcPr>
            <w:tcW w:type="dxa" w:w="1080"/>
            <w:vAlign w:val="center"/>
          </w:tcPr>
          <w:p>
            <w:pPr>
              <w:spacing w:after="0" w:before="0" w:line="240" w:lineRule="auto"/>
            </w:pPr>
            <w:r/>
            <w:r>
              <w:rPr>
                <w:rFonts w:ascii="Aptos" w:hAnsi="Aptos"/>
                <w:b w:val="0"/>
                <w:color w:val="111827"/>
                <w:sz w:val="13"/>
              </w:rPr>
              <w:t>$0.75</w:t>
            </w:r>
          </w:p>
        </w:tc>
        <w:tc>
          <w:tcPr>
            <w:tcW w:type="dxa" w:w="1080"/>
            <w:vAlign w:val="center"/>
          </w:tcPr>
          <w:p>
            <w:pPr>
              <w:spacing w:after="0" w:before="0" w:line="240" w:lineRule="auto"/>
            </w:pPr>
            <w:r/>
            <w:r>
              <w:rPr>
                <w:rFonts w:ascii="Aptos" w:hAnsi="Aptos"/>
                <w:b w:val="0"/>
                <w:color w:val="111827"/>
                <w:sz w:val="13"/>
              </w:rPr>
              <w:t>$1.50</w:t>
            </w:r>
          </w:p>
        </w:tc>
        <w:tc>
          <w:tcPr>
            <w:tcW w:type="dxa" w:w="1008"/>
            <w:vAlign w:val="center"/>
          </w:tcPr>
          <w:p>
            <w:pPr>
              <w:spacing w:after="0" w:before="0" w:line="240" w:lineRule="auto"/>
            </w:pPr>
            <w:r/>
            <w:r>
              <w:rPr>
                <w:rFonts w:ascii="Aptos" w:hAnsi="Aptos"/>
                <w:b w:val="0"/>
                <w:color w:val="111827"/>
                <w:sz w:val="13"/>
              </w:rPr>
              <w:t>$5.65</w:t>
            </w:r>
          </w:p>
        </w:tc>
        <w:tc>
          <w:tcPr>
            <w:tcW w:type="dxa" w:w="936"/>
            <w:vAlign w:val="center"/>
          </w:tcPr>
          <w:p>
            <w:pPr>
              <w:spacing w:after="0" w:before="0" w:line="240" w:lineRule="auto"/>
            </w:pPr>
            <w:r/>
            <w:r>
              <w:rPr>
                <w:rFonts w:ascii="Aptos" w:hAnsi="Aptos"/>
                <w:b w:val="0"/>
                <w:color w:val="111827"/>
                <w:sz w:val="13"/>
              </w:rPr>
              <w:t>$6.31</w:t>
            </w:r>
          </w:p>
        </w:tc>
      </w:tr>
      <w:tr>
        <w:tc>
          <w:tcPr>
            <w:tcW w:type="dxa" w:w="2376"/>
            <w:vAlign w:val="center"/>
            <w:shd w:fill="F5F7FA"/>
          </w:tcPr>
          <w:p>
            <w:pPr>
              <w:spacing w:after="0" w:before="0" w:line="240" w:lineRule="auto"/>
            </w:pPr>
            <w:r/>
            <w:r>
              <w:rPr>
                <w:rFonts w:ascii="Aptos" w:hAnsi="Aptos"/>
                <w:b/>
                <w:color w:val="111827"/>
                <w:sz w:val="13"/>
              </w:rPr>
              <w:t>Premium apparel/accessory ($500)</w:t>
            </w:r>
          </w:p>
        </w:tc>
        <w:tc>
          <w:tcPr>
            <w:tcW w:type="dxa" w:w="792"/>
            <w:vAlign w:val="center"/>
            <w:shd w:fill="F5F7FA"/>
          </w:tcPr>
          <w:p>
            <w:pPr>
              <w:spacing w:after="0" w:before="0" w:line="240" w:lineRule="auto"/>
            </w:pPr>
            <w:r/>
            <w:r>
              <w:rPr>
                <w:rFonts w:ascii="Aptos" w:hAnsi="Aptos"/>
                <w:b w:val="0"/>
                <w:color w:val="111827"/>
                <w:sz w:val="13"/>
              </w:rPr>
              <w:t>7.0%</w:t>
            </w:r>
          </w:p>
        </w:tc>
        <w:tc>
          <w:tcPr>
            <w:tcW w:type="dxa" w:w="936"/>
            <w:vAlign w:val="center"/>
            <w:shd w:fill="F5F7FA"/>
          </w:tcPr>
          <w:p>
            <w:pPr>
              <w:spacing w:after="0" w:before="0" w:line="240" w:lineRule="auto"/>
            </w:pPr>
            <w:r/>
            <w:r>
              <w:rPr>
                <w:rFonts w:ascii="Aptos" w:hAnsi="Aptos"/>
                <w:b w:val="0"/>
                <w:color w:val="111827"/>
                <w:sz w:val="13"/>
              </w:rPr>
              <w:t>3.0%</w:t>
            </w:r>
          </w:p>
        </w:tc>
        <w:tc>
          <w:tcPr>
            <w:tcW w:type="dxa" w:w="936"/>
            <w:vAlign w:val="center"/>
            <w:shd w:fill="F5F7FA"/>
          </w:tcPr>
          <w:p>
            <w:pPr>
              <w:spacing w:after="0" w:before="0" w:line="240" w:lineRule="auto"/>
            </w:pPr>
            <w:r/>
            <w:r>
              <w:rPr>
                <w:rFonts w:ascii="Aptos" w:hAnsi="Aptos"/>
                <w:b w:val="0"/>
                <w:color w:val="111827"/>
                <w:sz w:val="13"/>
              </w:rPr>
              <w:t>$11.84</w:t>
            </w:r>
          </w:p>
        </w:tc>
        <w:tc>
          <w:tcPr>
            <w:tcW w:type="dxa" w:w="1008"/>
            <w:vAlign w:val="center"/>
            <w:shd w:fill="F5F7FA"/>
          </w:tcPr>
          <w:p>
            <w:pPr>
              <w:spacing w:after="0" w:before="0" w:line="240" w:lineRule="auto"/>
            </w:pPr>
            <w:r/>
            <w:r>
              <w:rPr>
                <w:rFonts w:ascii="Aptos" w:hAnsi="Aptos"/>
                <w:b w:val="0"/>
                <w:color w:val="111827"/>
                <w:sz w:val="13"/>
              </w:rPr>
              <w:t>$3.00</w:t>
            </w:r>
          </w:p>
        </w:tc>
        <w:tc>
          <w:tcPr>
            <w:tcW w:type="dxa" w:w="1080"/>
            <w:vAlign w:val="center"/>
            <w:shd w:fill="F5F7FA"/>
          </w:tcPr>
          <w:p>
            <w:pPr>
              <w:spacing w:after="0" w:before="0" w:line="240" w:lineRule="auto"/>
            </w:pPr>
            <w:r/>
            <w:r>
              <w:rPr>
                <w:rFonts w:ascii="Aptos" w:hAnsi="Aptos"/>
                <w:b w:val="0"/>
                <w:color w:val="111827"/>
                <w:sz w:val="13"/>
              </w:rPr>
              <w:t>$0.75</w:t>
            </w:r>
          </w:p>
        </w:tc>
        <w:tc>
          <w:tcPr>
            <w:tcW w:type="dxa" w:w="1080"/>
            <w:vAlign w:val="center"/>
            <w:shd w:fill="F5F7FA"/>
          </w:tcPr>
          <w:p>
            <w:pPr>
              <w:spacing w:after="0" w:before="0" w:line="240" w:lineRule="auto"/>
            </w:pPr>
            <w:r/>
            <w:r>
              <w:rPr>
                <w:rFonts w:ascii="Aptos" w:hAnsi="Aptos"/>
                <w:b w:val="0"/>
                <w:color w:val="111827"/>
                <w:sz w:val="13"/>
              </w:rPr>
              <w:t>$1.25</w:t>
            </w:r>
          </w:p>
        </w:tc>
        <w:tc>
          <w:tcPr>
            <w:tcW w:type="dxa" w:w="1008"/>
            <w:vAlign w:val="center"/>
            <w:shd w:fill="F5F7FA"/>
          </w:tcPr>
          <w:p>
            <w:pPr>
              <w:spacing w:after="0" w:before="0" w:line="240" w:lineRule="auto"/>
            </w:pPr>
            <w:r/>
            <w:r>
              <w:rPr>
                <w:rFonts w:ascii="Aptos" w:hAnsi="Aptos"/>
                <w:b w:val="0"/>
                <w:color w:val="111827"/>
                <w:sz w:val="13"/>
              </w:rPr>
              <w:t>$5.00</w:t>
            </w:r>
          </w:p>
        </w:tc>
        <w:tc>
          <w:tcPr>
            <w:tcW w:type="dxa" w:w="936"/>
            <w:vAlign w:val="center"/>
            <w:shd w:fill="F5F7FA"/>
          </w:tcPr>
          <w:p>
            <w:pPr>
              <w:spacing w:after="0" w:before="0" w:line="240" w:lineRule="auto"/>
            </w:pPr>
            <w:r/>
            <w:r>
              <w:rPr>
                <w:rFonts w:ascii="Aptos" w:hAnsi="Aptos"/>
                <w:b w:val="0"/>
                <w:color w:val="111827"/>
                <w:sz w:val="13"/>
              </w:rPr>
              <w:t>$6.84</w:t>
            </w:r>
          </w:p>
        </w:tc>
      </w:tr>
    </w:tbl>
    <w:p>
      <w:pPr>
        <w:spacing w:after="0"/>
      </w:pPr>
    </w:p>
    <w:p>
      <w:pPr>
        <w:pStyle w:val="Caption"/>
        <w:jc w:val="left"/>
      </w:pPr>
      <w:r>
        <w:rPr>
          <w:b/>
        </w:rPr>
        <w:t>Table 13. Illustrative aggressive-control economics</w:t>
      </w:r>
      <w:r>
        <w:rPr>
          <w:i/>
          <w:color w:val="6B7280"/>
        </w:rPr>
        <w:t xml:space="preserve">  Source: All control parameters are assumptions, not disclosures.</w:t>
      </w:r>
    </w:p>
    <w:p>
      <w:pPr>
        <w:sectPr>
          <w:pgSz w:w="12240" w:h="15840"/>
          <w:pgMar w:top="1008" w:right="1152" w:bottom="1008" w:left="1152" w:header="720" w:footer="720" w:gutter="0"/>
          <w:cols w:space="720"/>
          <w:docGrid w:linePitch="360"/>
        </w:sectPr>
      </w:pPr>
    </w:p>
    <w:p>
      <w:pPr>
        <w:pStyle w:val="Heading1"/>
      </w:pPr>
      <w:r>
        <w:t>Calculation appendix</w:t>
      </w:r>
    </w:p>
    <w:p>
      <w:pPr>
        <w:pStyle w:val="Heading2"/>
      </w:pPr>
      <w:r>
        <w:t>Product inputs</w:t>
      </w:r>
    </w:p>
    <w:tbl>
      <w:tblPr>
        <w:tblStyle w:val="TableGrid"/>
        <w:tblW w:type="auto" w:w="0"/>
        <w:jc w:val="center"/>
        <w:tblLayout w:type="fixed"/>
        <w:tblLook w:firstColumn="1" w:firstRow="1" w:lastColumn="0" w:lastRow="0" w:noHBand="0" w:noVBand="1" w:val="04A0"/>
      </w:tblPr>
      <w:tblGrid>
        <w:gridCol w:w="1018"/>
        <w:gridCol w:w="1018"/>
        <w:gridCol w:w="1018"/>
        <w:gridCol w:w="1018"/>
        <w:gridCol w:w="1018"/>
        <w:gridCol w:w="1018"/>
        <w:gridCol w:w="1018"/>
        <w:gridCol w:w="1018"/>
        <w:gridCol w:w="1018"/>
        <w:gridCol w:w="1018"/>
        <w:gridCol w:w="1018"/>
        <w:gridCol w:w="1018"/>
        <w:gridCol w:w="1018"/>
        <w:gridCol w:w="1018"/>
      </w:tblGrid>
      <w:tr>
        <w:trPr>
          <w:tblHeader w:val="true"/>
        </w:trPr>
        <w:tc>
          <w:tcPr>
            <w:tcW w:type="dxa" w:w="2232"/>
            <w:vAlign w:val="center"/>
            <w:shd w:fill="17324D"/>
            <w:tcBorders>
              <w:bottom w:val="single" w:sz="8" w:color="FFFFFF"/>
            </w:tcBorders>
          </w:tcPr>
          <w:p>
            <w:pPr>
              <w:spacing w:after="0" w:before="0" w:line="240" w:lineRule="auto"/>
              <w:jc w:val="left"/>
            </w:pPr>
            <w:r/>
            <w:r>
              <w:rPr>
                <w:rFonts w:ascii="Aptos" w:hAnsi="Aptos"/>
                <w:b/>
                <w:color w:val="FFFFFF"/>
                <w:sz w:val="12"/>
              </w:rPr>
              <w:t>Product</w:t>
            </w:r>
          </w:p>
        </w:tc>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2"/>
              </w:rPr>
              <w:t>R</w:t>
            </w:r>
          </w:p>
        </w:tc>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2"/>
              </w:rPr>
              <w:t>C</w:t>
            </w:r>
          </w:p>
        </w:tc>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2"/>
              </w:rPr>
              <w:t>C/R</w:t>
            </w:r>
          </w:p>
        </w:tc>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2"/>
              </w:rPr>
              <w:t>Fo</w:t>
            </w:r>
          </w:p>
        </w:tc>
        <w:tc>
          <w:tcPr>
            <w:tcW w:type="dxa" w:w="576"/>
            <w:vAlign w:val="center"/>
            <w:shd w:fill="17324D"/>
            <w:tcBorders>
              <w:bottom w:val="single" w:sz="8" w:color="FFFFFF"/>
            </w:tcBorders>
          </w:tcPr>
          <w:p>
            <w:pPr>
              <w:spacing w:after="0" w:before="0" w:line="240" w:lineRule="auto"/>
              <w:jc w:val="left"/>
            </w:pPr>
            <w:r/>
            <w:r>
              <w:rPr>
                <w:rFonts w:ascii="Aptos" w:hAnsi="Aptos"/>
                <w:b/>
                <w:color w:val="FFFFFF"/>
                <w:sz w:val="12"/>
              </w:rPr>
              <w:t>P</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2"/>
              </w:rPr>
              <w:t>DIM lb</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2"/>
              </w:rPr>
              <w:t>Billable lb</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Value/billable lb</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2"/>
              </w:rPr>
              <w:t>Inspect min</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2"/>
              </w:rPr>
              <w:t>Labor/hr</w:t>
            </w:r>
          </w:p>
        </w:tc>
        <w:tc>
          <w:tcPr>
            <w:tcW w:type="dxa" w:w="792"/>
            <w:vAlign w:val="center"/>
            <w:shd w:fill="17324D"/>
            <w:tcBorders>
              <w:bottom w:val="single" w:sz="8" w:color="FFFFFF"/>
            </w:tcBorders>
          </w:tcPr>
          <w:p>
            <w:pPr>
              <w:spacing w:after="0" w:before="0" w:line="240" w:lineRule="auto"/>
              <w:jc w:val="left"/>
            </w:pPr>
            <w:r/>
            <w:r>
              <w:rPr>
                <w:rFonts w:ascii="Aptos" w:hAnsi="Aptos"/>
                <w:b/>
                <w:color w:val="FFFFFF"/>
                <w:sz w:val="12"/>
              </w:rPr>
              <w:t>Return rate</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Depreciation/mo</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2"/>
              </w:rPr>
              <w:t>Fraud p</w:t>
            </w:r>
          </w:p>
        </w:tc>
      </w:tr>
      <w:tr>
        <w:tc>
          <w:tcPr>
            <w:tcW w:type="dxa" w:w="2232"/>
            <w:vAlign w:val="center"/>
          </w:tcPr>
          <w:p>
            <w:pPr>
              <w:spacing w:after="0" w:before="0" w:line="240" w:lineRule="auto"/>
            </w:pPr>
            <w:r/>
            <w:r>
              <w:rPr>
                <w:rFonts w:ascii="Aptos" w:hAnsi="Aptos"/>
                <w:b/>
                <w:color w:val="111827"/>
                <w:sz w:val="12"/>
              </w:rPr>
              <w:t>Basic clothing item ($20)</w:t>
            </w:r>
          </w:p>
        </w:tc>
        <w:tc>
          <w:tcPr>
            <w:tcW w:type="dxa" w:w="648"/>
            <w:vAlign w:val="center"/>
          </w:tcPr>
          <w:p>
            <w:pPr>
              <w:spacing w:after="0" w:before="0" w:line="240" w:lineRule="auto"/>
            </w:pPr>
            <w:r/>
            <w:r>
              <w:rPr>
                <w:rFonts w:ascii="Aptos" w:hAnsi="Aptos"/>
                <w:b w:val="0"/>
                <w:color w:val="111827"/>
                <w:sz w:val="12"/>
              </w:rPr>
              <w:t>$20</w:t>
            </w:r>
          </w:p>
        </w:tc>
        <w:tc>
          <w:tcPr>
            <w:tcW w:type="dxa" w:w="648"/>
            <w:vAlign w:val="center"/>
          </w:tcPr>
          <w:p>
            <w:pPr>
              <w:spacing w:after="0" w:before="0" w:line="240" w:lineRule="auto"/>
            </w:pPr>
            <w:r/>
            <w:r>
              <w:rPr>
                <w:rFonts w:ascii="Aptos" w:hAnsi="Aptos"/>
                <w:b w:val="0"/>
                <w:color w:val="111827"/>
                <w:sz w:val="12"/>
              </w:rPr>
              <w:t>$6.00</w:t>
            </w:r>
          </w:p>
        </w:tc>
        <w:tc>
          <w:tcPr>
            <w:tcW w:type="dxa" w:w="648"/>
            <w:vAlign w:val="center"/>
          </w:tcPr>
          <w:p>
            <w:pPr>
              <w:spacing w:after="0" w:before="0" w:line="240" w:lineRule="auto"/>
            </w:pPr>
            <w:r/>
            <w:r>
              <w:rPr>
                <w:rFonts w:ascii="Aptos" w:hAnsi="Aptos"/>
                <w:b w:val="0"/>
                <w:color w:val="111827"/>
                <w:sz w:val="12"/>
              </w:rPr>
              <w:t>30.0%</w:t>
            </w:r>
          </w:p>
        </w:tc>
        <w:tc>
          <w:tcPr>
            <w:tcW w:type="dxa" w:w="648"/>
            <w:vAlign w:val="center"/>
          </w:tcPr>
          <w:p>
            <w:pPr>
              <w:spacing w:after="0" w:before="0" w:line="240" w:lineRule="auto"/>
            </w:pPr>
            <w:r/>
            <w:r>
              <w:rPr>
                <w:rFonts w:ascii="Aptos" w:hAnsi="Aptos"/>
                <w:b w:val="0"/>
                <w:color w:val="111827"/>
                <w:sz w:val="12"/>
              </w:rPr>
              <w:t>$4.50</w:t>
            </w:r>
          </w:p>
        </w:tc>
        <w:tc>
          <w:tcPr>
            <w:tcW w:type="dxa" w:w="576"/>
            <w:vAlign w:val="center"/>
          </w:tcPr>
          <w:p>
            <w:pPr>
              <w:spacing w:after="0" w:before="0" w:line="240" w:lineRule="auto"/>
            </w:pPr>
            <w:r/>
            <w:r>
              <w:rPr>
                <w:rFonts w:ascii="Aptos" w:hAnsi="Aptos"/>
                <w:b w:val="0"/>
                <w:color w:val="111827"/>
                <w:sz w:val="12"/>
              </w:rPr>
              <w:t>$0.80</w:t>
            </w:r>
          </w:p>
        </w:tc>
        <w:tc>
          <w:tcPr>
            <w:tcW w:type="dxa" w:w="720"/>
            <w:vAlign w:val="center"/>
          </w:tcPr>
          <w:p>
            <w:pPr>
              <w:spacing w:after="0" w:before="0" w:line="240" w:lineRule="auto"/>
            </w:pPr>
            <w:r/>
            <w:r>
              <w:rPr>
                <w:rFonts w:ascii="Aptos" w:hAnsi="Aptos"/>
                <w:b w:val="0"/>
                <w:color w:val="111827"/>
                <w:sz w:val="12"/>
              </w:rPr>
              <w:t>1.2</w:t>
            </w:r>
          </w:p>
        </w:tc>
        <w:tc>
          <w:tcPr>
            <w:tcW w:type="dxa" w:w="720"/>
            <w:vAlign w:val="center"/>
          </w:tcPr>
          <w:p>
            <w:pPr>
              <w:spacing w:after="0" w:before="0" w:line="240" w:lineRule="auto"/>
            </w:pPr>
            <w:r/>
            <w:r>
              <w:rPr>
                <w:rFonts w:ascii="Aptos" w:hAnsi="Aptos"/>
                <w:b w:val="0"/>
                <w:color w:val="111827"/>
                <w:sz w:val="12"/>
              </w:rPr>
              <w:t>2</w:t>
            </w:r>
          </w:p>
        </w:tc>
        <w:tc>
          <w:tcPr>
            <w:tcW w:type="dxa" w:w="936"/>
            <w:vAlign w:val="center"/>
          </w:tcPr>
          <w:p>
            <w:pPr>
              <w:spacing w:after="0" w:before="0" w:line="240" w:lineRule="auto"/>
            </w:pPr>
            <w:r/>
            <w:r>
              <w:rPr>
                <w:rFonts w:ascii="Aptos" w:hAnsi="Aptos"/>
                <w:b w:val="0"/>
                <w:color w:val="111827"/>
                <w:sz w:val="12"/>
              </w:rPr>
              <w:t>$10.00</w:t>
            </w:r>
          </w:p>
        </w:tc>
        <w:tc>
          <w:tcPr>
            <w:tcW w:type="dxa" w:w="720"/>
            <w:vAlign w:val="center"/>
          </w:tcPr>
          <w:p>
            <w:pPr>
              <w:spacing w:after="0" w:before="0" w:line="240" w:lineRule="auto"/>
            </w:pPr>
            <w:r/>
            <w:r>
              <w:rPr>
                <w:rFonts w:ascii="Aptos" w:hAnsi="Aptos"/>
                <w:b w:val="0"/>
                <w:color w:val="111827"/>
                <w:sz w:val="12"/>
              </w:rPr>
              <w:t>2.5</w:t>
            </w:r>
          </w:p>
        </w:tc>
        <w:tc>
          <w:tcPr>
            <w:tcW w:type="dxa" w:w="720"/>
            <w:vAlign w:val="center"/>
          </w:tcPr>
          <w:p>
            <w:pPr>
              <w:spacing w:after="0" w:before="0" w:line="240" w:lineRule="auto"/>
            </w:pPr>
            <w:r/>
            <w:r>
              <w:rPr>
                <w:rFonts w:ascii="Aptos" w:hAnsi="Aptos"/>
                <w:b w:val="0"/>
                <w:color w:val="111827"/>
                <w:sz w:val="12"/>
              </w:rPr>
              <w:t>$28</w:t>
            </w:r>
          </w:p>
        </w:tc>
        <w:tc>
          <w:tcPr>
            <w:tcW w:type="dxa" w:w="792"/>
            <w:vAlign w:val="center"/>
          </w:tcPr>
          <w:p>
            <w:pPr>
              <w:spacing w:after="0" w:before="0" w:line="240" w:lineRule="auto"/>
            </w:pPr>
            <w:r/>
            <w:r>
              <w:rPr>
                <w:rFonts w:ascii="Aptos" w:hAnsi="Aptos"/>
                <w:b w:val="0"/>
                <w:color w:val="111827"/>
                <w:sz w:val="12"/>
              </w:rPr>
              <w:t>25.0%</w:t>
            </w:r>
          </w:p>
        </w:tc>
        <w:tc>
          <w:tcPr>
            <w:tcW w:type="dxa" w:w="936"/>
            <w:vAlign w:val="center"/>
          </w:tcPr>
          <w:p>
            <w:pPr>
              <w:spacing w:after="0" w:before="0" w:line="240" w:lineRule="auto"/>
            </w:pPr>
            <w:r/>
            <w:r>
              <w:rPr>
                <w:rFonts w:ascii="Aptos" w:hAnsi="Aptos"/>
                <w:b w:val="0"/>
                <w:color w:val="111827"/>
                <w:sz w:val="12"/>
              </w:rPr>
              <w:t>2.0%</w:t>
            </w:r>
          </w:p>
        </w:tc>
        <w:tc>
          <w:tcPr>
            <w:tcW w:type="dxa" w:w="720"/>
            <w:vAlign w:val="center"/>
          </w:tcPr>
          <w:p>
            <w:pPr>
              <w:spacing w:after="0" w:before="0" w:line="240" w:lineRule="auto"/>
            </w:pPr>
            <w:r/>
            <w:r>
              <w:rPr>
                <w:rFonts w:ascii="Aptos" w:hAnsi="Aptos"/>
                <w:b w:val="0"/>
                <w:color w:val="111827"/>
                <w:sz w:val="12"/>
              </w:rPr>
              <w:t>2.0%</w:t>
            </w:r>
          </w:p>
        </w:tc>
      </w:tr>
      <w:tr>
        <w:tc>
          <w:tcPr>
            <w:tcW w:type="dxa" w:w="2232"/>
            <w:vAlign w:val="center"/>
            <w:shd w:fill="F5F7FA"/>
          </w:tcPr>
          <w:p>
            <w:pPr>
              <w:spacing w:after="0" w:before="0" w:line="240" w:lineRule="auto"/>
            </w:pPr>
            <w:r/>
            <w:r>
              <w:rPr>
                <w:rFonts w:ascii="Aptos" w:hAnsi="Aptos"/>
                <w:b/>
                <w:color w:val="111827"/>
                <w:sz w:val="12"/>
              </w:rPr>
              <w:t>Cosmetic/personal-care item ($20)</w:t>
            </w:r>
          </w:p>
        </w:tc>
        <w:tc>
          <w:tcPr>
            <w:tcW w:type="dxa" w:w="648"/>
            <w:vAlign w:val="center"/>
            <w:shd w:fill="F5F7FA"/>
          </w:tcPr>
          <w:p>
            <w:pPr>
              <w:spacing w:after="0" w:before="0" w:line="240" w:lineRule="auto"/>
            </w:pPr>
            <w:r/>
            <w:r>
              <w:rPr>
                <w:rFonts w:ascii="Aptos" w:hAnsi="Aptos"/>
                <w:b w:val="0"/>
                <w:color w:val="111827"/>
                <w:sz w:val="12"/>
              </w:rPr>
              <w:t>$20</w:t>
            </w:r>
          </w:p>
        </w:tc>
        <w:tc>
          <w:tcPr>
            <w:tcW w:type="dxa" w:w="648"/>
            <w:vAlign w:val="center"/>
            <w:shd w:fill="F5F7FA"/>
          </w:tcPr>
          <w:p>
            <w:pPr>
              <w:spacing w:after="0" w:before="0" w:line="240" w:lineRule="auto"/>
            </w:pPr>
            <w:r/>
            <w:r>
              <w:rPr>
                <w:rFonts w:ascii="Aptos" w:hAnsi="Aptos"/>
                <w:b w:val="0"/>
                <w:color w:val="111827"/>
                <w:sz w:val="12"/>
              </w:rPr>
              <w:t>$5.00</w:t>
            </w:r>
          </w:p>
        </w:tc>
        <w:tc>
          <w:tcPr>
            <w:tcW w:type="dxa" w:w="648"/>
            <w:vAlign w:val="center"/>
            <w:shd w:fill="F5F7FA"/>
          </w:tcPr>
          <w:p>
            <w:pPr>
              <w:spacing w:after="0" w:before="0" w:line="240" w:lineRule="auto"/>
            </w:pPr>
            <w:r/>
            <w:r>
              <w:rPr>
                <w:rFonts w:ascii="Aptos" w:hAnsi="Aptos"/>
                <w:b w:val="0"/>
                <w:color w:val="111827"/>
                <w:sz w:val="12"/>
              </w:rPr>
              <w:t>25.0%</w:t>
            </w:r>
          </w:p>
        </w:tc>
        <w:tc>
          <w:tcPr>
            <w:tcW w:type="dxa" w:w="648"/>
            <w:vAlign w:val="center"/>
            <w:shd w:fill="F5F7FA"/>
          </w:tcPr>
          <w:p>
            <w:pPr>
              <w:spacing w:after="0" w:before="0" w:line="240" w:lineRule="auto"/>
            </w:pPr>
            <w:r/>
            <w:r>
              <w:rPr>
                <w:rFonts w:ascii="Aptos" w:hAnsi="Aptos"/>
                <w:b w:val="0"/>
                <w:color w:val="111827"/>
                <w:sz w:val="12"/>
              </w:rPr>
              <w:t>$4.00</w:t>
            </w:r>
          </w:p>
        </w:tc>
        <w:tc>
          <w:tcPr>
            <w:tcW w:type="dxa" w:w="576"/>
            <w:vAlign w:val="center"/>
            <w:shd w:fill="F5F7FA"/>
          </w:tcPr>
          <w:p>
            <w:pPr>
              <w:spacing w:after="0" w:before="0" w:line="240" w:lineRule="auto"/>
            </w:pPr>
            <w:r/>
            <w:r>
              <w:rPr>
                <w:rFonts w:ascii="Aptos" w:hAnsi="Aptos"/>
                <w:b w:val="0"/>
                <w:color w:val="111827"/>
                <w:sz w:val="12"/>
              </w:rPr>
              <w:t>$0.80</w:t>
            </w:r>
          </w:p>
        </w:tc>
        <w:tc>
          <w:tcPr>
            <w:tcW w:type="dxa" w:w="720"/>
            <w:vAlign w:val="center"/>
            <w:shd w:fill="F5F7FA"/>
          </w:tcPr>
          <w:p>
            <w:pPr>
              <w:spacing w:after="0" w:before="0" w:line="240" w:lineRule="auto"/>
            </w:pPr>
            <w:r/>
            <w:r>
              <w:rPr>
                <w:rFonts w:ascii="Aptos" w:hAnsi="Aptos"/>
                <w:b w:val="0"/>
                <w:color w:val="111827"/>
                <w:sz w:val="12"/>
              </w:rPr>
              <w:t>1.0</w:t>
            </w:r>
          </w:p>
        </w:tc>
        <w:tc>
          <w:tcPr>
            <w:tcW w:type="dxa" w:w="720"/>
            <w:vAlign w:val="center"/>
            <w:shd w:fill="F5F7FA"/>
          </w:tcPr>
          <w:p>
            <w:pPr>
              <w:spacing w:after="0" w:before="0" w:line="240" w:lineRule="auto"/>
            </w:pPr>
            <w:r/>
            <w:r>
              <w:rPr>
                <w:rFonts w:ascii="Aptos" w:hAnsi="Aptos"/>
                <w:b w:val="0"/>
                <w:color w:val="111827"/>
                <w:sz w:val="12"/>
              </w:rPr>
              <w:t>2</w:t>
            </w:r>
          </w:p>
        </w:tc>
        <w:tc>
          <w:tcPr>
            <w:tcW w:type="dxa" w:w="936"/>
            <w:vAlign w:val="center"/>
            <w:shd w:fill="F5F7FA"/>
          </w:tcPr>
          <w:p>
            <w:pPr>
              <w:spacing w:after="0" w:before="0" w:line="240" w:lineRule="auto"/>
            </w:pPr>
            <w:r/>
            <w:r>
              <w:rPr>
                <w:rFonts w:ascii="Aptos" w:hAnsi="Aptos"/>
                <w:b w:val="0"/>
                <w:color w:val="111827"/>
                <w:sz w:val="12"/>
              </w:rPr>
              <w:t>$10.00</w:t>
            </w:r>
          </w:p>
        </w:tc>
        <w:tc>
          <w:tcPr>
            <w:tcW w:type="dxa" w:w="720"/>
            <w:vAlign w:val="center"/>
            <w:shd w:fill="F5F7FA"/>
          </w:tcPr>
          <w:p>
            <w:pPr>
              <w:spacing w:after="0" w:before="0" w:line="240" w:lineRule="auto"/>
            </w:pPr>
            <w:r/>
            <w:r>
              <w:rPr>
                <w:rFonts w:ascii="Aptos" w:hAnsi="Aptos"/>
                <w:b w:val="0"/>
                <w:color w:val="111827"/>
                <w:sz w:val="12"/>
              </w:rPr>
              <w:t>1.5</w:t>
            </w:r>
          </w:p>
        </w:tc>
        <w:tc>
          <w:tcPr>
            <w:tcW w:type="dxa" w:w="720"/>
            <w:vAlign w:val="center"/>
            <w:shd w:fill="F5F7FA"/>
          </w:tcPr>
          <w:p>
            <w:pPr>
              <w:spacing w:after="0" w:before="0" w:line="240" w:lineRule="auto"/>
            </w:pPr>
            <w:r/>
            <w:r>
              <w:rPr>
                <w:rFonts w:ascii="Aptos" w:hAnsi="Aptos"/>
                <w:b w:val="0"/>
                <w:color w:val="111827"/>
                <w:sz w:val="12"/>
              </w:rPr>
              <w:t>$28</w:t>
            </w:r>
          </w:p>
        </w:tc>
        <w:tc>
          <w:tcPr>
            <w:tcW w:type="dxa" w:w="792"/>
            <w:vAlign w:val="center"/>
            <w:shd w:fill="F5F7FA"/>
          </w:tcPr>
          <w:p>
            <w:pPr>
              <w:spacing w:after="0" w:before="0" w:line="240" w:lineRule="auto"/>
            </w:pPr>
            <w:r/>
            <w:r>
              <w:rPr>
                <w:rFonts w:ascii="Aptos" w:hAnsi="Aptos"/>
                <w:b w:val="0"/>
                <w:color w:val="111827"/>
                <w:sz w:val="12"/>
              </w:rPr>
              <w:t>10.0%</w:t>
            </w:r>
          </w:p>
        </w:tc>
        <w:tc>
          <w:tcPr>
            <w:tcW w:type="dxa" w:w="936"/>
            <w:vAlign w:val="center"/>
            <w:shd w:fill="F5F7FA"/>
          </w:tcPr>
          <w:p>
            <w:pPr>
              <w:spacing w:after="0" w:before="0" w:line="240" w:lineRule="auto"/>
            </w:pPr>
            <w:r/>
            <w:r>
              <w:rPr>
                <w:rFonts w:ascii="Aptos" w:hAnsi="Aptos"/>
                <w:b w:val="0"/>
                <w:color w:val="111827"/>
                <w:sz w:val="12"/>
              </w:rPr>
              <w:t>1.5%</w:t>
            </w:r>
          </w:p>
        </w:tc>
        <w:tc>
          <w:tcPr>
            <w:tcW w:type="dxa" w:w="720"/>
            <w:vAlign w:val="center"/>
            <w:shd w:fill="F5F7FA"/>
          </w:tcPr>
          <w:p>
            <w:pPr>
              <w:spacing w:after="0" w:before="0" w:line="240" w:lineRule="auto"/>
            </w:pPr>
            <w:r/>
            <w:r>
              <w:rPr>
                <w:rFonts w:ascii="Aptos" w:hAnsi="Aptos"/>
                <w:b w:val="0"/>
                <w:color w:val="111827"/>
                <w:sz w:val="12"/>
              </w:rPr>
              <w:t>1.0%</w:t>
            </w:r>
          </w:p>
        </w:tc>
      </w:tr>
      <w:tr>
        <w:tc>
          <w:tcPr>
            <w:tcW w:type="dxa" w:w="2232"/>
            <w:vAlign w:val="center"/>
          </w:tcPr>
          <w:p>
            <w:pPr>
              <w:spacing w:after="0" w:before="0" w:line="240" w:lineRule="auto"/>
            </w:pPr>
            <w:r/>
            <w:r>
              <w:rPr>
                <w:rFonts w:ascii="Aptos" w:hAnsi="Aptos"/>
                <w:b/>
                <w:color w:val="111827"/>
                <w:sz w:val="12"/>
              </w:rPr>
              <w:t>Small household product ($20)</w:t>
            </w:r>
          </w:p>
        </w:tc>
        <w:tc>
          <w:tcPr>
            <w:tcW w:type="dxa" w:w="648"/>
            <w:vAlign w:val="center"/>
          </w:tcPr>
          <w:p>
            <w:pPr>
              <w:spacing w:after="0" w:before="0" w:line="240" w:lineRule="auto"/>
            </w:pPr>
            <w:r/>
            <w:r>
              <w:rPr>
                <w:rFonts w:ascii="Aptos" w:hAnsi="Aptos"/>
                <w:b w:val="0"/>
                <w:color w:val="111827"/>
                <w:sz w:val="12"/>
              </w:rPr>
              <w:t>$20</w:t>
            </w:r>
          </w:p>
        </w:tc>
        <w:tc>
          <w:tcPr>
            <w:tcW w:type="dxa" w:w="648"/>
            <w:vAlign w:val="center"/>
          </w:tcPr>
          <w:p>
            <w:pPr>
              <w:spacing w:after="0" w:before="0" w:line="240" w:lineRule="auto"/>
            </w:pPr>
            <w:r/>
            <w:r>
              <w:rPr>
                <w:rFonts w:ascii="Aptos" w:hAnsi="Aptos"/>
                <w:b w:val="0"/>
                <w:color w:val="111827"/>
                <w:sz w:val="12"/>
              </w:rPr>
              <w:t>$7.00</w:t>
            </w:r>
          </w:p>
        </w:tc>
        <w:tc>
          <w:tcPr>
            <w:tcW w:type="dxa" w:w="648"/>
            <w:vAlign w:val="center"/>
          </w:tcPr>
          <w:p>
            <w:pPr>
              <w:spacing w:after="0" w:before="0" w:line="240" w:lineRule="auto"/>
            </w:pPr>
            <w:r/>
            <w:r>
              <w:rPr>
                <w:rFonts w:ascii="Aptos" w:hAnsi="Aptos"/>
                <w:b w:val="0"/>
                <w:color w:val="111827"/>
                <w:sz w:val="12"/>
              </w:rPr>
              <w:t>35.0%</w:t>
            </w:r>
          </w:p>
        </w:tc>
        <w:tc>
          <w:tcPr>
            <w:tcW w:type="dxa" w:w="648"/>
            <w:vAlign w:val="center"/>
          </w:tcPr>
          <w:p>
            <w:pPr>
              <w:spacing w:after="0" w:before="0" w:line="240" w:lineRule="auto"/>
            </w:pPr>
            <w:r/>
            <w:r>
              <w:rPr>
                <w:rFonts w:ascii="Aptos" w:hAnsi="Aptos"/>
                <w:b w:val="0"/>
                <w:color w:val="111827"/>
                <w:sz w:val="12"/>
              </w:rPr>
              <w:t>$5.50</w:t>
            </w:r>
          </w:p>
        </w:tc>
        <w:tc>
          <w:tcPr>
            <w:tcW w:type="dxa" w:w="576"/>
            <w:vAlign w:val="center"/>
          </w:tcPr>
          <w:p>
            <w:pPr>
              <w:spacing w:after="0" w:before="0" w:line="240" w:lineRule="auto"/>
            </w:pPr>
            <w:r/>
            <w:r>
              <w:rPr>
                <w:rFonts w:ascii="Aptos" w:hAnsi="Aptos"/>
                <w:b w:val="0"/>
                <w:color w:val="111827"/>
                <w:sz w:val="12"/>
              </w:rPr>
              <w:t>$0.80</w:t>
            </w:r>
          </w:p>
        </w:tc>
        <w:tc>
          <w:tcPr>
            <w:tcW w:type="dxa" w:w="720"/>
            <w:vAlign w:val="center"/>
          </w:tcPr>
          <w:p>
            <w:pPr>
              <w:spacing w:after="0" w:before="0" w:line="240" w:lineRule="auto"/>
            </w:pPr>
            <w:r/>
            <w:r>
              <w:rPr>
                <w:rFonts w:ascii="Aptos" w:hAnsi="Aptos"/>
                <w:b w:val="0"/>
                <w:color w:val="111827"/>
                <w:sz w:val="12"/>
              </w:rPr>
              <w:t>27.6</w:t>
            </w:r>
          </w:p>
        </w:tc>
        <w:tc>
          <w:tcPr>
            <w:tcW w:type="dxa" w:w="720"/>
            <w:vAlign w:val="center"/>
          </w:tcPr>
          <w:p>
            <w:pPr>
              <w:spacing w:after="0" w:before="0" w:line="240" w:lineRule="auto"/>
            </w:pPr>
            <w:r/>
            <w:r>
              <w:rPr>
                <w:rFonts w:ascii="Aptos" w:hAnsi="Aptos"/>
                <w:b w:val="0"/>
                <w:color w:val="111827"/>
                <w:sz w:val="12"/>
              </w:rPr>
              <w:t>28</w:t>
            </w:r>
          </w:p>
        </w:tc>
        <w:tc>
          <w:tcPr>
            <w:tcW w:type="dxa" w:w="936"/>
            <w:vAlign w:val="center"/>
          </w:tcPr>
          <w:p>
            <w:pPr>
              <w:spacing w:after="0" w:before="0" w:line="240" w:lineRule="auto"/>
            </w:pPr>
            <w:r/>
            <w:r>
              <w:rPr>
                <w:rFonts w:ascii="Aptos" w:hAnsi="Aptos"/>
                <w:b w:val="0"/>
                <w:color w:val="111827"/>
                <w:sz w:val="12"/>
              </w:rPr>
              <w:t>$0.71</w:t>
            </w:r>
          </w:p>
        </w:tc>
        <w:tc>
          <w:tcPr>
            <w:tcW w:type="dxa" w:w="720"/>
            <w:vAlign w:val="center"/>
          </w:tcPr>
          <w:p>
            <w:pPr>
              <w:spacing w:after="0" w:before="0" w:line="240" w:lineRule="auto"/>
            </w:pPr>
            <w:r/>
            <w:r>
              <w:rPr>
                <w:rFonts w:ascii="Aptos" w:hAnsi="Aptos"/>
                <w:b w:val="0"/>
                <w:color w:val="111827"/>
                <w:sz w:val="12"/>
              </w:rPr>
              <w:t>2.0</w:t>
            </w:r>
          </w:p>
        </w:tc>
        <w:tc>
          <w:tcPr>
            <w:tcW w:type="dxa" w:w="720"/>
            <w:vAlign w:val="center"/>
          </w:tcPr>
          <w:p>
            <w:pPr>
              <w:spacing w:after="0" w:before="0" w:line="240" w:lineRule="auto"/>
            </w:pPr>
            <w:r/>
            <w:r>
              <w:rPr>
                <w:rFonts w:ascii="Aptos" w:hAnsi="Aptos"/>
                <w:b w:val="0"/>
                <w:color w:val="111827"/>
                <w:sz w:val="12"/>
              </w:rPr>
              <w:t>$28</w:t>
            </w:r>
          </w:p>
        </w:tc>
        <w:tc>
          <w:tcPr>
            <w:tcW w:type="dxa" w:w="792"/>
            <w:vAlign w:val="center"/>
          </w:tcPr>
          <w:p>
            <w:pPr>
              <w:spacing w:after="0" w:before="0" w:line="240" w:lineRule="auto"/>
            </w:pPr>
            <w:r/>
            <w:r>
              <w:rPr>
                <w:rFonts w:ascii="Aptos" w:hAnsi="Aptos"/>
                <w:b w:val="0"/>
                <w:color w:val="111827"/>
                <w:sz w:val="12"/>
              </w:rPr>
              <w:t>12.0%</w:t>
            </w:r>
          </w:p>
        </w:tc>
        <w:tc>
          <w:tcPr>
            <w:tcW w:type="dxa" w:w="936"/>
            <w:vAlign w:val="center"/>
          </w:tcPr>
          <w:p>
            <w:pPr>
              <w:spacing w:after="0" w:before="0" w:line="240" w:lineRule="auto"/>
            </w:pPr>
            <w:r/>
            <w:r>
              <w:rPr>
                <w:rFonts w:ascii="Aptos" w:hAnsi="Aptos"/>
                <w:b w:val="0"/>
                <w:color w:val="111827"/>
                <w:sz w:val="12"/>
              </w:rPr>
              <w:t>0.5%</w:t>
            </w:r>
          </w:p>
        </w:tc>
        <w:tc>
          <w:tcPr>
            <w:tcW w:type="dxa" w:w="720"/>
            <w:vAlign w:val="center"/>
          </w:tcPr>
          <w:p>
            <w:pPr>
              <w:spacing w:after="0" w:before="0" w:line="240" w:lineRule="auto"/>
            </w:pPr>
            <w:r/>
            <w:r>
              <w:rPr>
                <w:rFonts w:ascii="Aptos" w:hAnsi="Aptos"/>
                <w:b w:val="0"/>
                <w:color w:val="111827"/>
                <w:sz w:val="12"/>
              </w:rPr>
              <w:t>1.0%</w:t>
            </w:r>
          </w:p>
        </w:tc>
      </w:tr>
      <w:tr>
        <w:tc>
          <w:tcPr>
            <w:tcW w:type="dxa" w:w="2232"/>
            <w:vAlign w:val="center"/>
            <w:shd w:fill="F5F7FA"/>
          </w:tcPr>
          <w:p>
            <w:pPr>
              <w:spacing w:after="0" w:before="0" w:line="240" w:lineRule="auto"/>
            </w:pPr>
            <w:r/>
            <w:r>
              <w:rPr>
                <w:rFonts w:ascii="Aptos" w:hAnsi="Aptos"/>
                <w:b/>
                <w:color w:val="111827"/>
                <w:sz w:val="12"/>
              </w:rPr>
              <w:t>Footwear/premium apparel ($100)</w:t>
            </w:r>
          </w:p>
        </w:tc>
        <w:tc>
          <w:tcPr>
            <w:tcW w:type="dxa" w:w="648"/>
            <w:vAlign w:val="center"/>
            <w:shd w:fill="F5F7FA"/>
          </w:tcPr>
          <w:p>
            <w:pPr>
              <w:spacing w:after="0" w:before="0" w:line="240" w:lineRule="auto"/>
            </w:pPr>
            <w:r/>
            <w:r>
              <w:rPr>
                <w:rFonts w:ascii="Aptos" w:hAnsi="Aptos"/>
                <w:b w:val="0"/>
                <w:color w:val="111827"/>
                <w:sz w:val="12"/>
              </w:rPr>
              <w:t>$100</w:t>
            </w:r>
          </w:p>
        </w:tc>
        <w:tc>
          <w:tcPr>
            <w:tcW w:type="dxa" w:w="648"/>
            <w:vAlign w:val="center"/>
            <w:shd w:fill="F5F7FA"/>
          </w:tcPr>
          <w:p>
            <w:pPr>
              <w:spacing w:after="0" w:before="0" w:line="240" w:lineRule="auto"/>
            </w:pPr>
            <w:r/>
            <w:r>
              <w:rPr>
                <w:rFonts w:ascii="Aptos" w:hAnsi="Aptos"/>
                <w:b w:val="0"/>
                <w:color w:val="111827"/>
                <w:sz w:val="12"/>
              </w:rPr>
              <w:t>$35.00</w:t>
            </w:r>
          </w:p>
        </w:tc>
        <w:tc>
          <w:tcPr>
            <w:tcW w:type="dxa" w:w="648"/>
            <w:vAlign w:val="center"/>
            <w:shd w:fill="F5F7FA"/>
          </w:tcPr>
          <w:p>
            <w:pPr>
              <w:spacing w:after="0" w:before="0" w:line="240" w:lineRule="auto"/>
            </w:pPr>
            <w:r/>
            <w:r>
              <w:rPr>
                <w:rFonts w:ascii="Aptos" w:hAnsi="Aptos"/>
                <w:b w:val="0"/>
                <w:color w:val="111827"/>
                <w:sz w:val="12"/>
              </w:rPr>
              <w:t>35.0%</w:t>
            </w:r>
          </w:p>
        </w:tc>
        <w:tc>
          <w:tcPr>
            <w:tcW w:type="dxa" w:w="648"/>
            <w:vAlign w:val="center"/>
            <w:shd w:fill="F5F7FA"/>
          </w:tcPr>
          <w:p>
            <w:pPr>
              <w:spacing w:after="0" w:before="0" w:line="240" w:lineRule="auto"/>
            </w:pPr>
            <w:r/>
            <w:r>
              <w:rPr>
                <w:rFonts w:ascii="Aptos" w:hAnsi="Aptos"/>
                <w:b w:val="0"/>
                <w:color w:val="111827"/>
                <w:sz w:val="12"/>
              </w:rPr>
              <w:t>$7.00</w:t>
            </w:r>
          </w:p>
        </w:tc>
        <w:tc>
          <w:tcPr>
            <w:tcW w:type="dxa" w:w="576"/>
            <w:vAlign w:val="center"/>
            <w:shd w:fill="F5F7FA"/>
          </w:tcPr>
          <w:p>
            <w:pPr>
              <w:spacing w:after="0" w:before="0" w:line="240" w:lineRule="auto"/>
            </w:pPr>
            <w:r/>
            <w:r>
              <w:rPr>
                <w:rFonts w:ascii="Aptos" w:hAnsi="Aptos"/>
                <w:b w:val="0"/>
                <w:color w:val="111827"/>
                <w:sz w:val="12"/>
              </w:rPr>
              <w:t>$2.80</w:t>
            </w:r>
          </w:p>
        </w:tc>
        <w:tc>
          <w:tcPr>
            <w:tcW w:type="dxa" w:w="720"/>
            <w:vAlign w:val="center"/>
            <w:shd w:fill="F5F7FA"/>
          </w:tcPr>
          <w:p>
            <w:pPr>
              <w:spacing w:after="0" w:before="0" w:line="240" w:lineRule="auto"/>
            </w:pPr>
            <w:r/>
            <w:r>
              <w:rPr>
                <w:rFonts w:ascii="Aptos" w:hAnsi="Aptos"/>
                <w:b w:val="0"/>
                <w:color w:val="111827"/>
                <w:sz w:val="12"/>
              </w:rPr>
              <w:t>6.0</w:t>
            </w:r>
          </w:p>
        </w:tc>
        <w:tc>
          <w:tcPr>
            <w:tcW w:type="dxa" w:w="720"/>
            <w:vAlign w:val="center"/>
            <w:shd w:fill="F5F7FA"/>
          </w:tcPr>
          <w:p>
            <w:pPr>
              <w:spacing w:after="0" w:before="0" w:line="240" w:lineRule="auto"/>
            </w:pPr>
            <w:r/>
            <w:r>
              <w:rPr>
                <w:rFonts w:ascii="Aptos" w:hAnsi="Aptos"/>
                <w:b w:val="0"/>
                <w:color w:val="111827"/>
                <w:sz w:val="12"/>
              </w:rPr>
              <w:t>7</w:t>
            </w:r>
          </w:p>
        </w:tc>
        <w:tc>
          <w:tcPr>
            <w:tcW w:type="dxa" w:w="936"/>
            <w:vAlign w:val="center"/>
            <w:shd w:fill="F5F7FA"/>
          </w:tcPr>
          <w:p>
            <w:pPr>
              <w:spacing w:after="0" w:before="0" w:line="240" w:lineRule="auto"/>
            </w:pPr>
            <w:r/>
            <w:r>
              <w:rPr>
                <w:rFonts w:ascii="Aptos" w:hAnsi="Aptos"/>
                <w:b w:val="0"/>
                <w:color w:val="111827"/>
                <w:sz w:val="12"/>
              </w:rPr>
              <w:t>$14.29</w:t>
            </w:r>
          </w:p>
        </w:tc>
        <w:tc>
          <w:tcPr>
            <w:tcW w:type="dxa" w:w="720"/>
            <w:vAlign w:val="center"/>
            <w:shd w:fill="F5F7FA"/>
          </w:tcPr>
          <w:p>
            <w:pPr>
              <w:spacing w:after="0" w:before="0" w:line="240" w:lineRule="auto"/>
            </w:pPr>
            <w:r/>
            <w:r>
              <w:rPr>
                <w:rFonts w:ascii="Aptos" w:hAnsi="Aptos"/>
                <w:b w:val="0"/>
                <w:color w:val="111827"/>
                <w:sz w:val="12"/>
              </w:rPr>
              <w:t>4.0</w:t>
            </w:r>
          </w:p>
        </w:tc>
        <w:tc>
          <w:tcPr>
            <w:tcW w:type="dxa" w:w="720"/>
            <w:vAlign w:val="center"/>
            <w:shd w:fill="F5F7FA"/>
          </w:tcPr>
          <w:p>
            <w:pPr>
              <w:spacing w:after="0" w:before="0" w:line="240" w:lineRule="auto"/>
            </w:pPr>
            <w:r/>
            <w:r>
              <w:rPr>
                <w:rFonts w:ascii="Aptos" w:hAnsi="Aptos"/>
                <w:b w:val="0"/>
                <w:color w:val="111827"/>
                <w:sz w:val="12"/>
              </w:rPr>
              <w:t>$28</w:t>
            </w:r>
          </w:p>
        </w:tc>
        <w:tc>
          <w:tcPr>
            <w:tcW w:type="dxa" w:w="792"/>
            <w:vAlign w:val="center"/>
            <w:shd w:fill="F5F7FA"/>
          </w:tcPr>
          <w:p>
            <w:pPr>
              <w:spacing w:after="0" w:before="0" w:line="240" w:lineRule="auto"/>
            </w:pPr>
            <w:r/>
            <w:r>
              <w:rPr>
                <w:rFonts w:ascii="Aptos" w:hAnsi="Aptos"/>
                <w:b w:val="0"/>
                <w:color w:val="111827"/>
                <w:sz w:val="12"/>
              </w:rPr>
              <w:t>30.0%</w:t>
            </w:r>
          </w:p>
        </w:tc>
        <w:tc>
          <w:tcPr>
            <w:tcW w:type="dxa" w:w="936"/>
            <w:vAlign w:val="center"/>
            <w:shd w:fill="F5F7FA"/>
          </w:tcPr>
          <w:p>
            <w:pPr>
              <w:spacing w:after="0" w:before="0" w:line="240" w:lineRule="auto"/>
            </w:pPr>
            <w:r/>
            <w:r>
              <w:rPr>
                <w:rFonts w:ascii="Aptos" w:hAnsi="Aptos"/>
                <w:b w:val="0"/>
                <w:color w:val="111827"/>
                <w:sz w:val="12"/>
              </w:rPr>
              <w:t>2.0%</w:t>
            </w:r>
          </w:p>
        </w:tc>
        <w:tc>
          <w:tcPr>
            <w:tcW w:type="dxa" w:w="720"/>
            <w:vAlign w:val="center"/>
            <w:shd w:fill="F5F7FA"/>
          </w:tcPr>
          <w:p>
            <w:pPr>
              <w:spacing w:after="0" w:before="0" w:line="240" w:lineRule="auto"/>
            </w:pPr>
            <w:r/>
            <w:r>
              <w:rPr>
                <w:rFonts w:ascii="Aptos" w:hAnsi="Aptos"/>
                <w:b w:val="0"/>
                <w:color w:val="111827"/>
                <w:sz w:val="12"/>
              </w:rPr>
              <w:t>3.0%</w:t>
            </w:r>
          </w:p>
        </w:tc>
      </w:tr>
      <w:tr>
        <w:tc>
          <w:tcPr>
            <w:tcW w:type="dxa" w:w="2232"/>
            <w:vAlign w:val="center"/>
          </w:tcPr>
          <w:p>
            <w:pPr>
              <w:spacing w:after="0" w:before="0" w:line="240" w:lineRule="auto"/>
            </w:pPr>
            <w:r/>
            <w:r>
              <w:rPr>
                <w:rFonts w:ascii="Aptos" w:hAnsi="Aptos"/>
                <w:b/>
                <w:color w:val="111827"/>
                <w:sz w:val="12"/>
              </w:rPr>
              <w:t>Headphones/small electronics ($100)</w:t>
            </w:r>
          </w:p>
        </w:tc>
        <w:tc>
          <w:tcPr>
            <w:tcW w:type="dxa" w:w="648"/>
            <w:vAlign w:val="center"/>
          </w:tcPr>
          <w:p>
            <w:pPr>
              <w:spacing w:after="0" w:before="0" w:line="240" w:lineRule="auto"/>
            </w:pPr>
            <w:r/>
            <w:r>
              <w:rPr>
                <w:rFonts w:ascii="Aptos" w:hAnsi="Aptos"/>
                <w:b w:val="0"/>
                <w:color w:val="111827"/>
                <w:sz w:val="12"/>
              </w:rPr>
              <w:t>$100</w:t>
            </w:r>
          </w:p>
        </w:tc>
        <w:tc>
          <w:tcPr>
            <w:tcW w:type="dxa" w:w="648"/>
            <w:vAlign w:val="center"/>
          </w:tcPr>
          <w:p>
            <w:pPr>
              <w:spacing w:after="0" w:before="0" w:line="240" w:lineRule="auto"/>
            </w:pPr>
            <w:r/>
            <w:r>
              <w:rPr>
                <w:rFonts w:ascii="Aptos" w:hAnsi="Aptos"/>
                <w:b w:val="0"/>
                <w:color w:val="111827"/>
                <w:sz w:val="12"/>
              </w:rPr>
              <w:t>$45.00</w:t>
            </w:r>
          </w:p>
        </w:tc>
        <w:tc>
          <w:tcPr>
            <w:tcW w:type="dxa" w:w="648"/>
            <w:vAlign w:val="center"/>
          </w:tcPr>
          <w:p>
            <w:pPr>
              <w:spacing w:after="0" w:before="0" w:line="240" w:lineRule="auto"/>
            </w:pPr>
            <w:r/>
            <w:r>
              <w:rPr>
                <w:rFonts w:ascii="Aptos" w:hAnsi="Aptos"/>
                <w:b w:val="0"/>
                <w:color w:val="111827"/>
                <w:sz w:val="12"/>
              </w:rPr>
              <w:t>45.0%</w:t>
            </w:r>
          </w:p>
        </w:tc>
        <w:tc>
          <w:tcPr>
            <w:tcW w:type="dxa" w:w="648"/>
            <w:vAlign w:val="center"/>
          </w:tcPr>
          <w:p>
            <w:pPr>
              <w:spacing w:after="0" w:before="0" w:line="240" w:lineRule="auto"/>
            </w:pPr>
            <w:r/>
            <w:r>
              <w:rPr>
                <w:rFonts w:ascii="Aptos" w:hAnsi="Aptos"/>
                <w:b w:val="0"/>
                <w:color w:val="111827"/>
                <w:sz w:val="12"/>
              </w:rPr>
              <w:t>$6.00</w:t>
            </w:r>
          </w:p>
        </w:tc>
        <w:tc>
          <w:tcPr>
            <w:tcW w:type="dxa" w:w="576"/>
            <w:vAlign w:val="center"/>
          </w:tcPr>
          <w:p>
            <w:pPr>
              <w:spacing w:after="0" w:before="0" w:line="240" w:lineRule="auto"/>
            </w:pPr>
            <w:r/>
            <w:r>
              <w:rPr>
                <w:rFonts w:ascii="Aptos" w:hAnsi="Aptos"/>
                <w:b w:val="0"/>
                <w:color w:val="111827"/>
                <w:sz w:val="12"/>
              </w:rPr>
              <w:t>$2.80</w:t>
            </w:r>
          </w:p>
        </w:tc>
        <w:tc>
          <w:tcPr>
            <w:tcW w:type="dxa" w:w="720"/>
            <w:vAlign w:val="center"/>
          </w:tcPr>
          <w:p>
            <w:pPr>
              <w:spacing w:after="0" w:before="0" w:line="240" w:lineRule="auto"/>
            </w:pPr>
            <w:r/>
            <w:r>
              <w:rPr>
                <w:rFonts w:ascii="Aptos" w:hAnsi="Aptos"/>
                <w:b w:val="0"/>
                <w:color w:val="111827"/>
                <w:sz w:val="12"/>
              </w:rPr>
              <w:t>2.9</w:t>
            </w:r>
          </w:p>
        </w:tc>
        <w:tc>
          <w:tcPr>
            <w:tcW w:type="dxa" w:w="720"/>
            <w:vAlign w:val="center"/>
          </w:tcPr>
          <w:p>
            <w:pPr>
              <w:spacing w:after="0" w:before="0" w:line="240" w:lineRule="auto"/>
            </w:pPr>
            <w:r/>
            <w:r>
              <w:rPr>
                <w:rFonts w:ascii="Aptos" w:hAnsi="Aptos"/>
                <w:b w:val="0"/>
                <w:color w:val="111827"/>
                <w:sz w:val="12"/>
              </w:rPr>
              <w:t>3</w:t>
            </w:r>
          </w:p>
        </w:tc>
        <w:tc>
          <w:tcPr>
            <w:tcW w:type="dxa" w:w="936"/>
            <w:vAlign w:val="center"/>
          </w:tcPr>
          <w:p>
            <w:pPr>
              <w:spacing w:after="0" w:before="0" w:line="240" w:lineRule="auto"/>
            </w:pPr>
            <w:r/>
            <w:r>
              <w:rPr>
                <w:rFonts w:ascii="Aptos" w:hAnsi="Aptos"/>
                <w:b w:val="0"/>
                <w:color w:val="111827"/>
                <w:sz w:val="12"/>
              </w:rPr>
              <w:t>$33.33</w:t>
            </w:r>
          </w:p>
        </w:tc>
        <w:tc>
          <w:tcPr>
            <w:tcW w:type="dxa" w:w="720"/>
            <w:vAlign w:val="center"/>
          </w:tcPr>
          <w:p>
            <w:pPr>
              <w:spacing w:after="0" w:before="0" w:line="240" w:lineRule="auto"/>
            </w:pPr>
            <w:r/>
            <w:r>
              <w:rPr>
                <w:rFonts w:ascii="Aptos" w:hAnsi="Aptos"/>
                <w:b w:val="0"/>
                <w:color w:val="111827"/>
                <w:sz w:val="12"/>
              </w:rPr>
              <w:t>8.0</w:t>
            </w:r>
          </w:p>
        </w:tc>
        <w:tc>
          <w:tcPr>
            <w:tcW w:type="dxa" w:w="720"/>
            <w:vAlign w:val="center"/>
          </w:tcPr>
          <w:p>
            <w:pPr>
              <w:spacing w:after="0" w:before="0" w:line="240" w:lineRule="auto"/>
            </w:pPr>
            <w:r/>
            <w:r>
              <w:rPr>
                <w:rFonts w:ascii="Aptos" w:hAnsi="Aptos"/>
                <w:b w:val="0"/>
                <w:color w:val="111827"/>
                <w:sz w:val="12"/>
              </w:rPr>
              <w:t>$30</w:t>
            </w:r>
          </w:p>
        </w:tc>
        <w:tc>
          <w:tcPr>
            <w:tcW w:type="dxa" w:w="792"/>
            <w:vAlign w:val="center"/>
          </w:tcPr>
          <w:p>
            <w:pPr>
              <w:spacing w:after="0" w:before="0" w:line="240" w:lineRule="auto"/>
            </w:pPr>
            <w:r/>
            <w:r>
              <w:rPr>
                <w:rFonts w:ascii="Aptos" w:hAnsi="Aptos"/>
                <w:b w:val="0"/>
                <w:color w:val="111827"/>
                <w:sz w:val="12"/>
              </w:rPr>
              <w:t>12.0%</w:t>
            </w:r>
          </w:p>
        </w:tc>
        <w:tc>
          <w:tcPr>
            <w:tcW w:type="dxa" w:w="936"/>
            <w:vAlign w:val="center"/>
          </w:tcPr>
          <w:p>
            <w:pPr>
              <w:spacing w:after="0" w:before="0" w:line="240" w:lineRule="auto"/>
            </w:pPr>
            <w:r/>
            <w:r>
              <w:rPr>
                <w:rFonts w:ascii="Aptos" w:hAnsi="Aptos"/>
                <w:b w:val="0"/>
                <w:color w:val="111827"/>
                <w:sz w:val="12"/>
              </w:rPr>
              <w:t>3.0%</w:t>
            </w:r>
          </w:p>
        </w:tc>
        <w:tc>
          <w:tcPr>
            <w:tcW w:type="dxa" w:w="720"/>
            <w:vAlign w:val="center"/>
          </w:tcPr>
          <w:p>
            <w:pPr>
              <w:spacing w:after="0" w:before="0" w:line="240" w:lineRule="auto"/>
            </w:pPr>
            <w:r/>
            <w:r>
              <w:rPr>
                <w:rFonts w:ascii="Aptos" w:hAnsi="Aptos"/>
                <w:b w:val="0"/>
                <w:color w:val="111827"/>
                <w:sz w:val="12"/>
              </w:rPr>
              <w:t>5.0%</w:t>
            </w:r>
          </w:p>
        </w:tc>
      </w:tr>
      <w:tr>
        <w:tc>
          <w:tcPr>
            <w:tcW w:type="dxa" w:w="2232"/>
            <w:vAlign w:val="center"/>
            <w:shd w:fill="F5F7FA"/>
          </w:tcPr>
          <w:p>
            <w:pPr>
              <w:spacing w:after="0" w:before="0" w:line="240" w:lineRule="auto"/>
            </w:pPr>
            <w:r/>
            <w:r>
              <w:rPr>
                <w:rFonts w:ascii="Aptos" w:hAnsi="Aptos"/>
                <w:b/>
                <w:color w:val="111827"/>
                <w:sz w:val="12"/>
              </w:rPr>
              <w:t>Small appliance ($100)</w:t>
            </w:r>
          </w:p>
        </w:tc>
        <w:tc>
          <w:tcPr>
            <w:tcW w:type="dxa" w:w="648"/>
            <w:vAlign w:val="center"/>
            <w:shd w:fill="F5F7FA"/>
          </w:tcPr>
          <w:p>
            <w:pPr>
              <w:spacing w:after="0" w:before="0" w:line="240" w:lineRule="auto"/>
            </w:pPr>
            <w:r/>
            <w:r>
              <w:rPr>
                <w:rFonts w:ascii="Aptos" w:hAnsi="Aptos"/>
                <w:b w:val="0"/>
                <w:color w:val="111827"/>
                <w:sz w:val="12"/>
              </w:rPr>
              <w:t>$100</w:t>
            </w:r>
          </w:p>
        </w:tc>
        <w:tc>
          <w:tcPr>
            <w:tcW w:type="dxa" w:w="648"/>
            <w:vAlign w:val="center"/>
            <w:shd w:fill="F5F7FA"/>
          </w:tcPr>
          <w:p>
            <w:pPr>
              <w:spacing w:after="0" w:before="0" w:line="240" w:lineRule="auto"/>
            </w:pPr>
            <w:r/>
            <w:r>
              <w:rPr>
                <w:rFonts w:ascii="Aptos" w:hAnsi="Aptos"/>
                <w:b w:val="0"/>
                <w:color w:val="111827"/>
                <w:sz w:val="12"/>
              </w:rPr>
              <w:t>$42.00</w:t>
            </w:r>
          </w:p>
        </w:tc>
        <w:tc>
          <w:tcPr>
            <w:tcW w:type="dxa" w:w="648"/>
            <w:vAlign w:val="center"/>
            <w:shd w:fill="F5F7FA"/>
          </w:tcPr>
          <w:p>
            <w:pPr>
              <w:spacing w:after="0" w:before="0" w:line="240" w:lineRule="auto"/>
            </w:pPr>
            <w:r/>
            <w:r>
              <w:rPr>
                <w:rFonts w:ascii="Aptos" w:hAnsi="Aptos"/>
                <w:b w:val="0"/>
                <w:color w:val="111827"/>
                <w:sz w:val="12"/>
              </w:rPr>
              <w:t>42.0%</w:t>
            </w:r>
          </w:p>
        </w:tc>
        <w:tc>
          <w:tcPr>
            <w:tcW w:type="dxa" w:w="648"/>
            <w:vAlign w:val="center"/>
            <w:shd w:fill="F5F7FA"/>
          </w:tcPr>
          <w:p>
            <w:pPr>
              <w:spacing w:after="0" w:before="0" w:line="240" w:lineRule="auto"/>
            </w:pPr>
            <w:r/>
            <w:r>
              <w:rPr>
                <w:rFonts w:ascii="Aptos" w:hAnsi="Aptos"/>
                <w:b w:val="0"/>
                <w:color w:val="111827"/>
                <w:sz w:val="12"/>
              </w:rPr>
              <w:t>$10.00</w:t>
            </w:r>
          </w:p>
        </w:tc>
        <w:tc>
          <w:tcPr>
            <w:tcW w:type="dxa" w:w="576"/>
            <w:vAlign w:val="center"/>
            <w:shd w:fill="F5F7FA"/>
          </w:tcPr>
          <w:p>
            <w:pPr>
              <w:spacing w:after="0" w:before="0" w:line="240" w:lineRule="auto"/>
            </w:pPr>
            <w:r/>
            <w:r>
              <w:rPr>
                <w:rFonts w:ascii="Aptos" w:hAnsi="Aptos"/>
                <w:b w:val="0"/>
                <w:color w:val="111827"/>
                <w:sz w:val="12"/>
              </w:rPr>
              <w:t>$2.80</w:t>
            </w:r>
          </w:p>
        </w:tc>
        <w:tc>
          <w:tcPr>
            <w:tcW w:type="dxa" w:w="720"/>
            <w:vAlign w:val="center"/>
            <w:shd w:fill="F5F7FA"/>
          </w:tcPr>
          <w:p>
            <w:pPr>
              <w:spacing w:after="0" w:before="0" w:line="240" w:lineRule="auto"/>
            </w:pPr>
            <w:r/>
            <w:r>
              <w:rPr>
                <w:rFonts w:ascii="Aptos" w:hAnsi="Aptos"/>
                <w:b w:val="0"/>
                <w:color w:val="111827"/>
                <w:sz w:val="12"/>
              </w:rPr>
              <w:t>21.8</w:t>
            </w:r>
          </w:p>
        </w:tc>
        <w:tc>
          <w:tcPr>
            <w:tcW w:type="dxa" w:w="720"/>
            <w:vAlign w:val="center"/>
            <w:shd w:fill="F5F7FA"/>
          </w:tcPr>
          <w:p>
            <w:pPr>
              <w:spacing w:after="0" w:before="0" w:line="240" w:lineRule="auto"/>
            </w:pPr>
            <w:r/>
            <w:r>
              <w:rPr>
                <w:rFonts w:ascii="Aptos" w:hAnsi="Aptos"/>
                <w:b w:val="0"/>
                <w:color w:val="111827"/>
                <w:sz w:val="12"/>
              </w:rPr>
              <w:t>22</w:t>
            </w:r>
          </w:p>
        </w:tc>
        <w:tc>
          <w:tcPr>
            <w:tcW w:type="dxa" w:w="936"/>
            <w:vAlign w:val="center"/>
            <w:shd w:fill="F5F7FA"/>
          </w:tcPr>
          <w:p>
            <w:pPr>
              <w:spacing w:after="0" w:before="0" w:line="240" w:lineRule="auto"/>
            </w:pPr>
            <w:r/>
            <w:r>
              <w:rPr>
                <w:rFonts w:ascii="Aptos" w:hAnsi="Aptos"/>
                <w:b w:val="0"/>
                <w:color w:val="111827"/>
                <w:sz w:val="12"/>
              </w:rPr>
              <w:t>$4.55</w:t>
            </w:r>
          </w:p>
        </w:tc>
        <w:tc>
          <w:tcPr>
            <w:tcW w:type="dxa" w:w="720"/>
            <w:vAlign w:val="center"/>
            <w:shd w:fill="F5F7FA"/>
          </w:tcPr>
          <w:p>
            <w:pPr>
              <w:spacing w:after="0" w:before="0" w:line="240" w:lineRule="auto"/>
            </w:pPr>
            <w:r/>
            <w:r>
              <w:rPr>
                <w:rFonts w:ascii="Aptos" w:hAnsi="Aptos"/>
                <w:b w:val="0"/>
                <w:color w:val="111827"/>
                <w:sz w:val="12"/>
              </w:rPr>
              <w:t>10.0</w:t>
            </w:r>
          </w:p>
        </w:tc>
        <w:tc>
          <w:tcPr>
            <w:tcW w:type="dxa" w:w="720"/>
            <w:vAlign w:val="center"/>
            <w:shd w:fill="F5F7FA"/>
          </w:tcPr>
          <w:p>
            <w:pPr>
              <w:spacing w:after="0" w:before="0" w:line="240" w:lineRule="auto"/>
            </w:pPr>
            <w:r/>
            <w:r>
              <w:rPr>
                <w:rFonts w:ascii="Aptos" w:hAnsi="Aptos"/>
                <w:b w:val="0"/>
                <w:color w:val="111827"/>
                <w:sz w:val="12"/>
              </w:rPr>
              <w:t>$30</w:t>
            </w:r>
          </w:p>
        </w:tc>
        <w:tc>
          <w:tcPr>
            <w:tcW w:type="dxa" w:w="792"/>
            <w:vAlign w:val="center"/>
            <w:shd w:fill="F5F7FA"/>
          </w:tcPr>
          <w:p>
            <w:pPr>
              <w:spacing w:after="0" w:before="0" w:line="240" w:lineRule="auto"/>
            </w:pPr>
            <w:r/>
            <w:r>
              <w:rPr>
                <w:rFonts w:ascii="Aptos" w:hAnsi="Aptos"/>
                <w:b w:val="0"/>
                <w:color w:val="111827"/>
                <w:sz w:val="12"/>
              </w:rPr>
              <w:t>15.0%</w:t>
            </w:r>
          </w:p>
        </w:tc>
        <w:tc>
          <w:tcPr>
            <w:tcW w:type="dxa" w:w="936"/>
            <w:vAlign w:val="center"/>
            <w:shd w:fill="F5F7FA"/>
          </w:tcPr>
          <w:p>
            <w:pPr>
              <w:spacing w:after="0" w:before="0" w:line="240" w:lineRule="auto"/>
            </w:pPr>
            <w:r/>
            <w:r>
              <w:rPr>
                <w:rFonts w:ascii="Aptos" w:hAnsi="Aptos"/>
                <w:b w:val="0"/>
                <w:color w:val="111827"/>
                <w:sz w:val="12"/>
              </w:rPr>
              <w:t>1.0%</w:t>
            </w:r>
          </w:p>
        </w:tc>
        <w:tc>
          <w:tcPr>
            <w:tcW w:type="dxa" w:w="720"/>
            <w:vAlign w:val="center"/>
            <w:shd w:fill="F5F7FA"/>
          </w:tcPr>
          <w:p>
            <w:pPr>
              <w:spacing w:after="0" w:before="0" w:line="240" w:lineRule="auto"/>
            </w:pPr>
            <w:r/>
            <w:r>
              <w:rPr>
                <w:rFonts w:ascii="Aptos" w:hAnsi="Aptos"/>
                <w:b w:val="0"/>
                <w:color w:val="111827"/>
                <w:sz w:val="12"/>
              </w:rPr>
              <w:t>3.0%</w:t>
            </w:r>
          </w:p>
        </w:tc>
      </w:tr>
      <w:tr>
        <w:tc>
          <w:tcPr>
            <w:tcW w:type="dxa" w:w="2232"/>
            <w:vAlign w:val="center"/>
          </w:tcPr>
          <w:p>
            <w:pPr>
              <w:spacing w:after="0" w:before="0" w:line="240" w:lineRule="auto"/>
            </w:pPr>
            <w:r/>
            <w:r>
              <w:rPr>
                <w:rFonts w:ascii="Aptos" w:hAnsi="Aptos"/>
                <w:b/>
                <w:color w:val="111827"/>
                <w:sz w:val="12"/>
              </w:rPr>
              <w:t>Laptop/phone premium electronics ($500)</w:t>
            </w:r>
          </w:p>
        </w:tc>
        <w:tc>
          <w:tcPr>
            <w:tcW w:type="dxa" w:w="648"/>
            <w:vAlign w:val="center"/>
          </w:tcPr>
          <w:p>
            <w:pPr>
              <w:spacing w:after="0" w:before="0" w:line="240" w:lineRule="auto"/>
            </w:pPr>
            <w:r/>
            <w:r>
              <w:rPr>
                <w:rFonts w:ascii="Aptos" w:hAnsi="Aptos"/>
                <w:b w:val="0"/>
                <w:color w:val="111827"/>
                <w:sz w:val="12"/>
              </w:rPr>
              <w:t>$500</w:t>
            </w:r>
          </w:p>
        </w:tc>
        <w:tc>
          <w:tcPr>
            <w:tcW w:type="dxa" w:w="648"/>
            <w:vAlign w:val="center"/>
          </w:tcPr>
          <w:p>
            <w:pPr>
              <w:spacing w:after="0" w:before="0" w:line="240" w:lineRule="auto"/>
            </w:pPr>
            <w:r/>
            <w:r>
              <w:rPr>
                <w:rFonts w:ascii="Aptos" w:hAnsi="Aptos"/>
                <w:b w:val="0"/>
                <w:color w:val="111827"/>
                <w:sz w:val="12"/>
              </w:rPr>
              <w:t>$350.00</w:t>
            </w:r>
          </w:p>
        </w:tc>
        <w:tc>
          <w:tcPr>
            <w:tcW w:type="dxa" w:w="648"/>
            <w:vAlign w:val="center"/>
          </w:tcPr>
          <w:p>
            <w:pPr>
              <w:spacing w:after="0" w:before="0" w:line="240" w:lineRule="auto"/>
            </w:pPr>
            <w:r/>
            <w:r>
              <w:rPr>
                <w:rFonts w:ascii="Aptos" w:hAnsi="Aptos"/>
                <w:b w:val="0"/>
                <w:color w:val="111827"/>
                <w:sz w:val="12"/>
              </w:rPr>
              <w:t>70.0%</w:t>
            </w:r>
          </w:p>
        </w:tc>
        <w:tc>
          <w:tcPr>
            <w:tcW w:type="dxa" w:w="648"/>
            <w:vAlign w:val="center"/>
          </w:tcPr>
          <w:p>
            <w:pPr>
              <w:spacing w:after="0" w:before="0" w:line="240" w:lineRule="auto"/>
            </w:pPr>
            <w:r/>
            <w:r>
              <w:rPr>
                <w:rFonts w:ascii="Aptos" w:hAnsi="Aptos"/>
                <w:b w:val="0"/>
                <w:color w:val="111827"/>
                <w:sz w:val="12"/>
              </w:rPr>
              <w:t>$10.00</w:t>
            </w:r>
          </w:p>
        </w:tc>
        <w:tc>
          <w:tcPr>
            <w:tcW w:type="dxa" w:w="576"/>
            <w:vAlign w:val="center"/>
          </w:tcPr>
          <w:p>
            <w:pPr>
              <w:spacing w:after="0" w:before="0" w:line="240" w:lineRule="auto"/>
            </w:pPr>
            <w:r/>
            <w:r>
              <w:rPr>
                <w:rFonts w:ascii="Aptos" w:hAnsi="Aptos"/>
                <w:b w:val="0"/>
                <w:color w:val="111827"/>
                <w:sz w:val="12"/>
              </w:rPr>
              <w:t>$12.80</w:t>
            </w:r>
          </w:p>
        </w:tc>
        <w:tc>
          <w:tcPr>
            <w:tcW w:type="dxa" w:w="720"/>
            <w:vAlign w:val="center"/>
          </w:tcPr>
          <w:p>
            <w:pPr>
              <w:spacing w:after="0" w:before="0" w:line="240" w:lineRule="auto"/>
            </w:pPr>
            <w:r/>
            <w:r>
              <w:rPr>
                <w:rFonts w:ascii="Aptos" w:hAnsi="Aptos"/>
                <w:b w:val="0"/>
                <w:color w:val="111827"/>
                <w:sz w:val="12"/>
              </w:rPr>
              <w:t>6.7</w:t>
            </w:r>
          </w:p>
        </w:tc>
        <w:tc>
          <w:tcPr>
            <w:tcW w:type="dxa" w:w="720"/>
            <w:vAlign w:val="center"/>
          </w:tcPr>
          <w:p>
            <w:pPr>
              <w:spacing w:after="0" w:before="0" w:line="240" w:lineRule="auto"/>
            </w:pPr>
            <w:r/>
            <w:r>
              <w:rPr>
                <w:rFonts w:ascii="Aptos" w:hAnsi="Aptos"/>
                <w:b w:val="0"/>
                <w:color w:val="111827"/>
                <w:sz w:val="12"/>
              </w:rPr>
              <w:t>7</w:t>
            </w:r>
          </w:p>
        </w:tc>
        <w:tc>
          <w:tcPr>
            <w:tcW w:type="dxa" w:w="936"/>
            <w:vAlign w:val="center"/>
          </w:tcPr>
          <w:p>
            <w:pPr>
              <w:spacing w:after="0" w:before="0" w:line="240" w:lineRule="auto"/>
            </w:pPr>
            <w:r/>
            <w:r>
              <w:rPr>
                <w:rFonts w:ascii="Aptos" w:hAnsi="Aptos"/>
                <w:b w:val="0"/>
                <w:color w:val="111827"/>
                <w:sz w:val="12"/>
              </w:rPr>
              <w:t>$71.43</w:t>
            </w:r>
          </w:p>
        </w:tc>
        <w:tc>
          <w:tcPr>
            <w:tcW w:type="dxa" w:w="720"/>
            <w:vAlign w:val="center"/>
          </w:tcPr>
          <w:p>
            <w:pPr>
              <w:spacing w:after="0" w:before="0" w:line="240" w:lineRule="auto"/>
            </w:pPr>
            <w:r/>
            <w:r>
              <w:rPr>
                <w:rFonts w:ascii="Aptos" w:hAnsi="Aptos"/>
                <w:b w:val="0"/>
                <w:color w:val="111827"/>
                <w:sz w:val="12"/>
              </w:rPr>
              <w:t>18.0</w:t>
            </w:r>
          </w:p>
        </w:tc>
        <w:tc>
          <w:tcPr>
            <w:tcW w:type="dxa" w:w="720"/>
            <w:vAlign w:val="center"/>
          </w:tcPr>
          <w:p>
            <w:pPr>
              <w:spacing w:after="0" w:before="0" w:line="240" w:lineRule="auto"/>
            </w:pPr>
            <w:r/>
            <w:r>
              <w:rPr>
                <w:rFonts w:ascii="Aptos" w:hAnsi="Aptos"/>
                <w:b w:val="0"/>
                <w:color w:val="111827"/>
                <w:sz w:val="12"/>
              </w:rPr>
              <w:t>$34</w:t>
            </w:r>
          </w:p>
        </w:tc>
        <w:tc>
          <w:tcPr>
            <w:tcW w:type="dxa" w:w="792"/>
            <w:vAlign w:val="center"/>
          </w:tcPr>
          <w:p>
            <w:pPr>
              <w:spacing w:after="0" w:before="0" w:line="240" w:lineRule="auto"/>
            </w:pPr>
            <w:r/>
            <w:r>
              <w:rPr>
                <w:rFonts w:ascii="Aptos" w:hAnsi="Aptos"/>
                <w:b w:val="0"/>
                <w:color w:val="111827"/>
                <w:sz w:val="12"/>
              </w:rPr>
              <w:t>10.0%</w:t>
            </w:r>
          </w:p>
        </w:tc>
        <w:tc>
          <w:tcPr>
            <w:tcW w:type="dxa" w:w="936"/>
            <w:vAlign w:val="center"/>
          </w:tcPr>
          <w:p>
            <w:pPr>
              <w:spacing w:after="0" w:before="0" w:line="240" w:lineRule="auto"/>
            </w:pPr>
            <w:r/>
            <w:r>
              <w:rPr>
                <w:rFonts w:ascii="Aptos" w:hAnsi="Aptos"/>
                <w:b w:val="0"/>
                <w:color w:val="111827"/>
                <w:sz w:val="12"/>
              </w:rPr>
              <w:t>3.5%</w:t>
            </w:r>
          </w:p>
        </w:tc>
        <w:tc>
          <w:tcPr>
            <w:tcW w:type="dxa" w:w="720"/>
            <w:vAlign w:val="center"/>
          </w:tcPr>
          <w:p>
            <w:pPr>
              <w:spacing w:after="0" w:before="0" w:line="240" w:lineRule="auto"/>
            </w:pPr>
            <w:r/>
            <w:r>
              <w:rPr>
                <w:rFonts w:ascii="Aptos" w:hAnsi="Aptos"/>
                <w:b w:val="0"/>
                <w:color w:val="111827"/>
                <w:sz w:val="12"/>
              </w:rPr>
              <w:t>7.0%</w:t>
            </w:r>
          </w:p>
        </w:tc>
      </w:tr>
      <w:tr>
        <w:tc>
          <w:tcPr>
            <w:tcW w:type="dxa" w:w="2232"/>
            <w:vAlign w:val="center"/>
            <w:shd w:fill="F5F7FA"/>
          </w:tcPr>
          <w:p>
            <w:pPr>
              <w:spacing w:after="0" w:before="0" w:line="240" w:lineRule="auto"/>
            </w:pPr>
            <w:r/>
            <w:r>
              <w:rPr>
                <w:rFonts w:ascii="Aptos" w:hAnsi="Aptos"/>
                <w:b/>
                <w:color w:val="111827"/>
                <w:sz w:val="12"/>
              </w:rPr>
              <w:t>Furniture product ($500)</w:t>
            </w:r>
          </w:p>
        </w:tc>
        <w:tc>
          <w:tcPr>
            <w:tcW w:type="dxa" w:w="648"/>
            <w:vAlign w:val="center"/>
            <w:shd w:fill="F5F7FA"/>
          </w:tcPr>
          <w:p>
            <w:pPr>
              <w:spacing w:after="0" w:before="0" w:line="240" w:lineRule="auto"/>
            </w:pPr>
            <w:r/>
            <w:r>
              <w:rPr>
                <w:rFonts w:ascii="Aptos" w:hAnsi="Aptos"/>
                <w:b w:val="0"/>
                <w:color w:val="111827"/>
                <w:sz w:val="12"/>
              </w:rPr>
              <w:t>$500</w:t>
            </w:r>
          </w:p>
        </w:tc>
        <w:tc>
          <w:tcPr>
            <w:tcW w:type="dxa" w:w="648"/>
            <w:vAlign w:val="center"/>
            <w:shd w:fill="F5F7FA"/>
          </w:tcPr>
          <w:p>
            <w:pPr>
              <w:spacing w:after="0" w:before="0" w:line="240" w:lineRule="auto"/>
            </w:pPr>
            <w:r/>
            <w:r>
              <w:rPr>
                <w:rFonts w:ascii="Aptos" w:hAnsi="Aptos"/>
                <w:b w:val="0"/>
                <w:color w:val="111827"/>
                <w:sz w:val="12"/>
              </w:rPr>
              <w:t>$225.00</w:t>
            </w:r>
          </w:p>
        </w:tc>
        <w:tc>
          <w:tcPr>
            <w:tcW w:type="dxa" w:w="648"/>
            <w:vAlign w:val="center"/>
            <w:shd w:fill="F5F7FA"/>
          </w:tcPr>
          <w:p>
            <w:pPr>
              <w:spacing w:after="0" w:before="0" w:line="240" w:lineRule="auto"/>
            </w:pPr>
            <w:r/>
            <w:r>
              <w:rPr>
                <w:rFonts w:ascii="Aptos" w:hAnsi="Aptos"/>
                <w:b w:val="0"/>
                <w:color w:val="111827"/>
                <w:sz w:val="12"/>
              </w:rPr>
              <w:t>45.0%</w:t>
            </w:r>
          </w:p>
        </w:tc>
        <w:tc>
          <w:tcPr>
            <w:tcW w:type="dxa" w:w="648"/>
            <w:vAlign w:val="center"/>
            <w:shd w:fill="F5F7FA"/>
          </w:tcPr>
          <w:p>
            <w:pPr>
              <w:spacing w:after="0" w:before="0" w:line="240" w:lineRule="auto"/>
            </w:pPr>
            <w:r/>
            <w:r>
              <w:rPr>
                <w:rFonts w:ascii="Aptos" w:hAnsi="Aptos"/>
                <w:b w:val="0"/>
                <w:color w:val="111827"/>
                <w:sz w:val="12"/>
              </w:rPr>
              <w:t>$75.00</w:t>
            </w:r>
          </w:p>
        </w:tc>
        <w:tc>
          <w:tcPr>
            <w:tcW w:type="dxa" w:w="576"/>
            <w:vAlign w:val="center"/>
            <w:shd w:fill="F5F7FA"/>
          </w:tcPr>
          <w:p>
            <w:pPr>
              <w:spacing w:after="0" w:before="0" w:line="240" w:lineRule="auto"/>
            </w:pPr>
            <w:r/>
            <w:r>
              <w:rPr>
                <w:rFonts w:ascii="Aptos" w:hAnsi="Aptos"/>
                <w:b w:val="0"/>
                <w:color w:val="111827"/>
                <w:sz w:val="12"/>
              </w:rPr>
              <w:t>$12.80</w:t>
            </w:r>
          </w:p>
        </w:tc>
        <w:tc>
          <w:tcPr>
            <w:tcW w:type="dxa" w:w="720"/>
            <w:vAlign w:val="center"/>
            <w:shd w:fill="F5F7FA"/>
          </w:tcPr>
          <w:p>
            <w:pPr>
              <w:spacing w:after="0" w:before="0" w:line="240" w:lineRule="auto"/>
            </w:pPr>
            <w:r/>
            <w:r>
              <w:rPr>
                <w:rFonts w:ascii="Aptos" w:hAnsi="Aptos"/>
                <w:b w:val="0"/>
                <w:color w:val="111827"/>
                <w:sz w:val="12"/>
              </w:rPr>
              <w:t>138.1</w:t>
            </w:r>
          </w:p>
        </w:tc>
        <w:tc>
          <w:tcPr>
            <w:tcW w:type="dxa" w:w="720"/>
            <w:vAlign w:val="center"/>
            <w:shd w:fill="F5F7FA"/>
          </w:tcPr>
          <w:p>
            <w:pPr>
              <w:spacing w:after="0" w:before="0" w:line="240" w:lineRule="auto"/>
            </w:pPr>
            <w:r/>
            <w:r>
              <w:rPr>
                <w:rFonts w:ascii="Aptos" w:hAnsi="Aptos"/>
                <w:b w:val="0"/>
                <w:color w:val="111827"/>
                <w:sz w:val="12"/>
              </w:rPr>
              <w:t>139</w:t>
            </w:r>
          </w:p>
        </w:tc>
        <w:tc>
          <w:tcPr>
            <w:tcW w:type="dxa" w:w="936"/>
            <w:vAlign w:val="center"/>
            <w:shd w:fill="F5F7FA"/>
          </w:tcPr>
          <w:p>
            <w:pPr>
              <w:spacing w:after="0" w:before="0" w:line="240" w:lineRule="auto"/>
            </w:pPr>
            <w:r/>
            <w:r>
              <w:rPr>
                <w:rFonts w:ascii="Aptos" w:hAnsi="Aptos"/>
                <w:b w:val="0"/>
                <w:color w:val="111827"/>
                <w:sz w:val="12"/>
              </w:rPr>
              <w:t>$3.60</w:t>
            </w:r>
          </w:p>
        </w:tc>
        <w:tc>
          <w:tcPr>
            <w:tcW w:type="dxa" w:w="720"/>
            <w:vAlign w:val="center"/>
            <w:shd w:fill="F5F7FA"/>
          </w:tcPr>
          <w:p>
            <w:pPr>
              <w:spacing w:after="0" w:before="0" w:line="240" w:lineRule="auto"/>
            </w:pPr>
            <w:r/>
            <w:r>
              <w:rPr>
                <w:rFonts w:ascii="Aptos" w:hAnsi="Aptos"/>
                <w:b w:val="0"/>
                <w:color w:val="111827"/>
                <w:sz w:val="12"/>
              </w:rPr>
              <w:t>20.0</w:t>
            </w:r>
          </w:p>
        </w:tc>
        <w:tc>
          <w:tcPr>
            <w:tcW w:type="dxa" w:w="720"/>
            <w:vAlign w:val="center"/>
            <w:shd w:fill="F5F7FA"/>
          </w:tcPr>
          <w:p>
            <w:pPr>
              <w:spacing w:after="0" w:before="0" w:line="240" w:lineRule="auto"/>
            </w:pPr>
            <w:r/>
            <w:r>
              <w:rPr>
                <w:rFonts w:ascii="Aptos" w:hAnsi="Aptos"/>
                <w:b w:val="0"/>
                <w:color w:val="111827"/>
                <w:sz w:val="12"/>
              </w:rPr>
              <w:t>$30</w:t>
            </w:r>
          </w:p>
        </w:tc>
        <w:tc>
          <w:tcPr>
            <w:tcW w:type="dxa" w:w="792"/>
            <w:vAlign w:val="center"/>
            <w:shd w:fill="F5F7FA"/>
          </w:tcPr>
          <w:p>
            <w:pPr>
              <w:spacing w:after="0" w:before="0" w:line="240" w:lineRule="auto"/>
            </w:pPr>
            <w:r/>
            <w:r>
              <w:rPr>
                <w:rFonts w:ascii="Aptos" w:hAnsi="Aptos"/>
                <w:b w:val="0"/>
                <w:color w:val="111827"/>
                <w:sz w:val="12"/>
              </w:rPr>
              <w:t>18.0%</w:t>
            </w:r>
          </w:p>
        </w:tc>
        <w:tc>
          <w:tcPr>
            <w:tcW w:type="dxa" w:w="936"/>
            <w:vAlign w:val="center"/>
            <w:shd w:fill="F5F7FA"/>
          </w:tcPr>
          <w:p>
            <w:pPr>
              <w:spacing w:after="0" w:before="0" w:line="240" w:lineRule="auto"/>
            </w:pPr>
            <w:r/>
            <w:r>
              <w:rPr>
                <w:rFonts w:ascii="Aptos" w:hAnsi="Aptos"/>
                <w:b w:val="0"/>
                <w:color w:val="111827"/>
                <w:sz w:val="12"/>
              </w:rPr>
              <w:t>0.7%</w:t>
            </w:r>
          </w:p>
        </w:tc>
        <w:tc>
          <w:tcPr>
            <w:tcW w:type="dxa" w:w="720"/>
            <w:vAlign w:val="center"/>
            <w:shd w:fill="F5F7FA"/>
          </w:tcPr>
          <w:p>
            <w:pPr>
              <w:spacing w:after="0" w:before="0" w:line="240" w:lineRule="auto"/>
            </w:pPr>
            <w:r/>
            <w:r>
              <w:rPr>
                <w:rFonts w:ascii="Aptos" w:hAnsi="Aptos"/>
                <w:b w:val="0"/>
                <w:color w:val="111827"/>
                <w:sz w:val="12"/>
              </w:rPr>
              <w:t>1.0%</w:t>
            </w:r>
          </w:p>
        </w:tc>
      </w:tr>
      <w:tr>
        <w:tc>
          <w:tcPr>
            <w:tcW w:type="dxa" w:w="2232"/>
            <w:vAlign w:val="center"/>
          </w:tcPr>
          <w:p>
            <w:pPr>
              <w:spacing w:after="0" w:before="0" w:line="240" w:lineRule="auto"/>
            </w:pPr>
            <w:r/>
            <w:r>
              <w:rPr>
                <w:rFonts w:ascii="Aptos" w:hAnsi="Aptos"/>
                <w:b/>
                <w:color w:val="111827"/>
                <w:sz w:val="12"/>
              </w:rPr>
              <w:t>Premium apparel/accessory ($500)</w:t>
            </w:r>
          </w:p>
        </w:tc>
        <w:tc>
          <w:tcPr>
            <w:tcW w:type="dxa" w:w="648"/>
            <w:vAlign w:val="center"/>
          </w:tcPr>
          <w:p>
            <w:pPr>
              <w:spacing w:after="0" w:before="0" w:line="240" w:lineRule="auto"/>
            </w:pPr>
            <w:r/>
            <w:r>
              <w:rPr>
                <w:rFonts w:ascii="Aptos" w:hAnsi="Aptos"/>
                <w:b w:val="0"/>
                <w:color w:val="111827"/>
                <w:sz w:val="12"/>
              </w:rPr>
              <w:t>$500</w:t>
            </w:r>
          </w:p>
        </w:tc>
        <w:tc>
          <w:tcPr>
            <w:tcW w:type="dxa" w:w="648"/>
            <w:vAlign w:val="center"/>
          </w:tcPr>
          <w:p>
            <w:pPr>
              <w:spacing w:after="0" w:before="0" w:line="240" w:lineRule="auto"/>
            </w:pPr>
            <w:r/>
            <w:r>
              <w:rPr>
                <w:rFonts w:ascii="Aptos" w:hAnsi="Aptos"/>
                <w:b w:val="0"/>
                <w:color w:val="111827"/>
                <w:sz w:val="12"/>
              </w:rPr>
              <w:t>$150.00</w:t>
            </w:r>
          </w:p>
        </w:tc>
        <w:tc>
          <w:tcPr>
            <w:tcW w:type="dxa" w:w="648"/>
            <w:vAlign w:val="center"/>
          </w:tcPr>
          <w:p>
            <w:pPr>
              <w:spacing w:after="0" w:before="0" w:line="240" w:lineRule="auto"/>
            </w:pPr>
            <w:r/>
            <w:r>
              <w:rPr>
                <w:rFonts w:ascii="Aptos" w:hAnsi="Aptos"/>
                <w:b w:val="0"/>
                <w:color w:val="111827"/>
                <w:sz w:val="12"/>
              </w:rPr>
              <w:t>30.0%</w:t>
            </w:r>
          </w:p>
        </w:tc>
        <w:tc>
          <w:tcPr>
            <w:tcW w:type="dxa" w:w="648"/>
            <w:vAlign w:val="center"/>
          </w:tcPr>
          <w:p>
            <w:pPr>
              <w:spacing w:after="0" w:before="0" w:line="240" w:lineRule="auto"/>
            </w:pPr>
            <w:r/>
            <w:r>
              <w:rPr>
                <w:rFonts w:ascii="Aptos" w:hAnsi="Aptos"/>
                <w:b w:val="0"/>
                <w:color w:val="111827"/>
                <w:sz w:val="12"/>
              </w:rPr>
              <w:t>$12.00</w:t>
            </w:r>
          </w:p>
        </w:tc>
        <w:tc>
          <w:tcPr>
            <w:tcW w:type="dxa" w:w="576"/>
            <w:vAlign w:val="center"/>
          </w:tcPr>
          <w:p>
            <w:pPr>
              <w:spacing w:after="0" w:before="0" w:line="240" w:lineRule="auto"/>
            </w:pPr>
            <w:r/>
            <w:r>
              <w:rPr>
                <w:rFonts w:ascii="Aptos" w:hAnsi="Aptos"/>
                <w:b w:val="0"/>
                <w:color w:val="111827"/>
                <w:sz w:val="12"/>
              </w:rPr>
              <w:t>$12.80</w:t>
            </w:r>
          </w:p>
        </w:tc>
        <w:tc>
          <w:tcPr>
            <w:tcW w:type="dxa" w:w="720"/>
            <w:vAlign w:val="center"/>
          </w:tcPr>
          <w:p>
            <w:pPr>
              <w:spacing w:after="0" w:before="0" w:line="240" w:lineRule="auto"/>
            </w:pPr>
            <w:r/>
            <w:r>
              <w:rPr>
                <w:rFonts w:ascii="Aptos" w:hAnsi="Aptos"/>
                <w:b w:val="0"/>
                <w:color w:val="111827"/>
                <w:sz w:val="12"/>
              </w:rPr>
              <w:t>8.3</w:t>
            </w:r>
          </w:p>
        </w:tc>
        <w:tc>
          <w:tcPr>
            <w:tcW w:type="dxa" w:w="720"/>
            <w:vAlign w:val="center"/>
          </w:tcPr>
          <w:p>
            <w:pPr>
              <w:spacing w:after="0" w:before="0" w:line="240" w:lineRule="auto"/>
            </w:pPr>
            <w:r/>
            <w:r>
              <w:rPr>
                <w:rFonts w:ascii="Aptos" w:hAnsi="Aptos"/>
                <w:b w:val="0"/>
                <w:color w:val="111827"/>
                <w:sz w:val="12"/>
              </w:rPr>
              <w:t>9</w:t>
            </w:r>
          </w:p>
        </w:tc>
        <w:tc>
          <w:tcPr>
            <w:tcW w:type="dxa" w:w="936"/>
            <w:vAlign w:val="center"/>
          </w:tcPr>
          <w:p>
            <w:pPr>
              <w:spacing w:after="0" w:before="0" w:line="240" w:lineRule="auto"/>
            </w:pPr>
            <w:r/>
            <w:r>
              <w:rPr>
                <w:rFonts w:ascii="Aptos" w:hAnsi="Aptos"/>
                <w:b w:val="0"/>
                <w:color w:val="111827"/>
                <w:sz w:val="12"/>
              </w:rPr>
              <w:t>$55.56</w:t>
            </w:r>
          </w:p>
        </w:tc>
        <w:tc>
          <w:tcPr>
            <w:tcW w:type="dxa" w:w="720"/>
            <w:vAlign w:val="center"/>
          </w:tcPr>
          <w:p>
            <w:pPr>
              <w:spacing w:after="0" w:before="0" w:line="240" w:lineRule="auto"/>
            </w:pPr>
            <w:r/>
            <w:r>
              <w:rPr>
                <w:rFonts w:ascii="Aptos" w:hAnsi="Aptos"/>
                <w:b w:val="0"/>
                <w:color w:val="111827"/>
                <w:sz w:val="12"/>
              </w:rPr>
              <w:t>10.0</w:t>
            </w:r>
          </w:p>
        </w:tc>
        <w:tc>
          <w:tcPr>
            <w:tcW w:type="dxa" w:w="720"/>
            <w:vAlign w:val="center"/>
          </w:tcPr>
          <w:p>
            <w:pPr>
              <w:spacing w:after="0" w:before="0" w:line="240" w:lineRule="auto"/>
            </w:pPr>
            <w:r/>
            <w:r>
              <w:rPr>
                <w:rFonts w:ascii="Aptos" w:hAnsi="Aptos"/>
                <w:b w:val="0"/>
                <w:color w:val="111827"/>
                <w:sz w:val="12"/>
              </w:rPr>
              <w:t>$36</w:t>
            </w:r>
          </w:p>
        </w:tc>
        <w:tc>
          <w:tcPr>
            <w:tcW w:type="dxa" w:w="792"/>
            <w:vAlign w:val="center"/>
          </w:tcPr>
          <w:p>
            <w:pPr>
              <w:spacing w:after="0" w:before="0" w:line="240" w:lineRule="auto"/>
            </w:pPr>
            <w:r/>
            <w:r>
              <w:rPr>
                <w:rFonts w:ascii="Aptos" w:hAnsi="Aptos"/>
                <w:b w:val="0"/>
                <w:color w:val="111827"/>
                <w:sz w:val="12"/>
              </w:rPr>
              <w:t>20.0%</w:t>
            </w:r>
          </w:p>
        </w:tc>
        <w:tc>
          <w:tcPr>
            <w:tcW w:type="dxa" w:w="936"/>
            <w:vAlign w:val="center"/>
          </w:tcPr>
          <w:p>
            <w:pPr>
              <w:spacing w:after="0" w:before="0" w:line="240" w:lineRule="auto"/>
            </w:pPr>
            <w:r/>
            <w:r>
              <w:rPr>
                <w:rFonts w:ascii="Aptos" w:hAnsi="Aptos"/>
                <w:b w:val="0"/>
                <w:color w:val="111827"/>
                <w:sz w:val="12"/>
              </w:rPr>
              <w:t>1.5%</w:t>
            </w:r>
          </w:p>
        </w:tc>
        <w:tc>
          <w:tcPr>
            <w:tcW w:type="dxa" w:w="720"/>
            <w:vAlign w:val="center"/>
          </w:tcPr>
          <w:p>
            <w:pPr>
              <w:spacing w:after="0" w:before="0" w:line="240" w:lineRule="auto"/>
            </w:pPr>
            <w:r/>
            <w:r>
              <w:rPr>
                <w:rFonts w:ascii="Aptos" w:hAnsi="Aptos"/>
                <w:b w:val="0"/>
                <w:color w:val="111827"/>
                <w:sz w:val="12"/>
              </w:rPr>
              <w:t>7.0%</w:t>
            </w:r>
          </w:p>
        </w:tc>
      </w:tr>
    </w:tbl>
    <w:p>
      <w:pPr>
        <w:spacing w:after="0"/>
      </w:pPr>
    </w:p>
    <w:p>
      <w:pPr>
        <w:pStyle w:val="Caption"/>
        <w:jc w:val="left"/>
      </w:pPr>
      <w:r>
        <w:rPr>
          <w:b/>
        </w:rPr>
        <w:t>Appendix Table A1. Product inputs</w:t>
      </w:r>
      <w:r>
        <w:rPr>
          <w:i/>
          <w:color w:val="6B7280"/>
        </w:rPr>
        <w:t xml:space="preserve">  Source: R fixed by assignment. Other inputs are assumptions/proxies unless noted.</w:t>
      </w:r>
    </w:p>
    <w:p>
      <w:pPr>
        <w:pStyle w:val="Heading2"/>
      </w:pPr>
      <w:r>
        <w:t>Base condition-to-disposition selections</w:t>
      </w:r>
    </w:p>
    <w:tbl>
      <w:tblPr>
        <w:tblStyle w:val="TableGrid"/>
        <w:tblW w:type="auto" w:w="0"/>
        <w:jc w:val="center"/>
        <w:tblLayout w:type="fixed"/>
        <w:tblLook w:firstColumn="1" w:firstRow="1" w:lastColumn="0" w:lastRow="0" w:noHBand="0" w:noVBand="1" w:val="04A0"/>
      </w:tblPr>
      <w:tblGrid>
        <w:gridCol w:w="1097"/>
        <w:gridCol w:w="1097"/>
        <w:gridCol w:w="1097"/>
        <w:gridCol w:w="1097"/>
        <w:gridCol w:w="1097"/>
        <w:gridCol w:w="1097"/>
        <w:gridCol w:w="1097"/>
        <w:gridCol w:w="1097"/>
        <w:gridCol w:w="1097"/>
        <w:gridCol w:w="1097"/>
        <w:gridCol w:w="1097"/>
        <w:gridCol w:w="1097"/>
        <w:gridCol w:w="1097"/>
      </w:tblGrid>
      <w:tr>
        <w:trPr>
          <w:tblHeader w:val="true"/>
        </w:trPr>
        <w:tc>
          <w:tcPr>
            <w:tcW w:type="dxa" w:w="2088"/>
            <w:vAlign w:val="center"/>
            <w:shd w:fill="17324D"/>
            <w:tcBorders>
              <w:bottom w:val="single" w:sz="8" w:color="FFFFFF"/>
            </w:tcBorders>
          </w:tcPr>
          <w:p>
            <w:pPr>
              <w:spacing w:after="0" w:before="0" w:line="240" w:lineRule="auto"/>
              <w:jc w:val="left"/>
            </w:pPr>
            <w:r/>
            <w:r>
              <w:rPr>
                <w:rFonts w:ascii="Aptos" w:hAnsi="Aptos"/>
                <w:b/>
                <w:color w:val="FFFFFF"/>
                <w:sz w:val="11"/>
              </w:rPr>
              <w:t>Product</w:t>
            </w:r>
          </w:p>
        </w:tc>
        <w:tc>
          <w:tcPr>
            <w:tcW w:type="dxa" w:w="1584"/>
            <w:vAlign w:val="center"/>
            <w:shd w:fill="17324D"/>
            <w:tcBorders>
              <w:bottom w:val="single" w:sz="8" w:color="FFFFFF"/>
            </w:tcBorders>
          </w:tcPr>
          <w:p>
            <w:pPr>
              <w:spacing w:after="0" w:before="0" w:line="240" w:lineRule="auto"/>
              <w:jc w:val="left"/>
            </w:pPr>
            <w:r/>
            <w:r>
              <w:rPr>
                <w:rFonts w:ascii="Aptos" w:hAnsi="Aptos"/>
                <w:b/>
                <w:color w:val="FFFFFF"/>
                <w:sz w:val="11"/>
              </w:rPr>
              <w:t>Condition</w:t>
            </w:r>
          </w:p>
        </w:tc>
        <w:tc>
          <w:tcPr>
            <w:tcW w:type="dxa" w:w="576"/>
            <w:vAlign w:val="center"/>
            <w:shd w:fill="17324D"/>
            <w:tcBorders>
              <w:bottom w:val="single" w:sz="8" w:color="FFFFFF"/>
            </w:tcBorders>
          </w:tcPr>
          <w:p>
            <w:pPr>
              <w:spacing w:after="0" w:before="0" w:line="240" w:lineRule="auto"/>
              <w:jc w:val="left"/>
            </w:pPr>
            <w:r/>
            <w:r>
              <w:rPr>
                <w:rFonts w:ascii="Aptos" w:hAnsi="Aptos"/>
                <w:b/>
                <w:color w:val="FFFFFF"/>
                <w:sz w:val="11"/>
              </w:rPr>
              <w:t>Q</w:t>
            </w:r>
          </w:p>
        </w:tc>
        <w:tc>
          <w:tcPr>
            <w:tcW w:type="dxa" w:w="1512"/>
            <w:vAlign w:val="center"/>
            <w:shd w:fill="17324D"/>
            <w:tcBorders>
              <w:bottom w:val="single" w:sz="8" w:color="FFFFFF"/>
            </w:tcBorders>
          </w:tcPr>
          <w:p>
            <w:pPr>
              <w:spacing w:after="0" w:before="0" w:line="240" w:lineRule="auto"/>
              <w:jc w:val="left"/>
            </w:pPr>
            <w:r/>
            <w:r>
              <w:rPr>
                <w:rFonts w:ascii="Aptos" w:hAnsi="Aptos"/>
                <w:b/>
                <w:color w:val="FFFFFF"/>
                <w:sz w:val="11"/>
              </w:rPr>
              <w:t>Selected disposition</w:t>
            </w:r>
          </w:p>
        </w:tc>
        <w:tc>
          <w:tcPr>
            <w:tcW w:type="dxa" w:w="864"/>
            <w:vAlign w:val="center"/>
            <w:shd w:fill="17324D"/>
            <w:tcBorders>
              <w:bottom w:val="single" w:sz="8" w:color="FFFFFF"/>
            </w:tcBorders>
          </w:tcPr>
          <w:p>
            <w:pPr>
              <w:spacing w:after="0" w:before="0" w:line="240" w:lineRule="auto"/>
              <w:jc w:val="left"/>
            </w:pPr>
            <w:r/>
            <w:r>
              <w:rPr>
                <w:rFonts w:ascii="Aptos" w:hAnsi="Aptos"/>
                <w:b/>
                <w:color w:val="FFFFFF"/>
                <w:sz w:val="11"/>
              </w:rPr>
              <w:t>Gross proceeds</w:t>
            </w:r>
          </w:p>
        </w:tc>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1"/>
              </w:rPr>
              <w:t>U</w:t>
            </w:r>
          </w:p>
        </w:tc>
        <w:tc>
          <w:tcPr>
            <w:tcW w:type="dxa" w:w="576"/>
            <w:vAlign w:val="center"/>
            <w:shd w:fill="17324D"/>
            <w:tcBorders>
              <w:bottom w:val="single" w:sz="8" w:color="FFFFFF"/>
            </w:tcBorders>
          </w:tcPr>
          <w:p>
            <w:pPr>
              <w:spacing w:after="0" w:before="0" w:line="240" w:lineRule="auto"/>
              <w:jc w:val="left"/>
            </w:pPr>
            <w:r/>
            <w:r>
              <w:rPr>
                <w:rFonts w:ascii="Aptos" w:hAnsi="Aptos"/>
                <w:b/>
                <w:color w:val="FFFFFF"/>
                <w:sz w:val="11"/>
              </w:rPr>
              <w:t>S</w:t>
            </w:r>
          </w:p>
        </w:tc>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1"/>
              </w:rPr>
              <w:t>M</w:t>
            </w:r>
          </w:p>
        </w:tc>
        <w:tc>
          <w:tcPr>
            <w:tcW w:type="dxa" w:w="648"/>
            <w:vAlign w:val="center"/>
            <w:shd w:fill="17324D"/>
            <w:tcBorders>
              <w:bottom w:val="single" w:sz="8" w:color="FFFFFF"/>
            </w:tcBorders>
          </w:tcPr>
          <w:p>
            <w:pPr>
              <w:spacing w:after="0" w:before="0" w:line="240" w:lineRule="auto"/>
              <w:jc w:val="left"/>
            </w:pPr>
            <w:r/>
            <w:r>
              <w:rPr>
                <w:rFonts w:ascii="Aptos" w:hAnsi="Aptos"/>
                <w:b/>
                <w:color w:val="FFFFFF"/>
                <w:sz w:val="11"/>
              </w:rPr>
              <w:t>T</w:t>
            </w:r>
          </w:p>
        </w:tc>
        <w:tc>
          <w:tcPr>
            <w:tcW w:type="dxa" w:w="576"/>
            <w:vAlign w:val="center"/>
            <w:shd w:fill="17324D"/>
            <w:tcBorders>
              <w:bottom w:val="single" w:sz="8" w:color="FFFFFF"/>
            </w:tcBorders>
          </w:tcPr>
          <w:p>
            <w:pPr>
              <w:spacing w:after="0" w:before="0" w:line="240" w:lineRule="auto"/>
              <w:jc w:val="left"/>
            </w:pPr>
            <w:r/>
            <w:r>
              <w:rPr>
                <w:rFonts w:ascii="Aptos" w:hAnsi="Aptos"/>
                <w:b/>
                <w:color w:val="FFFFFF"/>
                <w:sz w:val="11"/>
              </w:rPr>
              <w:t>D</w:t>
            </w:r>
          </w:p>
        </w:tc>
        <w:tc>
          <w:tcPr>
            <w:tcW w:type="dxa" w:w="576"/>
            <w:vAlign w:val="center"/>
            <w:shd w:fill="17324D"/>
            <w:tcBorders>
              <w:bottom w:val="single" w:sz="8" w:color="FFFFFF"/>
            </w:tcBorders>
          </w:tcPr>
          <w:p>
            <w:pPr>
              <w:spacing w:after="0" w:before="0" w:line="240" w:lineRule="auto"/>
              <w:jc w:val="left"/>
            </w:pPr>
            <w:r/>
            <w:r>
              <w:rPr>
                <w:rFonts w:ascii="Aptos" w:hAnsi="Aptos"/>
                <w:b/>
                <w:color w:val="FFFFFF"/>
                <w:sz w:val="11"/>
              </w:rPr>
              <w:t>Days</w:t>
            </w:r>
          </w:p>
        </w:tc>
        <w:tc>
          <w:tcPr>
            <w:tcW w:type="dxa" w:w="792"/>
            <w:vAlign w:val="center"/>
            <w:shd w:fill="17324D"/>
            <w:tcBorders>
              <w:bottom w:val="single" w:sz="8" w:color="FFFFFF"/>
            </w:tcBorders>
          </w:tcPr>
          <w:p>
            <w:pPr>
              <w:spacing w:after="0" w:before="0" w:line="240" w:lineRule="auto"/>
              <w:jc w:val="left"/>
            </w:pPr>
            <w:r/>
            <w:r>
              <w:rPr>
                <w:rFonts w:ascii="Aptos" w:hAnsi="Aptos"/>
                <w:b/>
                <w:color w:val="FFFFFF"/>
                <w:sz w:val="11"/>
              </w:rPr>
              <w:t>PV recovery</w:t>
            </w:r>
          </w:p>
        </w:tc>
        <w:tc>
          <w:tcPr>
            <w:tcW w:type="dxa" w:w="792"/>
            <w:vAlign w:val="center"/>
            <w:shd w:fill="17324D"/>
            <w:tcBorders>
              <w:bottom w:val="single" w:sz="8" w:color="FFFFFF"/>
            </w:tcBorders>
          </w:tcPr>
          <w:p>
            <w:pPr>
              <w:spacing w:after="0" w:before="0" w:line="240" w:lineRule="auto"/>
              <w:jc w:val="left"/>
            </w:pPr>
            <w:r/>
            <w:r>
              <w:rPr>
                <w:rFonts w:ascii="Aptos" w:hAnsi="Aptos"/>
                <w:b/>
                <w:color w:val="FFFFFF"/>
                <w:sz w:val="11"/>
              </w:rPr>
              <w:t>Q x PV</w:t>
            </w:r>
          </w:p>
        </w:tc>
      </w:tr>
      <w:tr>
        <w:tc>
          <w:tcPr>
            <w:tcW w:type="dxa" w:w="2088"/>
            <w:vAlign w:val="center"/>
          </w:tcPr>
          <w:p>
            <w:pPr>
              <w:spacing w:after="0" w:before="0" w:line="240" w:lineRule="auto"/>
            </w:pPr>
            <w:r/>
            <w:r>
              <w:rPr>
                <w:rFonts w:ascii="Aptos" w:hAnsi="Aptos"/>
                <w:b/>
                <w:color w:val="111827"/>
                <w:sz w:val="11"/>
              </w:rPr>
              <w:t>Basic clothing item ($20)</w:t>
            </w:r>
          </w:p>
        </w:tc>
        <w:tc>
          <w:tcPr>
            <w:tcW w:type="dxa" w:w="1584"/>
            <w:vAlign w:val="center"/>
          </w:tcPr>
          <w:p>
            <w:pPr>
              <w:spacing w:after="0" w:before="0" w:line="240" w:lineRule="auto"/>
            </w:pPr>
            <w:r/>
            <w:r>
              <w:rPr>
                <w:rFonts w:ascii="Aptos" w:hAnsi="Aptos"/>
                <w:b w:val="0"/>
                <w:color w:val="111827"/>
                <w:sz w:val="11"/>
              </w:rPr>
              <w:t>Unopened</w:t>
            </w:r>
          </w:p>
        </w:tc>
        <w:tc>
          <w:tcPr>
            <w:tcW w:type="dxa" w:w="576"/>
            <w:vAlign w:val="center"/>
          </w:tcPr>
          <w:p>
            <w:pPr>
              <w:spacing w:after="0" w:before="0" w:line="240" w:lineRule="auto"/>
            </w:pPr>
            <w:r/>
            <w:r>
              <w:rPr>
                <w:rFonts w:ascii="Aptos" w:hAnsi="Aptos"/>
                <w:b w:val="0"/>
                <w:color w:val="111827"/>
                <w:sz w:val="11"/>
              </w:rPr>
              <w:t>20.0%</w:t>
            </w:r>
          </w:p>
        </w:tc>
        <w:tc>
          <w:tcPr>
            <w:tcW w:type="dxa" w:w="1512"/>
            <w:vAlign w:val="center"/>
          </w:tcPr>
          <w:p>
            <w:pPr>
              <w:spacing w:after="0" w:before="0" w:line="240" w:lineRule="auto"/>
            </w:pPr>
            <w:r/>
            <w:r>
              <w:rPr>
                <w:rFonts w:ascii="Aptos" w:hAnsi="Aptos"/>
                <w:b w:val="0"/>
                <w:color w:val="111827"/>
                <w:sz w:val="11"/>
              </w:rPr>
              <w:t>Restock as new</w:t>
            </w:r>
          </w:p>
        </w:tc>
        <w:tc>
          <w:tcPr>
            <w:tcW w:type="dxa" w:w="864"/>
            <w:vAlign w:val="center"/>
          </w:tcPr>
          <w:p>
            <w:pPr>
              <w:spacing w:after="0" w:before="0" w:line="240" w:lineRule="auto"/>
            </w:pPr>
            <w:r/>
            <w:r>
              <w:rPr>
                <w:rFonts w:ascii="Aptos" w:hAnsi="Aptos"/>
                <w:b w:val="0"/>
                <w:color w:val="111827"/>
                <w:sz w:val="11"/>
              </w:rPr>
              <w:t>$19.87</w:t>
            </w:r>
          </w:p>
        </w:tc>
        <w:tc>
          <w:tcPr>
            <w:tcW w:type="dxa" w:w="648"/>
            <w:vAlign w:val="center"/>
          </w:tcPr>
          <w:p>
            <w:pPr>
              <w:spacing w:after="0" w:before="0" w:line="240" w:lineRule="auto"/>
            </w:pPr>
            <w:r/>
            <w:r>
              <w:rPr>
                <w:rFonts w:ascii="Aptos" w:hAnsi="Aptos"/>
                <w:b w:val="0"/>
                <w:color w:val="111827"/>
                <w:sz w:val="11"/>
              </w:rPr>
              <w:t>$0.32</w:t>
            </w:r>
          </w:p>
        </w:tc>
        <w:tc>
          <w:tcPr>
            <w:tcW w:type="dxa" w:w="576"/>
            <w:vAlign w:val="center"/>
          </w:tcPr>
          <w:p>
            <w:pPr>
              <w:spacing w:after="0" w:before="0" w:line="240" w:lineRule="auto"/>
            </w:pPr>
            <w:r/>
            <w:r>
              <w:rPr>
                <w:rFonts w:ascii="Aptos" w:hAnsi="Aptos"/>
                <w:b w:val="0"/>
                <w:color w:val="111827"/>
                <w:sz w:val="11"/>
              </w:rPr>
              <w:t>$0.15</w:t>
            </w:r>
          </w:p>
        </w:tc>
        <w:tc>
          <w:tcPr>
            <w:tcW w:type="dxa" w:w="648"/>
            <w:vAlign w:val="center"/>
          </w:tcPr>
          <w:p>
            <w:pPr>
              <w:spacing w:after="0" w:before="0" w:line="240" w:lineRule="auto"/>
            </w:pPr>
            <w:r/>
            <w:r>
              <w:rPr>
                <w:rFonts w:ascii="Aptos" w:hAnsi="Aptos"/>
                <w:b w:val="0"/>
                <w:color w:val="111827"/>
                <w:sz w:val="11"/>
              </w:rPr>
              <w:t>$0.56</w:t>
            </w:r>
          </w:p>
        </w:tc>
        <w:tc>
          <w:tcPr>
            <w:tcW w:type="dxa" w:w="648"/>
            <w:vAlign w:val="center"/>
          </w:tcPr>
          <w:p>
            <w:pPr>
              <w:spacing w:after="0" w:before="0" w:line="240" w:lineRule="auto"/>
            </w:pPr>
            <w:r/>
            <w:r>
              <w:rPr>
                <w:rFonts w:ascii="Aptos" w:hAnsi="Aptos"/>
                <w:b w:val="0"/>
                <w:color w:val="111827"/>
                <w:sz w:val="11"/>
              </w:rPr>
              <w:t>$4.50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10</w:t>
            </w:r>
          </w:p>
        </w:tc>
        <w:tc>
          <w:tcPr>
            <w:tcW w:type="dxa" w:w="792"/>
            <w:vAlign w:val="center"/>
          </w:tcPr>
          <w:p>
            <w:pPr>
              <w:spacing w:after="0" w:before="0" w:line="240" w:lineRule="auto"/>
            </w:pPr>
            <w:r/>
            <w:r>
              <w:rPr>
                <w:rFonts w:ascii="Aptos" w:hAnsi="Aptos"/>
                <w:b w:val="0"/>
                <w:color w:val="111827"/>
                <w:sz w:val="11"/>
              </w:rPr>
              <w:t>$14.30</w:t>
            </w:r>
          </w:p>
        </w:tc>
        <w:tc>
          <w:tcPr>
            <w:tcW w:type="dxa" w:w="792"/>
            <w:vAlign w:val="center"/>
          </w:tcPr>
          <w:p>
            <w:pPr>
              <w:spacing w:after="0" w:before="0" w:line="240" w:lineRule="auto"/>
            </w:pPr>
            <w:r/>
            <w:r>
              <w:rPr>
                <w:rFonts w:ascii="Aptos" w:hAnsi="Aptos"/>
                <w:b w:val="0"/>
                <w:color w:val="111827"/>
                <w:sz w:val="11"/>
              </w:rPr>
              <w:t>$2.86</w:t>
            </w:r>
          </w:p>
        </w:tc>
      </w:tr>
      <w:tr>
        <w:tc>
          <w:tcPr>
            <w:tcW w:type="dxa" w:w="2088"/>
            <w:vAlign w:val="center"/>
            <w:shd w:fill="F5F7FA"/>
          </w:tcPr>
          <w:p>
            <w:pPr>
              <w:spacing w:after="0" w:before="0" w:line="240" w:lineRule="auto"/>
            </w:pPr>
            <w:r/>
            <w:r>
              <w:rPr>
                <w:rFonts w:ascii="Aptos" w:hAnsi="Aptos"/>
                <w:b/>
                <w:color w:val="111827"/>
                <w:sz w:val="11"/>
              </w:rPr>
              <w:t>Basic clothing item ($20)</w:t>
            </w:r>
          </w:p>
        </w:tc>
        <w:tc>
          <w:tcPr>
            <w:tcW w:type="dxa" w:w="1584"/>
            <w:vAlign w:val="center"/>
            <w:shd w:fill="F5F7FA"/>
          </w:tcPr>
          <w:p>
            <w:pPr>
              <w:spacing w:after="0" w:before="0" w:line="240" w:lineRule="auto"/>
            </w:pPr>
            <w:r/>
            <w:r>
              <w:rPr>
                <w:rFonts w:ascii="Aptos" w:hAnsi="Aptos"/>
                <w:b w:val="0"/>
                <w:color w:val="111827"/>
                <w:sz w:val="11"/>
              </w:rPr>
              <w:t>Opened but unused</w:t>
            </w:r>
          </w:p>
        </w:tc>
        <w:tc>
          <w:tcPr>
            <w:tcW w:type="dxa" w:w="576"/>
            <w:vAlign w:val="center"/>
            <w:shd w:fill="F5F7FA"/>
          </w:tcPr>
          <w:p>
            <w:pPr>
              <w:spacing w:after="0" w:before="0" w:line="240" w:lineRule="auto"/>
            </w:pPr>
            <w:r/>
            <w:r>
              <w:rPr>
                <w:rFonts w:ascii="Aptos" w:hAnsi="Aptos"/>
                <w:b w:val="0"/>
                <w:color w:val="111827"/>
                <w:sz w:val="11"/>
              </w:rPr>
              <w:t>28.0%</w:t>
            </w:r>
          </w:p>
        </w:tc>
        <w:tc>
          <w:tcPr>
            <w:tcW w:type="dxa" w:w="1512"/>
            <w:vAlign w:val="center"/>
            <w:shd w:fill="F5F7FA"/>
          </w:tcPr>
          <w:p>
            <w:pPr>
              <w:spacing w:after="0" w:before="0" w:line="240" w:lineRule="auto"/>
            </w:pPr>
            <w:r/>
            <w:r>
              <w:rPr>
                <w:rFonts w:ascii="Aptos" w:hAnsi="Aptos"/>
                <w:b w:val="0"/>
                <w:color w:val="111827"/>
                <w:sz w:val="11"/>
              </w:rPr>
              <w:t>Restock as new</w:t>
            </w:r>
          </w:p>
        </w:tc>
        <w:tc>
          <w:tcPr>
            <w:tcW w:type="dxa" w:w="864"/>
            <w:vAlign w:val="center"/>
            <w:shd w:fill="F5F7FA"/>
          </w:tcPr>
          <w:p>
            <w:pPr>
              <w:spacing w:after="0" w:before="0" w:line="240" w:lineRule="auto"/>
            </w:pPr>
            <w:r/>
            <w:r>
              <w:rPr>
                <w:rFonts w:ascii="Aptos" w:hAnsi="Aptos"/>
                <w:b w:val="0"/>
                <w:color w:val="111827"/>
                <w:sz w:val="11"/>
              </w:rPr>
              <w:t>$18.87</w:t>
            </w:r>
          </w:p>
        </w:tc>
        <w:tc>
          <w:tcPr>
            <w:tcW w:type="dxa" w:w="648"/>
            <w:vAlign w:val="center"/>
            <w:shd w:fill="F5F7FA"/>
          </w:tcPr>
          <w:p>
            <w:pPr>
              <w:spacing w:after="0" w:before="0" w:line="240" w:lineRule="auto"/>
            </w:pPr>
            <w:r/>
            <w:r>
              <w:rPr>
                <w:rFonts w:ascii="Aptos" w:hAnsi="Aptos"/>
                <w:b w:val="0"/>
                <w:color w:val="111827"/>
                <w:sz w:val="11"/>
              </w:rPr>
              <w:t>$0.64</w:t>
            </w:r>
          </w:p>
        </w:tc>
        <w:tc>
          <w:tcPr>
            <w:tcW w:type="dxa" w:w="576"/>
            <w:vAlign w:val="center"/>
            <w:shd w:fill="F5F7FA"/>
          </w:tcPr>
          <w:p>
            <w:pPr>
              <w:spacing w:after="0" w:before="0" w:line="240" w:lineRule="auto"/>
            </w:pPr>
            <w:r/>
            <w:r>
              <w:rPr>
                <w:rFonts w:ascii="Aptos" w:hAnsi="Aptos"/>
                <w:b w:val="0"/>
                <w:color w:val="111827"/>
                <w:sz w:val="11"/>
              </w:rPr>
              <w:t>$0.15</w:t>
            </w:r>
          </w:p>
        </w:tc>
        <w:tc>
          <w:tcPr>
            <w:tcW w:type="dxa" w:w="648"/>
            <w:vAlign w:val="center"/>
            <w:shd w:fill="F5F7FA"/>
          </w:tcPr>
          <w:p>
            <w:pPr>
              <w:spacing w:after="0" w:before="0" w:line="240" w:lineRule="auto"/>
            </w:pPr>
            <w:r/>
            <w:r>
              <w:rPr>
                <w:rFonts w:ascii="Aptos" w:hAnsi="Aptos"/>
                <w:b w:val="0"/>
                <w:color w:val="111827"/>
                <w:sz w:val="11"/>
              </w:rPr>
              <w:t>$0.53</w:t>
            </w:r>
          </w:p>
        </w:tc>
        <w:tc>
          <w:tcPr>
            <w:tcW w:type="dxa" w:w="648"/>
            <w:vAlign w:val="center"/>
            <w:shd w:fill="F5F7FA"/>
          </w:tcPr>
          <w:p>
            <w:pPr>
              <w:spacing w:after="0" w:before="0" w:line="240" w:lineRule="auto"/>
            </w:pPr>
            <w:r/>
            <w:r>
              <w:rPr>
                <w:rFonts w:ascii="Aptos" w:hAnsi="Aptos"/>
                <w:b w:val="0"/>
                <w:color w:val="111827"/>
                <w:sz w:val="11"/>
              </w:rPr>
              <w:t>$4.50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10</w:t>
            </w:r>
          </w:p>
        </w:tc>
        <w:tc>
          <w:tcPr>
            <w:tcW w:type="dxa" w:w="792"/>
            <w:vAlign w:val="center"/>
            <w:shd w:fill="F5F7FA"/>
          </w:tcPr>
          <w:p>
            <w:pPr>
              <w:spacing w:after="0" w:before="0" w:line="240" w:lineRule="auto"/>
            </w:pPr>
            <w:r/>
            <w:r>
              <w:rPr>
                <w:rFonts w:ascii="Aptos" w:hAnsi="Aptos"/>
                <w:b w:val="0"/>
                <w:color w:val="111827"/>
                <w:sz w:val="11"/>
              </w:rPr>
              <w:t>$13.01</w:t>
            </w:r>
          </w:p>
        </w:tc>
        <w:tc>
          <w:tcPr>
            <w:tcW w:type="dxa" w:w="792"/>
            <w:vAlign w:val="center"/>
            <w:shd w:fill="F5F7FA"/>
          </w:tcPr>
          <w:p>
            <w:pPr>
              <w:spacing w:after="0" w:before="0" w:line="240" w:lineRule="auto"/>
            </w:pPr>
            <w:r/>
            <w:r>
              <w:rPr>
                <w:rFonts w:ascii="Aptos" w:hAnsi="Aptos"/>
                <w:b w:val="0"/>
                <w:color w:val="111827"/>
                <w:sz w:val="11"/>
              </w:rPr>
              <w:t>$3.64</w:t>
            </w:r>
          </w:p>
        </w:tc>
      </w:tr>
      <w:tr>
        <w:tc>
          <w:tcPr>
            <w:tcW w:type="dxa" w:w="2088"/>
            <w:vAlign w:val="center"/>
          </w:tcPr>
          <w:p>
            <w:pPr>
              <w:spacing w:after="0" w:before="0" w:line="240" w:lineRule="auto"/>
            </w:pPr>
            <w:r/>
            <w:r>
              <w:rPr>
                <w:rFonts w:ascii="Aptos" w:hAnsi="Aptos"/>
                <w:b/>
                <w:color w:val="111827"/>
                <w:sz w:val="11"/>
              </w:rPr>
              <w:t>Basic clothing item ($20)</w:t>
            </w:r>
          </w:p>
        </w:tc>
        <w:tc>
          <w:tcPr>
            <w:tcW w:type="dxa" w:w="1584"/>
            <w:vAlign w:val="center"/>
          </w:tcPr>
          <w:p>
            <w:pPr>
              <w:spacing w:after="0" w:before="0" w:line="240" w:lineRule="auto"/>
            </w:pPr>
            <w:r/>
            <w:r>
              <w:rPr>
                <w:rFonts w:ascii="Aptos" w:hAnsi="Aptos"/>
                <w:b w:val="0"/>
                <w:color w:val="111827"/>
                <w:sz w:val="11"/>
              </w:rPr>
              <w:t>Lightly used</w:t>
            </w:r>
          </w:p>
        </w:tc>
        <w:tc>
          <w:tcPr>
            <w:tcW w:type="dxa" w:w="576"/>
            <w:vAlign w:val="center"/>
          </w:tcPr>
          <w:p>
            <w:pPr>
              <w:spacing w:after="0" w:before="0" w:line="240" w:lineRule="auto"/>
            </w:pPr>
            <w:r/>
            <w:r>
              <w:rPr>
                <w:rFonts w:ascii="Aptos" w:hAnsi="Aptos"/>
                <w:b w:val="0"/>
                <w:color w:val="111827"/>
                <w:sz w:val="11"/>
              </w:rPr>
              <w:t>28.0%</w:t>
            </w:r>
          </w:p>
        </w:tc>
        <w:tc>
          <w:tcPr>
            <w:tcW w:type="dxa" w:w="1512"/>
            <w:vAlign w:val="center"/>
          </w:tcPr>
          <w:p>
            <w:pPr>
              <w:spacing w:after="0" w:before="0" w:line="240" w:lineRule="auto"/>
            </w:pPr>
            <w:r/>
            <w:r>
              <w:rPr>
                <w:rFonts w:ascii="Aptos" w:hAnsi="Aptos"/>
                <w:b w:val="0"/>
                <w:color w:val="111827"/>
                <w:sz w:val="11"/>
              </w:rPr>
              <w:t>Outlet/off-price</w:t>
            </w:r>
          </w:p>
        </w:tc>
        <w:tc>
          <w:tcPr>
            <w:tcW w:type="dxa" w:w="864"/>
            <w:vAlign w:val="center"/>
          </w:tcPr>
          <w:p>
            <w:pPr>
              <w:spacing w:after="0" w:before="0" w:line="240" w:lineRule="auto"/>
            </w:pPr>
            <w:r/>
            <w:r>
              <w:rPr>
                <w:rFonts w:ascii="Aptos" w:hAnsi="Aptos"/>
                <w:b w:val="0"/>
                <w:color w:val="111827"/>
                <w:sz w:val="11"/>
              </w:rPr>
              <w:t>$5.71</w:t>
            </w:r>
          </w:p>
        </w:tc>
        <w:tc>
          <w:tcPr>
            <w:tcW w:type="dxa" w:w="648"/>
            <w:vAlign w:val="center"/>
          </w:tcPr>
          <w:p>
            <w:pPr>
              <w:spacing w:after="0" w:before="0" w:line="240" w:lineRule="auto"/>
            </w:pPr>
            <w:r/>
            <w:r>
              <w:rPr>
                <w:rFonts w:ascii="Aptos" w:hAnsi="Aptos"/>
                <w:b w:val="0"/>
                <w:color w:val="111827"/>
                <w:sz w:val="11"/>
              </w:rPr>
              <w:t>$1.65</w:t>
            </w:r>
          </w:p>
        </w:tc>
        <w:tc>
          <w:tcPr>
            <w:tcW w:type="dxa" w:w="576"/>
            <w:vAlign w:val="center"/>
          </w:tcPr>
          <w:p>
            <w:pPr>
              <w:spacing w:after="0" w:before="0" w:line="240" w:lineRule="auto"/>
            </w:pPr>
            <w:r/>
            <w:r>
              <w:rPr>
                <w:rFonts w:ascii="Aptos" w:hAnsi="Aptos"/>
                <w:b w:val="0"/>
                <w:color w:val="111827"/>
                <w:sz w:val="11"/>
              </w:rPr>
              <w:t>$0.53</w:t>
            </w:r>
          </w:p>
        </w:tc>
        <w:tc>
          <w:tcPr>
            <w:tcW w:type="dxa" w:w="648"/>
            <w:vAlign w:val="center"/>
          </w:tcPr>
          <w:p>
            <w:pPr>
              <w:spacing w:after="0" w:before="0" w:line="240" w:lineRule="auto"/>
            </w:pPr>
            <w:r/>
            <w:r>
              <w:rPr>
                <w:rFonts w:ascii="Aptos" w:hAnsi="Aptos"/>
                <w:b w:val="0"/>
                <w:color w:val="111827"/>
                <w:sz w:val="11"/>
              </w:rPr>
              <w:t>$0.29</w:t>
            </w:r>
          </w:p>
        </w:tc>
        <w:tc>
          <w:tcPr>
            <w:tcW w:type="dxa" w:w="648"/>
            <w:vAlign w:val="center"/>
          </w:tcPr>
          <w:p>
            <w:pPr>
              <w:spacing w:after="0" w:before="0" w:line="240" w:lineRule="auto"/>
            </w:pPr>
            <w:r/>
            <w:r>
              <w:rPr>
                <w:rFonts w:ascii="Aptos" w:hAnsi="Aptos"/>
                <w:b w:val="0"/>
                <w:color w:val="111827"/>
                <w:sz w:val="11"/>
              </w:rPr>
              <w:t>$1.12</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35</w:t>
            </w:r>
          </w:p>
        </w:tc>
        <w:tc>
          <w:tcPr>
            <w:tcW w:type="dxa" w:w="792"/>
            <w:vAlign w:val="center"/>
          </w:tcPr>
          <w:p>
            <w:pPr>
              <w:spacing w:after="0" w:before="0" w:line="240" w:lineRule="auto"/>
            </w:pPr>
            <w:r/>
            <w:r>
              <w:rPr>
                <w:rFonts w:ascii="Aptos" w:hAnsi="Aptos"/>
                <w:b w:val="0"/>
                <w:color w:val="111827"/>
                <w:sz w:val="11"/>
              </w:rPr>
              <w:t>$2.11</w:t>
            </w:r>
          </w:p>
        </w:tc>
        <w:tc>
          <w:tcPr>
            <w:tcW w:type="dxa" w:w="792"/>
            <w:vAlign w:val="center"/>
          </w:tcPr>
          <w:p>
            <w:pPr>
              <w:spacing w:after="0" w:before="0" w:line="240" w:lineRule="auto"/>
            </w:pPr>
            <w:r/>
            <w:r>
              <w:rPr>
                <w:rFonts w:ascii="Aptos" w:hAnsi="Aptos"/>
                <w:b w:val="0"/>
                <w:color w:val="111827"/>
                <w:sz w:val="11"/>
              </w:rPr>
              <w:t>$0.59</w:t>
            </w:r>
          </w:p>
        </w:tc>
      </w:tr>
      <w:tr>
        <w:tc>
          <w:tcPr>
            <w:tcW w:type="dxa" w:w="2088"/>
            <w:vAlign w:val="center"/>
            <w:shd w:fill="F5F7FA"/>
          </w:tcPr>
          <w:p>
            <w:pPr>
              <w:spacing w:after="0" w:before="0" w:line="240" w:lineRule="auto"/>
            </w:pPr>
            <w:r/>
            <w:r>
              <w:rPr>
                <w:rFonts w:ascii="Aptos" w:hAnsi="Aptos"/>
                <w:b/>
                <w:color w:val="111827"/>
                <w:sz w:val="11"/>
              </w:rPr>
              <w:t>Basic clothing item ($20)</w:t>
            </w:r>
          </w:p>
        </w:tc>
        <w:tc>
          <w:tcPr>
            <w:tcW w:type="dxa" w:w="1584"/>
            <w:vAlign w:val="center"/>
            <w:shd w:fill="F5F7FA"/>
          </w:tcPr>
          <w:p>
            <w:pPr>
              <w:spacing w:after="0" w:before="0" w:line="240" w:lineRule="auto"/>
            </w:pPr>
            <w:r/>
            <w:r>
              <w:rPr>
                <w:rFonts w:ascii="Aptos" w:hAnsi="Aptos"/>
                <w:b w:val="0"/>
                <w:color w:val="111827"/>
                <w:sz w:val="11"/>
              </w:rPr>
              <w:t>Damaged but repairable</w:t>
            </w:r>
          </w:p>
        </w:tc>
        <w:tc>
          <w:tcPr>
            <w:tcW w:type="dxa" w:w="576"/>
            <w:vAlign w:val="center"/>
            <w:shd w:fill="F5F7FA"/>
          </w:tcPr>
          <w:p>
            <w:pPr>
              <w:spacing w:after="0" w:before="0" w:line="240" w:lineRule="auto"/>
            </w:pPr>
            <w:r/>
            <w:r>
              <w:rPr>
                <w:rFonts w:ascii="Aptos" w:hAnsi="Aptos"/>
                <w:b w:val="0"/>
                <w:color w:val="111827"/>
                <w:sz w:val="11"/>
              </w:rPr>
              <w:t>8.0%</w:t>
            </w:r>
          </w:p>
        </w:tc>
        <w:tc>
          <w:tcPr>
            <w:tcW w:type="dxa" w:w="1512"/>
            <w:vAlign w:val="center"/>
            <w:shd w:fill="F5F7FA"/>
          </w:tcPr>
          <w:p>
            <w:pPr>
              <w:spacing w:after="0" w:before="0" w:line="240" w:lineRule="auto"/>
            </w:pPr>
            <w:r/>
            <w:r>
              <w:rPr>
                <w:rFonts w:ascii="Aptos" w:hAnsi="Aptos"/>
                <w:b w:val="0"/>
                <w:color w:val="111827"/>
                <w:sz w:val="11"/>
              </w:rPr>
              <w:t>Liquidation</w:t>
            </w:r>
          </w:p>
        </w:tc>
        <w:tc>
          <w:tcPr>
            <w:tcW w:type="dxa" w:w="864"/>
            <w:vAlign w:val="center"/>
            <w:shd w:fill="F5F7FA"/>
          </w:tcPr>
          <w:p>
            <w:pPr>
              <w:spacing w:after="0" w:before="0" w:line="240" w:lineRule="auto"/>
            </w:pPr>
            <w:r/>
            <w:r>
              <w:rPr>
                <w:rFonts w:ascii="Aptos" w:hAnsi="Aptos"/>
                <w:b w:val="0"/>
                <w:color w:val="111827"/>
                <w:sz w:val="11"/>
              </w:rPr>
              <w:t>$0.88</w:t>
            </w:r>
          </w:p>
        </w:tc>
        <w:tc>
          <w:tcPr>
            <w:tcW w:type="dxa" w:w="648"/>
            <w:vAlign w:val="center"/>
            <w:shd w:fill="F5F7FA"/>
          </w:tcPr>
          <w:p>
            <w:pPr>
              <w:spacing w:after="0" w:before="0" w:line="240" w:lineRule="auto"/>
            </w:pPr>
            <w:r/>
            <w:r>
              <w:rPr>
                <w:rFonts w:ascii="Aptos" w:hAnsi="Aptos"/>
                <w:b w:val="0"/>
                <w:color w:val="111827"/>
                <w:sz w:val="11"/>
              </w:rPr>
              <w:t>$0.54</w:t>
            </w:r>
          </w:p>
        </w:tc>
        <w:tc>
          <w:tcPr>
            <w:tcW w:type="dxa" w:w="576"/>
            <w:vAlign w:val="center"/>
            <w:shd w:fill="F5F7FA"/>
          </w:tcPr>
          <w:p>
            <w:pPr>
              <w:spacing w:after="0" w:before="0" w:line="240" w:lineRule="auto"/>
            </w:pPr>
            <w:r/>
            <w:r>
              <w:rPr>
                <w:rFonts w:ascii="Aptos" w:hAnsi="Aptos"/>
                <w:b w:val="0"/>
                <w:color w:val="111827"/>
                <w:sz w:val="11"/>
              </w:rPr>
              <w:t>$0.75</w:t>
            </w:r>
          </w:p>
        </w:tc>
        <w:tc>
          <w:tcPr>
            <w:tcW w:type="dxa" w:w="648"/>
            <w:vAlign w:val="center"/>
            <w:shd w:fill="F5F7FA"/>
          </w:tcPr>
          <w:p>
            <w:pPr>
              <w:spacing w:after="0" w:before="0" w:line="240" w:lineRule="auto"/>
            </w:pPr>
            <w:r/>
            <w:r>
              <w:rPr>
                <w:rFonts w:ascii="Aptos" w:hAnsi="Aptos"/>
                <w:b w:val="0"/>
                <w:color w:val="111827"/>
                <w:sz w:val="11"/>
              </w:rPr>
              <w:t>$0.13</w:t>
            </w:r>
          </w:p>
        </w:tc>
        <w:tc>
          <w:tcPr>
            <w:tcW w:type="dxa" w:w="648"/>
            <w:vAlign w:val="center"/>
            <w:shd w:fill="F5F7FA"/>
          </w:tcPr>
          <w:p>
            <w:pPr>
              <w:spacing w:after="0" w:before="0" w:line="240" w:lineRule="auto"/>
            </w:pPr>
            <w:r/>
            <w:r>
              <w:rPr>
                <w:rFonts w:ascii="Aptos" w:hAnsi="Aptos"/>
                <w:b w:val="0"/>
                <w:color w:val="111827"/>
                <w:sz w:val="11"/>
              </w:rPr>
              <w:t>$0.75</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50</w:t>
            </w:r>
          </w:p>
        </w:tc>
        <w:tc>
          <w:tcPr>
            <w:tcW w:type="dxa" w:w="792"/>
            <w:vAlign w:val="center"/>
            <w:shd w:fill="F5F7FA"/>
          </w:tcPr>
          <w:p>
            <w:pPr>
              <w:spacing w:after="0" w:before="0" w:line="240" w:lineRule="auto"/>
            </w:pPr>
            <w:r/>
            <w:r>
              <w:rPr>
                <w:rFonts w:ascii="Aptos" w:hAnsi="Aptos"/>
                <w:b w:val="0"/>
                <w:color w:val="111827"/>
                <w:sz w:val="11"/>
              </w:rPr>
              <w:t>$-1.27</w:t>
            </w:r>
          </w:p>
        </w:tc>
        <w:tc>
          <w:tcPr>
            <w:tcW w:type="dxa" w:w="792"/>
            <w:vAlign w:val="center"/>
            <w:shd w:fill="F5F7FA"/>
          </w:tcPr>
          <w:p>
            <w:pPr>
              <w:spacing w:after="0" w:before="0" w:line="240" w:lineRule="auto"/>
            </w:pPr>
            <w:r/>
            <w:r>
              <w:rPr>
                <w:rFonts w:ascii="Aptos" w:hAnsi="Aptos"/>
                <w:b w:val="0"/>
                <w:color w:val="111827"/>
                <w:sz w:val="11"/>
              </w:rPr>
              <w:t>$-0.10</w:t>
            </w:r>
          </w:p>
        </w:tc>
      </w:tr>
      <w:tr>
        <w:tc>
          <w:tcPr>
            <w:tcW w:type="dxa" w:w="2088"/>
            <w:vAlign w:val="center"/>
          </w:tcPr>
          <w:p>
            <w:pPr>
              <w:spacing w:after="0" w:before="0" w:line="240" w:lineRule="auto"/>
            </w:pPr>
            <w:r/>
            <w:r>
              <w:rPr>
                <w:rFonts w:ascii="Aptos" w:hAnsi="Aptos"/>
                <w:b/>
                <w:color w:val="111827"/>
                <w:sz w:val="11"/>
              </w:rPr>
              <w:t>Basic clothing item ($20)</w:t>
            </w:r>
          </w:p>
        </w:tc>
        <w:tc>
          <w:tcPr>
            <w:tcW w:type="dxa" w:w="1584"/>
            <w:vAlign w:val="center"/>
          </w:tcPr>
          <w:p>
            <w:pPr>
              <w:spacing w:after="0" w:before="0" w:line="240" w:lineRule="auto"/>
            </w:pPr>
            <w:r/>
            <w:r>
              <w:rPr>
                <w:rFonts w:ascii="Aptos" w:hAnsi="Aptos"/>
                <w:b w:val="0"/>
                <w:color w:val="111827"/>
                <w:sz w:val="11"/>
              </w:rPr>
              <w:t>Incomplete</w:t>
            </w:r>
          </w:p>
        </w:tc>
        <w:tc>
          <w:tcPr>
            <w:tcW w:type="dxa" w:w="576"/>
            <w:vAlign w:val="center"/>
          </w:tcPr>
          <w:p>
            <w:pPr>
              <w:spacing w:after="0" w:before="0" w:line="240" w:lineRule="auto"/>
            </w:pPr>
            <w:r/>
            <w:r>
              <w:rPr>
                <w:rFonts w:ascii="Aptos" w:hAnsi="Aptos"/>
                <w:b w:val="0"/>
                <w:color w:val="111827"/>
                <w:sz w:val="11"/>
              </w:rPr>
              <w:t>7.0%</w:t>
            </w:r>
          </w:p>
        </w:tc>
        <w:tc>
          <w:tcPr>
            <w:tcW w:type="dxa" w:w="1512"/>
            <w:vAlign w:val="center"/>
          </w:tcPr>
          <w:p>
            <w:pPr>
              <w:spacing w:after="0" w:before="0" w:line="240" w:lineRule="auto"/>
            </w:pPr>
            <w:r/>
            <w:r>
              <w:rPr>
                <w:rFonts w:ascii="Aptos" w:hAnsi="Aptos"/>
                <w:b w:val="0"/>
                <w:color w:val="111827"/>
                <w:sz w:val="11"/>
              </w:rPr>
              <w:t>Outlet/off-price</w:t>
            </w:r>
          </w:p>
        </w:tc>
        <w:tc>
          <w:tcPr>
            <w:tcW w:type="dxa" w:w="864"/>
            <w:vAlign w:val="center"/>
          </w:tcPr>
          <w:p>
            <w:pPr>
              <w:spacing w:after="0" w:before="0" w:line="240" w:lineRule="auto"/>
            </w:pPr>
            <w:r/>
            <w:r>
              <w:rPr>
                <w:rFonts w:ascii="Aptos" w:hAnsi="Aptos"/>
                <w:b w:val="0"/>
                <w:color w:val="111827"/>
                <w:sz w:val="11"/>
              </w:rPr>
              <w:t>$3.96</w:t>
            </w:r>
          </w:p>
        </w:tc>
        <w:tc>
          <w:tcPr>
            <w:tcW w:type="dxa" w:w="648"/>
            <w:vAlign w:val="center"/>
          </w:tcPr>
          <w:p>
            <w:pPr>
              <w:spacing w:after="0" w:before="0" w:line="240" w:lineRule="auto"/>
            </w:pPr>
            <w:r/>
            <w:r>
              <w:rPr>
                <w:rFonts w:ascii="Aptos" w:hAnsi="Aptos"/>
                <w:b w:val="0"/>
                <w:color w:val="111827"/>
                <w:sz w:val="11"/>
              </w:rPr>
              <w:t>$2.25</w:t>
            </w:r>
          </w:p>
        </w:tc>
        <w:tc>
          <w:tcPr>
            <w:tcW w:type="dxa" w:w="576"/>
            <w:vAlign w:val="center"/>
          </w:tcPr>
          <w:p>
            <w:pPr>
              <w:spacing w:after="0" w:before="0" w:line="240" w:lineRule="auto"/>
            </w:pPr>
            <w:r/>
            <w:r>
              <w:rPr>
                <w:rFonts w:ascii="Aptos" w:hAnsi="Aptos"/>
                <w:b w:val="0"/>
                <w:color w:val="111827"/>
                <w:sz w:val="11"/>
              </w:rPr>
              <w:t>$0.53</w:t>
            </w:r>
          </w:p>
        </w:tc>
        <w:tc>
          <w:tcPr>
            <w:tcW w:type="dxa" w:w="648"/>
            <w:vAlign w:val="center"/>
          </w:tcPr>
          <w:p>
            <w:pPr>
              <w:spacing w:after="0" w:before="0" w:line="240" w:lineRule="auto"/>
            </w:pPr>
            <w:r/>
            <w:r>
              <w:rPr>
                <w:rFonts w:ascii="Aptos" w:hAnsi="Aptos"/>
                <w:b w:val="0"/>
                <w:color w:val="111827"/>
                <w:sz w:val="11"/>
              </w:rPr>
              <w:t>$0.20</w:t>
            </w:r>
          </w:p>
        </w:tc>
        <w:tc>
          <w:tcPr>
            <w:tcW w:type="dxa" w:w="648"/>
            <w:vAlign w:val="center"/>
          </w:tcPr>
          <w:p>
            <w:pPr>
              <w:spacing w:after="0" w:before="0" w:line="240" w:lineRule="auto"/>
            </w:pPr>
            <w:r/>
            <w:r>
              <w:rPr>
                <w:rFonts w:ascii="Aptos" w:hAnsi="Aptos"/>
                <w:b w:val="0"/>
                <w:color w:val="111827"/>
                <w:sz w:val="11"/>
              </w:rPr>
              <w:t>$1.12</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35</w:t>
            </w:r>
          </w:p>
        </w:tc>
        <w:tc>
          <w:tcPr>
            <w:tcW w:type="dxa" w:w="792"/>
            <w:vAlign w:val="center"/>
          </w:tcPr>
          <w:p>
            <w:pPr>
              <w:spacing w:after="0" w:before="0" w:line="240" w:lineRule="auto"/>
            </w:pPr>
            <w:r/>
            <w:r>
              <w:rPr>
                <w:rFonts w:ascii="Aptos" w:hAnsi="Aptos"/>
                <w:b w:val="0"/>
                <w:color w:val="111827"/>
                <w:sz w:val="11"/>
              </w:rPr>
              <w:t>$-0.14</w:t>
            </w:r>
          </w:p>
        </w:tc>
        <w:tc>
          <w:tcPr>
            <w:tcW w:type="dxa" w:w="792"/>
            <w:vAlign w:val="center"/>
          </w:tcPr>
          <w:p>
            <w:pPr>
              <w:spacing w:after="0" w:before="0" w:line="240" w:lineRule="auto"/>
            </w:pPr>
            <w:r/>
            <w:r>
              <w:rPr>
                <w:rFonts w:ascii="Aptos" w:hAnsi="Aptos"/>
                <w:b w:val="0"/>
                <w:color w:val="111827"/>
                <w:sz w:val="11"/>
              </w:rPr>
              <w:t>$-0.01</w:t>
            </w:r>
          </w:p>
        </w:tc>
      </w:tr>
      <w:tr>
        <w:tc>
          <w:tcPr>
            <w:tcW w:type="dxa" w:w="2088"/>
            <w:vAlign w:val="center"/>
            <w:shd w:fill="F5F7FA"/>
          </w:tcPr>
          <w:p>
            <w:pPr>
              <w:spacing w:after="0" w:before="0" w:line="240" w:lineRule="auto"/>
            </w:pPr>
            <w:r/>
            <w:r>
              <w:rPr>
                <w:rFonts w:ascii="Aptos" w:hAnsi="Aptos"/>
                <w:b/>
                <w:color w:val="111827"/>
                <w:sz w:val="11"/>
              </w:rPr>
              <w:t>Basic clothing item ($20)</w:t>
            </w:r>
          </w:p>
        </w:tc>
        <w:tc>
          <w:tcPr>
            <w:tcW w:type="dxa" w:w="1584"/>
            <w:vAlign w:val="center"/>
            <w:shd w:fill="F5F7FA"/>
          </w:tcPr>
          <w:p>
            <w:pPr>
              <w:spacing w:after="0" w:before="0" w:line="240" w:lineRule="auto"/>
            </w:pPr>
            <w:r/>
            <w:r>
              <w:rPr>
                <w:rFonts w:ascii="Aptos" w:hAnsi="Aptos"/>
                <w:b w:val="0"/>
                <w:color w:val="111827"/>
                <w:sz w:val="11"/>
              </w:rPr>
              <w:t>Counterfeit or substituted</w:t>
            </w:r>
          </w:p>
        </w:tc>
        <w:tc>
          <w:tcPr>
            <w:tcW w:type="dxa" w:w="576"/>
            <w:vAlign w:val="center"/>
            <w:shd w:fill="F5F7FA"/>
          </w:tcPr>
          <w:p>
            <w:pPr>
              <w:spacing w:after="0" w:before="0" w:line="240" w:lineRule="auto"/>
            </w:pPr>
            <w:r/>
            <w:r>
              <w:rPr>
                <w:rFonts w:ascii="Aptos" w:hAnsi="Aptos"/>
                <w:b w:val="0"/>
                <w:color w:val="111827"/>
                <w:sz w:val="11"/>
              </w:rPr>
              <w:t>2.0%</w:t>
            </w:r>
          </w:p>
        </w:tc>
        <w:tc>
          <w:tcPr>
            <w:tcW w:type="dxa" w:w="1512"/>
            <w:vAlign w:val="center"/>
            <w:shd w:fill="F5F7FA"/>
          </w:tcPr>
          <w:p>
            <w:pPr>
              <w:spacing w:after="0" w:before="0" w:line="240" w:lineRule="auto"/>
            </w:pPr>
            <w:r/>
            <w:r>
              <w:rPr>
                <w:rFonts w:ascii="Aptos" w:hAnsi="Aptos"/>
                <w:b w:val="0"/>
                <w:color w:val="111827"/>
                <w:sz w:val="11"/>
              </w:rPr>
              <w:t>Fraudulent/missing</w:t>
            </w:r>
          </w:p>
        </w:tc>
        <w:tc>
          <w:tcPr>
            <w:tcW w:type="dxa" w:w="864"/>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$0.30</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20</w:t>
            </w:r>
          </w:p>
        </w:tc>
        <w:tc>
          <w:tcPr>
            <w:tcW w:type="dxa" w:w="792"/>
            <w:vAlign w:val="center"/>
            <w:shd w:fill="F5F7FA"/>
          </w:tcPr>
          <w:p>
            <w:pPr>
              <w:spacing w:after="0" w:before="0" w:line="240" w:lineRule="auto"/>
            </w:pPr>
            <w:r/>
            <w:r>
              <w:rPr>
                <w:rFonts w:ascii="Aptos" w:hAnsi="Aptos"/>
                <w:b w:val="0"/>
                <w:color w:val="111827"/>
                <w:sz w:val="11"/>
              </w:rPr>
              <w:t>$-0.30</w:t>
            </w:r>
          </w:p>
        </w:tc>
        <w:tc>
          <w:tcPr>
            <w:tcW w:type="dxa" w:w="792"/>
            <w:vAlign w:val="center"/>
            <w:shd w:fill="F5F7FA"/>
          </w:tcPr>
          <w:p>
            <w:pPr>
              <w:spacing w:after="0" w:before="0" w:line="240" w:lineRule="auto"/>
            </w:pPr>
            <w:r/>
            <w:r>
              <w:rPr>
                <w:rFonts w:ascii="Aptos" w:hAnsi="Aptos"/>
                <w:b w:val="0"/>
                <w:color w:val="111827"/>
                <w:sz w:val="11"/>
              </w:rPr>
              <w:t>$-0.01</w:t>
            </w:r>
          </w:p>
        </w:tc>
      </w:tr>
      <w:tr>
        <w:tc>
          <w:tcPr>
            <w:tcW w:type="dxa" w:w="2088"/>
            <w:vAlign w:val="center"/>
          </w:tcPr>
          <w:p>
            <w:pPr>
              <w:spacing w:after="0" w:before="0" w:line="240" w:lineRule="auto"/>
            </w:pPr>
            <w:r/>
            <w:r>
              <w:rPr>
                <w:rFonts w:ascii="Aptos" w:hAnsi="Aptos"/>
                <w:b/>
                <w:color w:val="111827"/>
                <w:sz w:val="11"/>
              </w:rPr>
              <w:t>Basic clothing item ($20)</w:t>
            </w:r>
          </w:p>
        </w:tc>
        <w:tc>
          <w:tcPr>
            <w:tcW w:type="dxa" w:w="1584"/>
            <w:vAlign w:val="center"/>
          </w:tcPr>
          <w:p>
            <w:pPr>
              <w:spacing w:after="0" w:before="0" w:line="240" w:lineRule="auto"/>
            </w:pPr>
            <w:r/>
            <w:r>
              <w:rPr>
                <w:rFonts w:ascii="Aptos" w:hAnsi="Aptos"/>
                <w:b w:val="0"/>
                <w:color w:val="111827"/>
                <w:sz w:val="11"/>
              </w:rPr>
              <w:t>Unsellable</w:t>
            </w:r>
          </w:p>
        </w:tc>
        <w:tc>
          <w:tcPr>
            <w:tcW w:type="dxa" w:w="576"/>
            <w:vAlign w:val="center"/>
          </w:tcPr>
          <w:p>
            <w:pPr>
              <w:spacing w:after="0" w:before="0" w:line="240" w:lineRule="auto"/>
            </w:pPr>
            <w:r/>
            <w:r>
              <w:rPr>
                <w:rFonts w:ascii="Aptos" w:hAnsi="Aptos"/>
                <w:b w:val="0"/>
                <w:color w:val="111827"/>
                <w:sz w:val="11"/>
              </w:rPr>
              <w:t>7.0%</w:t>
            </w:r>
          </w:p>
        </w:tc>
        <w:tc>
          <w:tcPr>
            <w:tcW w:type="dxa" w:w="1512"/>
            <w:vAlign w:val="center"/>
          </w:tcPr>
          <w:p>
            <w:pPr>
              <w:spacing w:after="0" w:before="0" w:line="240" w:lineRule="auto"/>
            </w:pPr>
            <w:r/>
            <w:r>
              <w:rPr>
                <w:rFonts w:ascii="Aptos" w:hAnsi="Aptos"/>
                <w:b w:val="0"/>
                <w:color w:val="111827"/>
                <w:sz w:val="11"/>
              </w:rPr>
              <w:t>Destruction/landfill</w:t>
            </w:r>
          </w:p>
        </w:tc>
        <w:tc>
          <w:tcPr>
            <w:tcW w:type="dxa" w:w="864"/>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$0.10</w:t>
            </w:r>
          </w:p>
        </w:tc>
        <w:tc>
          <w:tcPr>
            <w:tcW w:type="dxa" w:w="576"/>
            <w:vAlign w:val="center"/>
          </w:tcPr>
          <w:p>
            <w:pPr>
              <w:spacing w:after="0" w:before="0" w:line="240" w:lineRule="auto"/>
            </w:pPr>
            <w:r/>
            <w:r>
              <w:rPr>
                <w:rFonts w:ascii="Aptos" w:hAnsi="Aptos"/>
                <w:b w:val="0"/>
                <w:color w:val="111827"/>
                <w:sz w:val="11"/>
              </w:rPr>
              <w:t>$0.22</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$0.75</w:t>
            </w:r>
          </w:p>
        </w:tc>
        <w:tc>
          <w:tcPr>
            <w:tcW w:type="dxa" w:w="576"/>
            <w:vAlign w:val="center"/>
          </w:tcPr>
          <w:p>
            <w:pPr>
              <w:spacing w:after="0" w:before="0" w:line="240" w:lineRule="auto"/>
            </w:pPr>
            <w:r/>
            <w:r>
              <w:rPr>
                <w:rFonts w:ascii="Aptos" w:hAnsi="Aptos"/>
                <w:b w:val="0"/>
                <w:color w:val="111827"/>
                <w:sz w:val="11"/>
              </w:rPr>
              <w:t>15</w:t>
            </w:r>
          </w:p>
        </w:tc>
        <w:tc>
          <w:tcPr>
            <w:tcW w:type="dxa" w:w="792"/>
            <w:vAlign w:val="center"/>
          </w:tcPr>
          <w:p>
            <w:pPr>
              <w:spacing w:after="0" w:before="0" w:line="240" w:lineRule="auto"/>
            </w:pPr>
            <w:r/>
            <w:r>
              <w:rPr>
                <w:rFonts w:ascii="Aptos" w:hAnsi="Aptos"/>
                <w:b w:val="0"/>
                <w:color w:val="111827"/>
                <w:sz w:val="11"/>
              </w:rPr>
              <w:t>$-1.07</w:t>
            </w:r>
          </w:p>
        </w:tc>
        <w:tc>
          <w:tcPr>
            <w:tcW w:type="dxa" w:w="792"/>
            <w:vAlign w:val="center"/>
          </w:tcPr>
          <w:p>
            <w:pPr>
              <w:spacing w:after="0" w:before="0" w:line="240" w:lineRule="auto"/>
            </w:pPr>
            <w:r/>
            <w:r>
              <w:rPr>
                <w:rFonts w:ascii="Aptos" w:hAnsi="Aptos"/>
                <w:b w:val="0"/>
                <w:color w:val="111827"/>
                <w:sz w:val="11"/>
              </w:rPr>
              <w:t>$-0.07</w:t>
            </w:r>
          </w:p>
        </w:tc>
      </w:tr>
      <w:tr>
        <w:tc>
          <w:tcPr>
            <w:tcW w:type="dxa" w:w="2088"/>
            <w:vAlign w:val="center"/>
            <w:shd w:fill="F5F7FA"/>
          </w:tcPr>
          <w:p>
            <w:pPr>
              <w:spacing w:after="0" w:before="0" w:line="240" w:lineRule="auto"/>
            </w:pPr>
            <w:r/>
            <w:r>
              <w:rPr>
                <w:rFonts w:ascii="Aptos" w:hAnsi="Aptos"/>
                <w:b/>
                <w:color w:val="111827"/>
                <w:sz w:val="11"/>
              </w:rPr>
              <w:t>Cosmetic/personal-care item ($20)</w:t>
            </w:r>
          </w:p>
        </w:tc>
        <w:tc>
          <w:tcPr>
            <w:tcW w:type="dxa" w:w="1584"/>
            <w:vAlign w:val="center"/>
            <w:shd w:fill="F5F7FA"/>
          </w:tcPr>
          <w:p>
            <w:pPr>
              <w:spacing w:after="0" w:before="0" w:line="240" w:lineRule="auto"/>
            </w:pPr>
            <w:r/>
            <w:r>
              <w:rPr>
                <w:rFonts w:ascii="Aptos" w:hAnsi="Aptos"/>
                <w:b w:val="0"/>
                <w:color w:val="111827"/>
                <w:sz w:val="11"/>
              </w:rPr>
              <w:t>Unopened</w:t>
            </w:r>
          </w:p>
        </w:tc>
        <w:tc>
          <w:tcPr>
            <w:tcW w:type="dxa" w:w="576"/>
            <w:vAlign w:val="center"/>
            <w:shd w:fill="F5F7FA"/>
          </w:tcPr>
          <w:p>
            <w:pPr>
              <w:spacing w:after="0" w:before="0" w:line="240" w:lineRule="auto"/>
            </w:pPr>
            <w:r/>
            <w:r>
              <w:rPr>
                <w:rFonts w:ascii="Aptos" w:hAnsi="Aptos"/>
                <w:b w:val="0"/>
                <w:color w:val="111827"/>
                <w:sz w:val="11"/>
              </w:rPr>
              <w:t>32.0%</w:t>
            </w:r>
          </w:p>
        </w:tc>
        <w:tc>
          <w:tcPr>
            <w:tcW w:type="dxa" w:w="1512"/>
            <w:vAlign w:val="center"/>
            <w:shd w:fill="F5F7FA"/>
          </w:tcPr>
          <w:p>
            <w:pPr>
              <w:spacing w:after="0" w:before="0" w:line="240" w:lineRule="auto"/>
            </w:pPr>
            <w:r/>
            <w:r>
              <w:rPr>
                <w:rFonts w:ascii="Aptos" w:hAnsi="Aptos"/>
                <w:b w:val="0"/>
                <w:color w:val="111827"/>
                <w:sz w:val="11"/>
              </w:rPr>
              <w:t>Restock as new</w:t>
            </w:r>
          </w:p>
        </w:tc>
        <w:tc>
          <w:tcPr>
            <w:tcW w:type="dxa" w:w="864"/>
            <w:vAlign w:val="center"/>
            <w:shd w:fill="F5F7FA"/>
          </w:tcPr>
          <w:p>
            <w:pPr>
              <w:spacing w:after="0" w:before="0" w:line="240" w:lineRule="auto"/>
            </w:pPr>
            <w:r/>
            <w:r>
              <w:rPr>
                <w:rFonts w:ascii="Aptos" w:hAnsi="Aptos"/>
                <w:b w:val="0"/>
                <w:color w:val="111827"/>
                <w:sz w:val="11"/>
              </w:rPr>
              <w:t>$19.90</w:t>
            </w:r>
          </w:p>
        </w:tc>
        <w:tc>
          <w:tcPr>
            <w:tcW w:type="dxa" w:w="648"/>
            <w:vAlign w:val="center"/>
            <w:shd w:fill="F5F7FA"/>
          </w:tcPr>
          <w:p>
            <w:pPr>
              <w:spacing w:after="0" w:before="0" w:line="240" w:lineRule="auto"/>
            </w:pPr>
            <w:r/>
            <w:r>
              <w:rPr>
                <w:rFonts w:ascii="Aptos" w:hAnsi="Aptos"/>
                <w:b w:val="0"/>
                <w:color w:val="111827"/>
                <w:sz w:val="11"/>
              </w:rPr>
              <w:t>$0.16</w:t>
            </w:r>
          </w:p>
        </w:tc>
        <w:tc>
          <w:tcPr>
            <w:tcW w:type="dxa" w:w="576"/>
            <w:vAlign w:val="center"/>
            <w:shd w:fill="F5F7FA"/>
          </w:tcPr>
          <w:p>
            <w:pPr>
              <w:spacing w:after="0" w:before="0" w:line="240" w:lineRule="auto"/>
            </w:pPr>
            <w:r/>
            <w:r>
              <w:rPr>
                <w:rFonts w:ascii="Aptos" w:hAnsi="Aptos"/>
                <w:b w:val="0"/>
                <w:color w:val="111827"/>
                <w:sz w:val="11"/>
              </w:rPr>
              <w:t>$0.10</w:t>
            </w:r>
          </w:p>
        </w:tc>
        <w:tc>
          <w:tcPr>
            <w:tcW w:type="dxa" w:w="648"/>
            <w:vAlign w:val="center"/>
            <w:shd w:fill="F5F7FA"/>
          </w:tcPr>
          <w:p>
            <w:pPr>
              <w:spacing w:after="0" w:before="0" w:line="240" w:lineRule="auto"/>
            </w:pPr>
            <w:r/>
            <w:r>
              <w:rPr>
                <w:rFonts w:ascii="Aptos" w:hAnsi="Aptos"/>
                <w:b w:val="0"/>
                <w:color w:val="111827"/>
                <w:sz w:val="11"/>
              </w:rPr>
              <w:t>$0.56</w:t>
            </w:r>
          </w:p>
        </w:tc>
        <w:tc>
          <w:tcPr>
            <w:tcW w:type="dxa" w:w="648"/>
            <w:vAlign w:val="center"/>
            <w:shd w:fill="F5F7FA"/>
          </w:tcPr>
          <w:p>
            <w:pPr>
              <w:spacing w:after="0" w:before="0" w:line="240" w:lineRule="auto"/>
            </w:pPr>
            <w:r/>
            <w:r>
              <w:rPr>
                <w:rFonts w:ascii="Aptos" w:hAnsi="Aptos"/>
                <w:b w:val="0"/>
                <w:color w:val="111827"/>
                <w:sz w:val="11"/>
              </w:rPr>
              <w:t>$4.00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10</w:t>
            </w:r>
          </w:p>
        </w:tc>
        <w:tc>
          <w:tcPr>
            <w:tcW w:type="dxa" w:w="792"/>
            <w:vAlign w:val="center"/>
            <w:shd w:fill="F5F7FA"/>
          </w:tcPr>
          <w:p>
            <w:pPr>
              <w:spacing w:after="0" w:before="0" w:line="240" w:lineRule="auto"/>
            </w:pPr>
            <w:r/>
            <w:r>
              <w:rPr>
                <w:rFonts w:ascii="Aptos" w:hAnsi="Aptos"/>
                <w:b w:val="0"/>
                <w:color w:val="111827"/>
                <w:sz w:val="11"/>
              </w:rPr>
              <w:t>$15.04</w:t>
            </w:r>
          </w:p>
        </w:tc>
        <w:tc>
          <w:tcPr>
            <w:tcW w:type="dxa" w:w="792"/>
            <w:vAlign w:val="center"/>
            <w:shd w:fill="F5F7FA"/>
          </w:tcPr>
          <w:p>
            <w:pPr>
              <w:spacing w:after="0" w:before="0" w:line="240" w:lineRule="auto"/>
            </w:pPr>
            <w:r/>
            <w:r>
              <w:rPr>
                <w:rFonts w:ascii="Aptos" w:hAnsi="Aptos"/>
                <w:b w:val="0"/>
                <w:color w:val="111827"/>
                <w:sz w:val="11"/>
              </w:rPr>
              <w:t>$4.81</w:t>
            </w:r>
          </w:p>
        </w:tc>
      </w:tr>
      <w:tr>
        <w:tc>
          <w:tcPr>
            <w:tcW w:type="dxa" w:w="2088"/>
            <w:vAlign w:val="center"/>
          </w:tcPr>
          <w:p>
            <w:pPr>
              <w:spacing w:after="0" w:before="0" w:line="240" w:lineRule="auto"/>
            </w:pPr>
            <w:r/>
            <w:r>
              <w:rPr>
                <w:rFonts w:ascii="Aptos" w:hAnsi="Aptos"/>
                <w:b/>
                <w:color w:val="111827"/>
                <w:sz w:val="11"/>
              </w:rPr>
              <w:t>Cosmetic/personal-care item ($20)</w:t>
            </w:r>
          </w:p>
        </w:tc>
        <w:tc>
          <w:tcPr>
            <w:tcW w:type="dxa" w:w="1584"/>
            <w:vAlign w:val="center"/>
          </w:tcPr>
          <w:p>
            <w:pPr>
              <w:spacing w:after="0" w:before="0" w:line="240" w:lineRule="auto"/>
            </w:pPr>
            <w:r/>
            <w:r>
              <w:rPr>
                <w:rFonts w:ascii="Aptos" w:hAnsi="Aptos"/>
                <w:b w:val="0"/>
                <w:color w:val="111827"/>
                <w:sz w:val="11"/>
              </w:rPr>
              <w:t>Opened but unused</w:t>
            </w:r>
          </w:p>
        </w:tc>
        <w:tc>
          <w:tcPr>
            <w:tcW w:type="dxa" w:w="576"/>
            <w:vAlign w:val="center"/>
          </w:tcPr>
          <w:p>
            <w:pPr>
              <w:spacing w:after="0" w:before="0" w:line="240" w:lineRule="auto"/>
            </w:pPr>
            <w:r/>
            <w:r>
              <w:rPr>
                <w:rFonts w:ascii="Aptos" w:hAnsi="Aptos"/>
                <w:b w:val="0"/>
                <w:color w:val="111827"/>
                <w:sz w:val="11"/>
              </w:rPr>
              <w:t>14.0%</w:t>
            </w:r>
          </w:p>
        </w:tc>
        <w:tc>
          <w:tcPr>
            <w:tcW w:type="dxa" w:w="1512"/>
            <w:vAlign w:val="center"/>
          </w:tcPr>
          <w:p>
            <w:pPr>
              <w:spacing w:after="0" w:before="0" w:line="240" w:lineRule="auto"/>
            </w:pPr>
            <w:r/>
            <w:r>
              <w:rPr>
                <w:rFonts w:ascii="Aptos" w:hAnsi="Aptos"/>
                <w:b w:val="0"/>
                <w:color w:val="111827"/>
                <w:sz w:val="11"/>
              </w:rPr>
              <w:t>Destruction/landfill</w:t>
            </w:r>
          </w:p>
        </w:tc>
        <w:tc>
          <w:tcPr>
            <w:tcW w:type="dxa" w:w="864"/>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$0.32</w:t>
            </w:r>
          </w:p>
        </w:tc>
        <w:tc>
          <w:tcPr>
            <w:tcW w:type="dxa" w:w="576"/>
            <w:vAlign w:val="center"/>
          </w:tcPr>
          <w:p>
            <w:pPr>
              <w:spacing w:after="0" w:before="0" w:line="240" w:lineRule="auto"/>
            </w:pPr>
            <w:r/>
            <w:r>
              <w:rPr>
                <w:rFonts w:ascii="Aptos" w:hAnsi="Aptos"/>
                <w:b w:val="0"/>
                <w:color w:val="111827"/>
                <w:sz w:val="11"/>
              </w:rPr>
              <w:t>$0.15</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$1.25</w:t>
            </w:r>
          </w:p>
        </w:tc>
        <w:tc>
          <w:tcPr>
            <w:tcW w:type="dxa" w:w="576"/>
            <w:vAlign w:val="center"/>
          </w:tcPr>
          <w:p>
            <w:pPr>
              <w:spacing w:after="0" w:before="0" w:line="240" w:lineRule="auto"/>
            </w:pPr>
            <w:r/>
            <w:r>
              <w:rPr>
                <w:rFonts w:ascii="Aptos" w:hAnsi="Aptos"/>
                <w:b w:val="0"/>
                <w:color w:val="111827"/>
                <w:sz w:val="11"/>
              </w:rPr>
              <w:t>15</w:t>
            </w:r>
          </w:p>
        </w:tc>
        <w:tc>
          <w:tcPr>
            <w:tcW w:type="dxa" w:w="792"/>
            <w:vAlign w:val="center"/>
          </w:tcPr>
          <w:p>
            <w:pPr>
              <w:spacing w:after="0" w:before="0" w:line="240" w:lineRule="auto"/>
            </w:pPr>
            <w:r/>
            <w:r>
              <w:rPr>
                <w:rFonts w:ascii="Aptos" w:hAnsi="Aptos"/>
                <w:b w:val="0"/>
                <w:color w:val="111827"/>
                <w:sz w:val="11"/>
              </w:rPr>
              <w:t>$-1.71</w:t>
            </w:r>
          </w:p>
        </w:tc>
        <w:tc>
          <w:tcPr>
            <w:tcW w:type="dxa" w:w="792"/>
            <w:vAlign w:val="center"/>
          </w:tcPr>
          <w:p>
            <w:pPr>
              <w:spacing w:after="0" w:before="0" w:line="240" w:lineRule="auto"/>
            </w:pPr>
            <w:r/>
            <w:r>
              <w:rPr>
                <w:rFonts w:ascii="Aptos" w:hAnsi="Aptos"/>
                <w:b w:val="0"/>
                <w:color w:val="111827"/>
                <w:sz w:val="11"/>
              </w:rPr>
              <w:t>$-0.24</w:t>
            </w:r>
          </w:p>
        </w:tc>
      </w:tr>
      <w:tr>
        <w:tc>
          <w:tcPr>
            <w:tcW w:type="dxa" w:w="2088"/>
            <w:vAlign w:val="center"/>
            <w:shd w:fill="F5F7FA"/>
          </w:tcPr>
          <w:p>
            <w:pPr>
              <w:spacing w:after="0" w:before="0" w:line="240" w:lineRule="auto"/>
            </w:pPr>
            <w:r/>
            <w:r>
              <w:rPr>
                <w:rFonts w:ascii="Aptos" w:hAnsi="Aptos"/>
                <w:b/>
                <w:color w:val="111827"/>
                <w:sz w:val="11"/>
              </w:rPr>
              <w:t>Cosmetic/personal-care item ($20)</w:t>
            </w:r>
          </w:p>
        </w:tc>
        <w:tc>
          <w:tcPr>
            <w:tcW w:type="dxa" w:w="1584"/>
            <w:vAlign w:val="center"/>
            <w:shd w:fill="F5F7FA"/>
          </w:tcPr>
          <w:p>
            <w:pPr>
              <w:spacing w:after="0" w:before="0" w:line="240" w:lineRule="auto"/>
            </w:pPr>
            <w:r/>
            <w:r>
              <w:rPr>
                <w:rFonts w:ascii="Aptos" w:hAnsi="Aptos"/>
                <w:b w:val="0"/>
                <w:color w:val="111827"/>
                <w:sz w:val="11"/>
              </w:rPr>
              <w:t>Lightly used</w:t>
            </w:r>
          </w:p>
        </w:tc>
        <w:tc>
          <w:tcPr>
            <w:tcW w:type="dxa" w:w="576"/>
            <w:vAlign w:val="center"/>
            <w:shd w:fill="F5F7FA"/>
          </w:tcPr>
          <w:p>
            <w:pPr>
              <w:spacing w:after="0" w:before="0" w:line="240" w:lineRule="auto"/>
            </w:pPr>
            <w:r/>
            <w:r>
              <w:rPr>
                <w:rFonts w:ascii="Aptos" w:hAnsi="Aptos"/>
                <w:b w:val="0"/>
                <w:color w:val="111827"/>
                <w:sz w:val="11"/>
              </w:rPr>
              <w:t>18.0%</w:t>
            </w:r>
          </w:p>
        </w:tc>
        <w:tc>
          <w:tcPr>
            <w:tcW w:type="dxa" w:w="1512"/>
            <w:vAlign w:val="center"/>
            <w:shd w:fill="F5F7FA"/>
          </w:tcPr>
          <w:p>
            <w:pPr>
              <w:spacing w:after="0" w:before="0" w:line="240" w:lineRule="auto"/>
            </w:pPr>
            <w:r/>
            <w:r>
              <w:rPr>
                <w:rFonts w:ascii="Aptos" w:hAnsi="Aptos"/>
                <w:b w:val="0"/>
                <w:color w:val="111827"/>
                <w:sz w:val="11"/>
              </w:rPr>
              <w:t>Destruction/landfill</w:t>
            </w:r>
          </w:p>
        </w:tc>
        <w:tc>
          <w:tcPr>
            <w:tcW w:type="dxa" w:w="864"/>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$0.44</w:t>
            </w:r>
          </w:p>
        </w:tc>
        <w:tc>
          <w:tcPr>
            <w:tcW w:type="dxa" w:w="576"/>
            <w:vAlign w:val="center"/>
            <w:shd w:fill="F5F7FA"/>
          </w:tcPr>
          <w:p>
            <w:pPr>
              <w:spacing w:after="0" w:before="0" w:line="240" w:lineRule="auto"/>
            </w:pPr>
            <w:r/>
            <w:r>
              <w:rPr>
                <w:rFonts w:ascii="Aptos" w:hAnsi="Aptos"/>
                <w:b w:val="0"/>
                <w:color w:val="111827"/>
                <w:sz w:val="11"/>
              </w:rPr>
              <w:t>$0.15</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$1.25</w:t>
            </w:r>
          </w:p>
        </w:tc>
        <w:tc>
          <w:tcPr>
            <w:tcW w:type="dxa" w:w="576"/>
            <w:vAlign w:val="center"/>
            <w:shd w:fill="F5F7FA"/>
          </w:tcPr>
          <w:p>
            <w:pPr>
              <w:spacing w:after="0" w:before="0" w:line="240" w:lineRule="auto"/>
            </w:pPr>
            <w:r/>
            <w:r>
              <w:rPr>
                <w:rFonts w:ascii="Aptos" w:hAnsi="Aptos"/>
                <w:b w:val="0"/>
                <w:color w:val="111827"/>
                <w:sz w:val="11"/>
              </w:rPr>
              <w:t>15</w:t>
            </w:r>
          </w:p>
        </w:tc>
        <w:tc>
          <w:tcPr>
            <w:tcW w:type="dxa" w:w="792"/>
            <w:vAlign w:val="center"/>
            <w:shd w:fill="F5F7FA"/>
          </w:tcPr>
          <w:p>
            <w:pPr>
              <w:spacing w:after="0" w:before="0" w:line="240" w:lineRule="auto"/>
            </w:pPr>
            <w:r/>
            <w:r>
              <w:rPr>
                <w:rFonts w:ascii="Aptos" w:hAnsi="Aptos"/>
                <w:b w:val="0"/>
                <w:color w:val="111827"/>
                <w:sz w:val="11"/>
              </w:rPr>
              <w:t>$-1.83</w:t>
            </w:r>
          </w:p>
        </w:tc>
        <w:tc>
          <w:tcPr>
            <w:tcW w:type="dxa" w:w="792"/>
            <w:vAlign w:val="center"/>
            <w:shd w:fill="F5F7FA"/>
          </w:tcPr>
          <w:p>
            <w:pPr>
              <w:spacing w:after="0" w:before="0" w:line="240" w:lineRule="auto"/>
            </w:pPr>
            <w:r/>
            <w:r>
              <w:rPr>
                <w:rFonts w:ascii="Aptos" w:hAnsi="Aptos"/>
                <w:b w:val="0"/>
                <w:color w:val="111827"/>
                <w:sz w:val="11"/>
              </w:rPr>
              <w:t>$-0.33</w:t>
            </w:r>
          </w:p>
        </w:tc>
      </w:tr>
      <w:tr>
        <w:tc>
          <w:tcPr>
            <w:tcW w:type="dxa" w:w="2088"/>
            <w:vAlign w:val="center"/>
          </w:tcPr>
          <w:p>
            <w:pPr>
              <w:spacing w:after="0" w:before="0" w:line="240" w:lineRule="auto"/>
            </w:pPr>
            <w:r/>
            <w:r>
              <w:rPr>
                <w:rFonts w:ascii="Aptos" w:hAnsi="Aptos"/>
                <w:b/>
                <w:color w:val="111827"/>
                <w:sz w:val="11"/>
              </w:rPr>
              <w:t>Cosmetic/personal-care item ($20)</w:t>
            </w:r>
          </w:p>
        </w:tc>
        <w:tc>
          <w:tcPr>
            <w:tcW w:type="dxa" w:w="1584"/>
            <w:vAlign w:val="center"/>
          </w:tcPr>
          <w:p>
            <w:pPr>
              <w:spacing w:after="0" w:before="0" w:line="240" w:lineRule="auto"/>
            </w:pPr>
            <w:r/>
            <w:r>
              <w:rPr>
                <w:rFonts w:ascii="Aptos" w:hAnsi="Aptos"/>
                <w:b w:val="0"/>
                <w:color w:val="111827"/>
                <w:sz w:val="11"/>
              </w:rPr>
              <w:t>Damaged but repairable</w:t>
            </w:r>
          </w:p>
        </w:tc>
        <w:tc>
          <w:tcPr>
            <w:tcW w:type="dxa" w:w="576"/>
            <w:vAlign w:val="center"/>
          </w:tcPr>
          <w:p>
            <w:pPr>
              <w:spacing w:after="0" w:before="0" w:line="240" w:lineRule="auto"/>
            </w:pPr>
            <w:r/>
            <w:r>
              <w:rPr>
                <w:rFonts w:ascii="Aptos" w:hAnsi="Aptos"/>
                <w:b w:val="0"/>
                <w:color w:val="111827"/>
                <w:sz w:val="11"/>
              </w:rPr>
              <w:t>5.0%</w:t>
            </w:r>
          </w:p>
        </w:tc>
        <w:tc>
          <w:tcPr>
            <w:tcW w:type="dxa" w:w="1512"/>
            <w:vAlign w:val="center"/>
          </w:tcPr>
          <w:p>
            <w:pPr>
              <w:spacing w:after="0" w:before="0" w:line="240" w:lineRule="auto"/>
            </w:pPr>
            <w:r/>
            <w:r>
              <w:rPr>
                <w:rFonts w:ascii="Aptos" w:hAnsi="Aptos"/>
                <w:b w:val="0"/>
                <w:color w:val="111827"/>
                <w:sz w:val="11"/>
              </w:rPr>
              <w:t>Destruction/landfill</w:t>
            </w:r>
          </w:p>
        </w:tc>
        <w:tc>
          <w:tcPr>
            <w:tcW w:type="dxa" w:w="864"/>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$0.72</w:t>
            </w:r>
          </w:p>
        </w:tc>
        <w:tc>
          <w:tcPr>
            <w:tcW w:type="dxa" w:w="576"/>
            <w:vAlign w:val="center"/>
          </w:tcPr>
          <w:p>
            <w:pPr>
              <w:spacing w:after="0" w:before="0" w:line="240" w:lineRule="auto"/>
            </w:pPr>
            <w:r/>
            <w:r>
              <w:rPr>
                <w:rFonts w:ascii="Aptos" w:hAnsi="Aptos"/>
                <w:b w:val="0"/>
                <w:color w:val="111827"/>
                <w:sz w:val="11"/>
              </w:rPr>
              <w:t>$0.15</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$1.25</w:t>
            </w:r>
          </w:p>
        </w:tc>
        <w:tc>
          <w:tcPr>
            <w:tcW w:type="dxa" w:w="576"/>
            <w:vAlign w:val="center"/>
          </w:tcPr>
          <w:p>
            <w:pPr>
              <w:spacing w:after="0" w:before="0" w:line="240" w:lineRule="auto"/>
            </w:pPr>
            <w:r/>
            <w:r>
              <w:rPr>
                <w:rFonts w:ascii="Aptos" w:hAnsi="Aptos"/>
                <w:b w:val="0"/>
                <w:color w:val="111827"/>
                <w:sz w:val="11"/>
              </w:rPr>
              <w:t>15</w:t>
            </w:r>
          </w:p>
        </w:tc>
        <w:tc>
          <w:tcPr>
            <w:tcW w:type="dxa" w:w="792"/>
            <w:vAlign w:val="center"/>
          </w:tcPr>
          <w:p>
            <w:pPr>
              <w:spacing w:after="0" w:before="0" w:line="240" w:lineRule="auto"/>
            </w:pPr>
            <w:r/>
            <w:r>
              <w:rPr>
                <w:rFonts w:ascii="Aptos" w:hAnsi="Aptos"/>
                <w:b w:val="0"/>
                <w:color w:val="111827"/>
                <w:sz w:val="11"/>
              </w:rPr>
              <w:t>$-2.11</w:t>
            </w:r>
          </w:p>
        </w:tc>
        <w:tc>
          <w:tcPr>
            <w:tcW w:type="dxa" w:w="792"/>
            <w:vAlign w:val="center"/>
          </w:tcPr>
          <w:p>
            <w:pPr>
              <w:spacing w:after="0" w:before="0" w:line="240" w:lineRule="auto"/>
            </w:pPr>
            <w:r/>
            <w:r>
              <w:rPr>
                <w:rFonts w:ascii="Aptos" w:hAnsi="Aptos"/>
                <w:b w:val="0"/>
                <w:color w:val="111827"/>
                <w:sz w:val="11"/>
              </w:rPr>
              <w:t>$-0.11</w:t>
            </w:r>
          </w:p>
        </w:tc>
      </w:tr>
      <w:tr>
        <w:tc>
          <w:tcPr>
            <w:tcW w:type="dxa" w:w="2088"/>
            <w:vAlign w:val="center"/>
            <w:shd w:fill="F5F7FA"/>
          </w:tcPr>
          <w:p>
            <w:pPr>
              <w:spacing w:after="0" w:before="0" w:line="240" w:lineRule="auto"/>
            </w:pPr>
            <w:r/>
            <w:r>
              <w:rPr>
                <w:rFonts w:ascii="Aptos" w:hAnsi="Aptos"/>
                <w:b/>
                <w:color w:val="111827"/>
                <w:sz w:val="11"/>
              </w:rPr>
              <w:t>Cosmetic/personal-care item ($20)</w:t>
            </w:r>
          </w:p>
        </w:tc>
        <w:tc>
          <w:tcPr>
            <w:tcW w:type="dxa" w:w="1584"/>
            <w:vAlign w:val="center"/>
            <w:shd w:fill="F5F7FA"/>
          </w:tcPr>
          <w:p>
            <w:pPr>
              <w:spacing w:after="0" w:before="0" w:line="240" w:lineRule="auto"/>
            </w:pPr>
            <w:r/>
            <w:r>
              <w:rPr>
                <w:rFonts w:ascii="Aptos" w:hAnsi="Aptos"/>
                <w:b w:val="0"/>
                <w:color w:val="111827"/>
                <w:sz w:val="11"/>
              </w:rPr>
              <w:t>Incomplete</w:t>
            </w:r>
          </w:p>
        </w:tc>
        <w:tc>
          <w:tcPr>
            <w:tcW w:type="dxa" w:w="576"/>
            <w:vAlign w:val="center"/>
            <w:shd w:fill="F5F7FA"/>
          </w:tcPr>
          <w:p>
            <w:pPr>
              <w:spacing w:after="0" w:before="0" w:line="240" w:lineRule="auto"/>
            </w:pPr>
            <w:r/>
            <w:r>
              <w:rPr>
                <w:rFonts w:ascii="Aptos" w:hAnsi="Aptos"/>
                <w:b w:val="0"/>
                <w:color w:val="111827"/>
                <w:sz w:val="11"/>
              </w:rPr>
              <w:t>3.0%</w:t>
            </w:r>
          </w:p>
        </w:tc>
        <w:tc>
          <w:tcPr>
            <w:tcW w:type="dxa" w:w="1512"/>
            <w:vAlign w:val="center"/>
            <w:shd w:fill="F5F7FA"/>
          </w:tcPr>
          <w:p>
            <w:pPr>
              <w:spacing w:after="0" w:before="0" w:line="240" w:lineRule="auto"/>
            </w:pPr>
            <w:r/>
            <w:r>
              <w:rPr>
                <w:rFonts w:ascii="Aptos" w:hAnsi="Aptos"/>
                <w:b w:val="0"/>
                <w:color w:val="111827"/>
                <w:sz w:val="11"/>
              </w:rPr>
              <w:t>Destruction/landfill</w:t>
            </w:r>
          </w:p>
        </w:tc>
        <w:tc>
          <w:tcPr>
            <w:tcW w:type="dxa" w:w="864"/>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$0.60</w:t>
            </w:r>
          </w:p>
        </w:tc>
        <w:tc>
          <w:tcPr>
            <w:tcW w:type="dxa" w:w="576"/>
            <w:vAlign w:val="center"/>
            <w:shd w:fill="F5F7FA"/>
          </w:tcPr>
          <w:p>
            <w:pPr>
              <w:spacing w:after="0" w:before="0" w:line="240" w:lineRule="auto"/>
            </w:pPr>
            <w:r/>
            <w:r>
              <w:rPr>
                <w:rFonts w:ascii="Aptos" w:hAnsi="Aptos"/>
                <w:b w:val="0"/>
                <w:color w:val="111827"/>
                <w:sz w:val="11"/>
              </w:rPr>
              <w:t>$0.15</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$1.25</w:t>
            </w:r>
          </w:p>
        </w:tc>
        <w:tc>
          <w:tcPr>
            <w:tcW w:type="dxa" w:w="576"/>
            <w:vAlign w:val="center"/>
            <w:shd w:fill="F5F7FA"/>
          </w:tcPr>
          <w:p>
            <w:pPr>
              <w:spacing w:after="0" w:before="0" w:line="240" w:lineRule="auto"/>
            </w:pPr>
            <w:r/>
            <w:r>
              <w:rPr>
                <w:rFonts w:ascii="Aptos" w:hAnsi="Aptos"/>
                <w:b w:val="0"/>
                <w:color w:val="111827"/>
                <w:sz w:val="11"/>
              </w:rPr>
              <w:t>15</w:t>
            </w:r>
          </w:p>
        </w:tc>
        <w:tc>
          <w:tcPr>
            <w:tcW w:type="dxa" w:w="792"/>
            <w:vAlign w:val="center"/>
            <w:shd w:fill="F5F7FA"/>
          </w:tcPr>
          <w:p>
            <w:pPr>
              <w:spacing w:after="0" w:before="0" w:line="240" w:lineRule="auto"/>
            </w:pPr>
            <w:r/>
            <w:r>
              <w:rPr>
                <w:rFonts w:ascii="Aptos" w:hAnsi="Aptos"/>
                <w:b w:val="0"/>
                <w:color w:val="111827"/>
                <w:sz w:val="11"/>
              </w:rPr>
              <w:t>$-1.99</w:t>
            </w:r>
          </w:p>
        </w:tc>
        <w:tc>
          <w:tcPr>
            <w:tcW w:type="dxa" w:w="792"/>
            <w:vAlign w:val="center"/>
            <w:shd w:fill="F5F7FA"/>
          </w:tcPr>
          <w:p>
            <w:pPr>
              <w:spacing w:after="0" w:before="0" w:line="240" w:lineRule="auto"/>
            </w:pPr>
            <w:r/>
            <w:r>
              <w:rPr>
                <w:rFonts w:ascii="Aptos" w:hAnsi="Aptos"/>
                <w:b w:val="0"/>
                <w:color w:val="111827"/>
                <w:sz w:val="11"/>
              </w:rPr>
              <w:t>$-0.06</w:t>
            </w:r>
          </w:p>
        </w:tc>
      </w:tr>
      <w:tr>
        <w:tc>
          <w:tcPr>
            <w:tcW w:type="dxa" w:w="2088"/>
            <w:vAlign w:val="center"/>
          </w:tcPr>
          <w:p>
            <w:pPr>
              <w:spacing w:after="0" w:before="0" w:line="240" w:lineRule="auto"/>
            </w:pPr>
            <w:r/>
            <w:r>
              <w:rPr>
                <w:rFonts w:ascii="Aptos" w:hAnsi="Aptos"/>
                <w:b/>
                <w:color w:val="111827"/>
                <w:sz w:val="11"/>
              </w:rPr>
              <w:t>Cosmetic/personal-care item ($20)</w:t>
            </w:r>
          </w:p>
        </w:tc>
        <w:tc>
          <w:tcPr>
            <w:tcW w:type="dxa" w:w="1584"/>
            <w:vAlign w:val="center"/>
          </w:tcPr>
          <w:p>
            <w:pPr>
              <w:spacing w:after="0" w:before="0" w:line="240" w:lineRule="auto"/>
            </w:pPr>
            <w:r/>
            <w:r>
              <w:rPr>
                <w:rFonts w:ascii="Aptos" w:hAnsi="Aptos"/>
                <w:b w:val="0"/>
                <w:color w:val="111827"/>
                <w:sz w:val="11"/>
              </w:rPr>
              <w:t>Counterfeit or substituted</w:t>
            </w:r>
          </w:p>
        </w:tc>
        <w:tc>
          <w:tcPr>
            <w:tcW w:type="dxa" w:w="576"/>
            <w:vAlign w:val="center"/>
          </w:tcPr>
          <w:p>
            <w:pPr>
              <w:spacing w:after="0" w:before="0" w:line="240" w:lineRule="auto"/>
            </w:pPr>
            <w:r/>
            <w:r>
              <w:rPr>
                <w:rFonts w:ascii="Aptos" w:hAnsi="Aptos"/>
                <w:b w:val="0"/>
                <w:color w:val="111827"/>
                <w:sz w:val="11"/>
              </w:rPr>
              <w:t>1.0%</w:t>
            </w:r>
          </w:p>
        </w:tc>
        <w:tc>
          <w:tcPr>
            <w:tcW w:type="dxa" w:w="1512"/>
            <w:vAlign w:val="center"/>
          </w:tcPr>
          <w:p>
            <w:pPr>
              <w:spacing w:after="0" w:before="0" w:line="240" w:lineRule="auto"/>
            </w:pPr>
            <w:r/>
            <w:r>
              <w:rPr>
                <w:rFonts w:ascii="Aptos" w:hAnsi="Aptos"/>
                <w:b w:val="0"/>
                <w:color w:val="111827"/>
                <w:sz w:val="11"/>
              </w:rPr>
              <w:t>Fraudulent/missing</w:t>
            </w:r>
          </w:p>
        </w:tc>
        <w:tc>
          <w:tcPr>
            <w:tcW w:type="dxa" w:w="864"/>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$0.20</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20</w:t>
            </w:r>
          </w:p>
        </w:tc>
        <w:tc>
          <w:tcPr>
            <w:tcW w:type="dxa" w:w="792"/>
            <w:vAlign w:val="center"/>
          </w:tcPr>
          <w:p>
            <w:pPr>
              <w:spacing w:after="0" w:before="0" w:line="240" w:lineRule="auto"/>
            </w:pPr>
            <w:r/>
            <w:r>
              <w:rPr>
                <w:rFonts w:ascii="Aptos" w:hAnsi="Aptos"/>
                <w:b w:val="0"/>
                <w:color w:val="111827"/>
                <w:sz w:val="11"/>
              </w:rPr>
              <w:t>$-0.20</w:t>
            </w:r>
          </w:p>
        </w:tc>
        <w:tc>
          <w:tcPr>
            <w:tcW w:type="dxa" w:w="792"/>
            <w:vAlign w:val="center"/>
          </w:tcPr>
          <w:p>
            <w:pPr>
              <w:spacing w:after="0" w:before="0" w:line="240" w:lineRule="auto"/>
            </w:pPr>
            <w:r/>
            <w:r>
              <w:rPr>
                <w:rFonts w:ascii="Aptos" w:hAnsi="Aptos"/>
                <w:b w:val="0"/>
                <w:color w:val="111827"/>
                <w:sz w:val="11"/>
              </w:rPr>
              <w:t>$-0.00</w:t>
            </w:r>
          </w:p>
        </w:tc>
      </w:tr>
      <w:tr>
        <w:tc>
          <w:tcPr>
            <w:tcW w:type="dxa" w:w="2088"/>
            <w:vAlign w:val="center"/>
            <w:shd w:fill="F5F7FA"/>
          </w:tcPr>
          <w:p>
            <w:pPr>
              <w:spacing w:after="0" w:before="0" w:line="240" w:lineRule="auto"/>
            </w:pPr>
            <w:r/>
            <w:r>
              <w:rPr>
                <w:rFonts w:ascii="Aptos" w:hAnsi="Aptos"/>
                <w:b/>
                <w:color w:val="111827"/>
                <w:sz w:val="11"/>
              </w:rPr>
              <w:t>Cosmetic/personal-care item ($20)</w:t>
            </w:r>
          </w:p>
        </w:tc>
        <w:tc>
          <w:tcPr>
            <w:tcW w:type="dxa" w:w="1584"/>
            <w:vAlign w:val="center"/>
            <w:shd w:fill="F5F7FA"/>
          </w:tcPr>
          <w:p>
            <w:pPr>
              <w:spacing w:after="0" w:before="0" w:line="240" w:lineRule="auto"/>
            </w:pPr>
            <w:r/>
            <w:r>
              <w:rPr>
                <w:rFonts w:ascii="Aptos" w:hAnsi="Aptos"/>
                <w:b w:val="0"/>
                <w:color w:val="111827"/>
                <w:sz w:val="11"/>
              </w:rPr>
              <w:t>Unsellable</w:t>
            </w:r>
          </w:p>
        </w:tc>
        <w:tc>
          <w:tcPr>
            <w:tcW w:type="dxa" w:w="576"/>
            <w:vAlign w:val="center"/>
            <w:shd w:fill="F5F7FA"/>
          </w:tcPr>
          <w:p>
            <w:pPr>
              <w:spacing w:after="0" w:before="0" w:line="240" w:lineRule="auto"/>
            </w:pPr>
            <w:r/>
            <w:r>
              <w:rPr>
                <w:rFonts w:ascii="Aptos" w:hAnsi="Aptos"/>
                <w:b w:val="0"/>
                <w:color w:val="111827"/>
                <w:sz w:val="11"/>
              </w:rPr>
              <w:t>27.0%</w:t>
            </w:r>
          </w:p>
        </w:tc>
        <w:tc>
          <w:tcPr>
            <w:tcW w:type="dxa" w:w="1512"/>
            <w:vAlign w:val="center"/>
            <w:shd w:fill="F5F7FA"/>
          </w:tcPr>
          <w:p>
            <w:pPr>
              <w:spacing w:after="0" w:before="0" w:line="240" w:lineRule="auto"/>
            </w:pPr>
            <w:r/>
            <w:r>
              <w:rPr>
                <w:rFonts w:ascii="Aptos" w:hAnsi="Aptos"/>
                <w:b w:val="0"/>
                <w:color w:val="111827"/>
                <w:sz w:val="11"/>
              </w:rPr>
              <w:t>Destruction/landfill</w:t>
            </w:r>
          </w:p>
        </w:tc>
        <w:tc>
          <w:tcPr>
            <w:tcW w:type="dxa" w:w="864"/>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$0.20</w:t>
            </w:r>
          </w:p>
        </w:tc>
        <w:tc>
          <w:tcPr>
            <w:tcW w:type="dxa" w:w="576"/>
            <w:vAlign w:val="center"/>
            <w:shd w:fill="F5F7FA"/>
          </w:tcPr>
          <w:p>
            <w:pPr>
              <w:spacing w:after="0" w:before="0" w:line="240" w:lineRule="auto"/>
            </w:pPr>
            <w:r/>
            <w:r>
              <w:rPr>
                <w:rFonts w:ascii="Aptos" w:hAnsi="Aptos"/>
                <w:b w:val="0"/>
                <w:color w:val="111827"/>
                <w:sz w:val="11"/>
              </w:rPr>
              <w:t>$0.15</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$1.25</w:t>
            </w:r>
          </w:p>
        </w:tc>
        <w:tc>
          <w:tcPr>
            <w:tcW w:type="dxa" w:w="576"/>
            <w:vAlign w:val="center"/>
            <w:shd w:fill="F5F7FA"/>
          </w:tcPr>
          <w:p>
            <w:pPr>
              <w:spacing w:after="0" w:before="0" w:line="240" w:lineRule="auto"/>
            </w:pPr>
            <w:r/>
            <w:r>
              <w:rPr>
                <w:rFonts w:ascii="Aptos" w:hAnsi="Aptos"/>
                <w:b w:val="0"/>
                <w:color w:val="111827"/>
                <w:sz w:val="11"/>
              </w:rPr>
              <w:t>15</w:t>
            </w:r>
          </w:p>
        </w:tc>
        <w:tc>
          <w:tcPr>
            <w:tcW w:type="dxa" w:w="792"/>
            <w:vAlign w:val="center"/>
            <w:shd w:fill="F5F7FA"/>
          </w:tcPr>
          <w:p>
            <w:pPr>
              <w:spacing w:after="0" w:before="0" w:line="240" w:lineRule="auto"/>
            </w:pPr>
            <w:r/>
            <w:r>
              <w:rPr>
                <w:rFonts w:ascii="Aptos" w:hAnsi="Aptos"/>
                <w:b w:val="0"/>
                <w:color w:val="111827"/>
                <w:sz w:val="11"/>
              </w:rPr>
              <w:t>$-1.59</w:t>
            </w:r>
          </w:p>
        </w:tc>
        <w:tc>
          <w:tcPr>
            <w:tcW w:type="dxa" w:w="792"/>
            <w:vAlign w:val="center"/>
            <w:shd w:fill="F5F7FA"/>
          </w:tcPr>
          <w:p>
            <w:pPr>
              <w:spacing w:after="0" w:before="0" w:line="240" w:lineRule="auto"/>
            </w:pPr>
            <w:r/>
            <w:r>
              <w:rPr>
                <w:rFonts w:ascii="Aptos" w:hAnsi="Aptos"/>
                <w:b w:val="0"/>
                <w:color w:val="111827"/>
                <w:sz w:val="11"/>
              </w:rPr>
              <w:t>$-0.43</w:t>
            </w:r>
          </w:p>
        </w:tc>
      </w:tr>
      <w:tr>
        <w:tc>
          <w:tcPr>
            <w:tcW w:type="dxa" w:w="2088"/>
            <w:vAlign w:val="center"/>
          </w:tcPr>
          <w:p>
            <w:pPr>
              <w:spacing w:after="0" w:before="0" w:line="240" w:lineRule="auto"/>
            </w:pPr>
            <w:r/>
            <w:r>
              <w:rPr>
                <w:rFonts w:ascii="Aptos" w:hAnsi="Aptos"/>
                <w:b/>
                <w:color w:val="111827"/>
                <w:sz w:val="11"/>
              </w:rPr>
              <w:t>Small household product ($20)</w:t>
            </w:r>
          </w:p>
        </w:tc>
        <w:tc>
          <w:tcPr>
            <w:tcW w:type="dxa" w:w="1584"/>
            <w:vAlign w:val="center"/>
          </w:tcPr>
          <w:p>
            <w:pPr>
              <w:spacing w:after="0" w:before="0" w:line="240" w:lineRule="auto"/>
            </w:pPr>
            <w:r/>
            <w:r>
              <w:rPr>
                <w:rFonts w:ascii="Aptos" w:hAnsi="Aptos"/>
                <w:b w:val="0"/>
                <w:color w:val="111827"/>
                <w:sz w:val="11"/>
              </w:rPr>
              <w:t>Unopened</w:t>
            </w:r>
          </w:p>
        </w:tc>
        <w:tc>
          <w:tcPr>
            <w:tcW w:type="dxa" w:w="576"/>
            <w:vAlign w:val="center"/>
          </w:tcPr>
          <w:p>
            <w:pPr>
              <w:spacing w:after="0" w:before="0" w:line="240" w:lineRule="auto"/>
            </w:pPr>
            <w:r/>
            <w:r>
              <w:rPr>
                <w:rFonts w:ascii="Aptos" w:hAnsi="Aptos"/>
                <w:b w:val="0"/>
                <w:color w:val="111827"/>
                <w:sz w:val="11"/>
              </w:rPr>
              <w:t>18.0%</w:t>
            </w:r>
          </w:p>
        </w:tc>
        <w:tc>
          <w:tcPr>
            <w:tcW w:type="dxa" w:w="1512"/>
            <w:vAlign w:val="center"/>
          </w:tcPr>
          <w:p>
            <w:pPr>
              <w:spacing w:after="0" w:before="0" w:line="240" w:lineRule="auto"/>
            </w:pPr>
            <w:r/>
            <w:r>
              <w:rPr>
                <w:rFonts w:ascii="Aptos" w:hAnsi="Aptos"/>
                <w:b w:val="0"/>
                <w:color w:val="111827"/>
                <w:sz w:val="11"/>
              </w:rPr>
              <w:t>Restock as new</w:t>
            </w:r>
          </w:p>
        </w:tc>
        <w:tc>
          <w:tcPr>
            <w:tcW w:type="dxa" w:w="864"/>
            <w:vAlign w:val="center"/>
          </w:tcPr>
          <w:p>
            <w:pPr>
              <w:spacing w:after="0" w:before="0" w:line="240" w:lineRule="auto"/>
            </w:pPr>
            <w:r/>
            <w:r>
              <w:rPr>
                <w:rFonts w:ascii="Aptos" w:hAnsi="Aptos"/>
                <w:b w:val="0"/>
                <w:color w:val="111827"/>
                <w:sz w:val="11"/>
              </w:rPr>
              <w:t>$19.97</w:t>
            </w:r>
          </w:p>
        </w:tc>
        <w:tc>
          <w:tcPr>
            <w:tcW w:type="dxa" w:w="648"/>
            <w:vAlign w:val="center"/>
          </w:tcPr>
          <w:p>
            <w:pPr>
              <w:spacing w:after="0" w:before="0" w:line="240" w:lineRule="auto"/>
            </w:pPr>
            <w:r/>
            <w:r>
              <w:rPr>
                <w:rFonts w:ascii="Aptos" w:hAnsi="Aptos"/>
                <w:b w:val="0"/>
                <w:color w:val="111827"/>
                <w:sz w:val="11"/>
              </w:rPr>
              <w:t>$0.32</w:t>
            </w:r>
          </w:p>
        </w:tc>
        <w:tc>
          <w:tcPr>
            <w:tcW w:type="dxa" w:w="576"/>
            <w:vAlign w:val="center"/>
          </w:tcPr>
          <w:p>
            <w:pPr>
              <w:spacing w:after="0" w:before="0" w:line="240" w:lineRule="auto"/>
            </w:pPr>
            <w:r/>
            <w:r>
              <w:rPr>
                <w:rFonts w:ascii="Aptos" w:hAnsi="Aptos"/>
                <w:b w:val="0"/>
                <w:color w:val="111827"/>
                <w:sz w:val="11"/>
              </w:rPr>
              <w:t>$0.20</w:t>
            </w:r>
          </w:p>
        </w:tc>
        <w:tc>
          <w:tcPr>
            <w:tcW w:type="dxa" w:w="648"/>
            <w:vAlign w:val="center"/>
          </w:tcPr>
          <w:p>
            <w:pPr>
              <w:spacing w:after="0" w:before="0" w:line="240" w:lineRule="auto"/>
            </w:pPr>
            <w:r/>
            <w:r>
              <w:rPr>
                <w:rFonts w:ascii="Aptos" w:hAnsi="Aptos"/>
                <w:b w:val="0"/>
                <w:color w:val="111827"/>
                <w:sz w:val="11"/>
              </w:rPr>
              <w:t>$0.56</w:t>
            </w:r>
          </w:p>
        </w:tc>
        <w:tc>
          <w:tcPr>
            <w:tcW w:type="dxa" w:w="648"/>
            <w:vAlign w:val="center"/>
          </w:tcPr>
          <w:p>
            <w:pPr>
              <w:spacing w:after="0" w:before="0" w:line="240" w:lineRule="auto"/>
            </w:pPr>
            <w:r/>
            <w:r>
              <w:rPr>
                <w:rFonts w:ascii="Aptos" w:hAnsi="Aptos"/>
                <w:b w:val="0"/>
                <w:color w:val="111827"/>
                <w:sz w:val="11"/>
              </w:rPr>
              <w:t>$5.50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10</w:t>
            </w:r>
          </w:p>
        </w:tc>
        <w:tc>
          <w:tcPr>
            <w:tcW w:type="dxa" w:w="792"/>
            <w:vAlign w:val="center"/>
          </w:tcPr>
          <w:p>
            <w:pPr>
              <w:spacing w:after="0" w:before="0" w:line="240" w:lineRule="auto"/>
            </w:pPr>
            <w:r/>
            <w:r>
              <w:rPr>
                <w:rFonts w:ascii="Aptos" w:hAnsi="Aptos"/>
                <w:b w:val="0"/>
                <w:color w:val="111827"/>
                <w:sz w:val="11"/>
              </w:rPr>
              <w:t>$13.35</w:t>
            </w:r>
          </w:p>
        </w:tc>
        <w:tc>
          <w:tcPr>
            <w:tcW w:type="dxa" w:w="792"/>
            <w:vAlign w:val="center"/>
          </w:tcPr>
          <w:p>
            <w:pPr>
              <w:spacing w:after="0" w:before="0" w:line="240" w:lineRule="auto"/>
            </w:pPr>
            <w:r/>
            <w:r>
              <w:rPr>
                <w:rFonts w:ascii="Aptos" w:hAnsi="Aptos"/>
                <w:b w:val="0"/>
                <w:color w:val="111827"/>
                <w:sz w:val="11"/>
              </w:rPr>
              <w:t>$2.40</w:t>
            </w:r>
          </w:p>
        </w:tc>
      </w:tr>
      <w:tr>
        <w:tc>
          <w:tcPr>
            <w:tcW w:type="dxa" w:w="2088"/>
            <w:vAlign w:val="center"/>
            <w:shd w:fill="F5F7FA"/>
          </w:tcPr>
          <w:p>
            <w:pPr>
              <w:spacing w:after="0" w:before="0" w:line="240" w:lineRule="auto"/>
            </w:pPr>
            <w:r/>
            <w:r>
              <w:rPr>
                <w:rFonts w:ascii="Aptos" w:hAnsi="Aptos"/>
                <w:b/>
                <w:color w:val="111827"/>
                <w:sz w:val="11"/>
              </w:rPr>
              <w:t>Small household product ($20)</w:t>
            </w:r>
          </w:p>
        </w:tc>
        <w:tc>
          <w:tcPr>
            <w:tcW w:type="dxa" w:w="1584"/>
            <w:vAlign w:val="center"/>
            <w:shd w:fill="F5F7FA"/>
          </w:tcPr>
          <w:p>
            <w:pPr>
              <w:spacing w:after="0" w:before="0" w:line="240" w:lineRule="auto"/>
            </w:pPr>
            <w:r/>
            <w:r>
              <w:rPr>
                <w:rFonts w:ascii="Aptos" w:hAnsi="Aptos"/>
                <w:b w:val="0"/>
                <w:color w:val="111827"/>
                <w:sz w:val="11"/>
              </w:rPr>
              <w:t>Opened but unused</w:t>
            </w:r>
          </w:p>
        </w:tc>
        <w:tc>
          <w:tcPr>
            <w:tcW w:type="dxa" w:w="576"/>
            <w:vAlign w:val="center"/>
            <w:shd w:fill="F5F7FA"/>
          </w:tcPr>
          <w:p>
            <w:pPr>
              <w:spacing w:after="0" w:before="0" w:line="240" w:lineRule="auto"/>
            </w:pPr>
            <w:r/>
            <w:r>
              <w:rPr>
                <w:rFonts w:ascii="Aptos" w:hAnsi="Aptos"/>
                <w:b w:val="0"/>
                <w:color w:val="111827"/>
                <w:sz w:val="11"/>
              </w:rPr>
              <w:t>25.0%</w:t>
            </w:r>
          </w:p>
        </w:tc>
        <w:tc>
          <w:tcPr>
            <w:tcW w:type="dxa" w:w="1512"/>
            <w:vAlign w:val="center"/>
            <w:shd w:fill="F5F7FA"/>
          </w:tcPr>
          <w:p>
            <w:pPr>
              <w:spacing w:after="0" w:before="0" w:line="240" w:lineRule="auto"/>
            </w:pPr>
            <w:r/>
            <w:r>
              <w:rPr>
                <w:rFonts w:ascii="Aptos" w:hAnsi="Aptos"/>
                <w:b w:val="0"/>
                <w:color w:val="111827"/>
                <w:sz w:val="11"/>
              </w:rPr>
              <w:t>Outlet/off-price</w:t>
            </w:r>
          </w:p>
        </w:tc>
        <w:tc>
          <w:tcPr>
            <w:tcW w:type="dxa" w:w="864"/>
            <w:vAlign w:val="center"/>
            <w:shd w:fill="F5F7FA"/>
          </w:tcPr>
          <w:p>
            <w:pPr>
              <w:spacing w:after="0" w:before="0" w:line="240" w:lineRule="auto"/>
            </w:pPr>
            <w:r/>
            <w:r>
              <w:rPr>
                <w:rFonts w:ascii="Aptos" w:hAnsi="Aptos"/>
                <w:b w:val="0"/>
                <w:color w:val="111827"/>
                <w:sz w:val="11"/>
              </w:rPr>
              <w:t>$7.56</w:t>
            </w:r>
          </w:p>
        </w:tc>
        <w:tc>
          <w:tcPr>
            <w:tcW w:type="dxa" w:w="648"/>
            <w:vAlign w:val="center"/>
            <w:shd w:fill="F5F7FA"/>
          </w:tcPr>
          <w:p>
            <w:pPr>
              <w:spacing w:after="0" w:before="0" w:line="240" w:lineRule="auto"/>
            </w:pPr>
            <w:r/>
            <w:r>
              <w:rPr>
                <w:rFonts w:ascii="Aptos" w:hAnsi="Aptos"/>
                <w:b w:val="0"/>
                <w:color w:val="111827"/>
                <w:sz w:val="11"/>
              </w:rPr>
              <w:t>$1.20</w:t>
            </w:r>
          </w:p>
        </w:tc>
        <w:tc>
          <w:tcPr>
            <w:tcW w:type="dxa" w:w="576"/>
            <w:vAlign w:val="center"/>
            <w:shd w:fill="F5F7FA"/>
          </w:tcPr>
          <w:p>
            <w:pPr>
              <w:spacing w:after="0" w:before="0" w:line="240" w:lineRule="auto"/>
            </w:pPr>
            <w:r/>
            <w:r>
              <w:rPr>
                <w:rFonts w:ascii="Aptos" w:hAnsi="Aptos"/>
                <w:b w:val="0"/>
                <w:color w:val="111827"/>
                <w:sz w:val="11"/>
              </w:rPr>
              <w:t>$0.70</w:t>
            </w:r>
          </w:p>
        </w:tc>
        <w:tc>
          <w:tcPr>
            <w:tcW w:type="dxa" w:w="648"/>
            <w:vAlign w:val="center"/>
            <w:shd w:fill="F5F7FA"/>
          </w:tcPr>
          <w:p>
            <w:pPr>
              <w:spacing w:after="0" w:before="0" w:line="240" w:lineRule="auto"/>
            </w:pPr>
            <w:r/>
            <w:r>
              <w:rPr>
                <w:rFonts w:ascii="Aptos" w:hAnsi="Aptos"/>
                <w:b w:val="0"/>
                <w:color w:val="111827"/>
                <w:sz w:val="11"/>
              </w:rPr>
              <w:t>$0.38</w:t>
            </w:r>
          </w:p>
        </w:tc>
        <w:tc>
          <w:tcPr>
            <w:tcW w:type="dxa" w:w="648"/>
            <w:vAlign w:val="center"/>
            <w:shd w:fill="F5F7FA"/>
          </w:tcPr>
          <w:p>
            <w:pPr>
              <w:spacing w:after="0" w:before="0" w:line="240" w:lineRule="auto"/>
            </w:pPr>
            <w:r/>
            <w:r>
              <w:rPr>
                <w:rFonts w:ascii="Aptos" w:hAnsi="Aptos"/>
                <w:b w:val="0"/>
                <w:color w:val="111827"/>
                <w:sz w:val="11"/>
              </w:rPr>
              <w:t>$1.50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35</w:t>
            </w:r>
          </w:p>
        </w:tc>
        <w:tc>
          <w:tcPr>
            <w:tcW w:type="dxa" w:w="792"/>
            <w:vAlign w:val="center"/>
            <w:shd w:fill="F5F7FA"/>
          </w:tcPr>
          <w:p>
            <w:pPr>
              <w:spacing w:after="0" w:before="0" w:line="240" w:lineRule="auto"/>
            </w:pPr>
            <w:r/>
            <w:r>
              <w:rPr>
                <w:rFonts w:ascii="Aptos" w:hAnsi="Aptos"/>
                <w:b w:val="0"/>
                <w:color w:val="111827"/>
                <w:sz w:val="11"/>
              </w:rPr>
              <w:t>$3.74</w:t>
            </w:r>
          </w:p>
        </w:tc>
        <w:tc>
          <w:tcPr>
            <w:tcW w:type="dxa" w:w="792"/>
            <w:vAlign w:val="center"/>
            <w:shd w:fill="F5F7FA"/>
          </w:tcPr>
          <w:p>
            <w:pPr>
              <w:spacing w:after="0" w:before="0" w:line="240" w:lineRule="auto"/>
            </w:pPr>
            <w:r/>
            <w:r>
              <w:rPr>
                <w:rFonts w:ascii="Aptos" w:hAnsi="Aptos"/>
                <w:b w:val="0"/>
                <w:color w:val="111827"/>
                <w:sz w:val="11"/>
              </w:rPr>
              <w:t>$0.93</w:t>
            </w:r>
          </w:p>
        </w:tc>
      </w:tr>
      <w:tr>
        <w:tc>
          <w:tcPr>
            <w:tcW w:type="dxa" w:w="2088"/>
            <w:vAlign w:val="center"/>
          </w:tcPr>
          <w:p>
            <w:pPr>
              <w:spacing w:after="0" w:before="0" w:line="240" w:lineRule="auto"/>
            </w:pPr>
            <w:r/>
            <w:r>
              <w:rPr>
                <w:rFonts w:ascii="Aptos" w:hAnsi="Aptos"/>
                <w:b/>
                <w:color w:val="111827"/>
                <w:sz w:val="11"/>
              </w:rPr>
              <w:t>Small household product ($20)</w:t>
            </w:r>
          </w:p>
        </w:tc>
        <w:tc>
          <w:tcPr>
            <w:tcW w:type="dxa" w:w="1584"/>
            <w:vAlign w:val="center"/>
          </w:tcPr>
          <w:p>
            <w:pPr>
              <w:spacing w:after="0" w:before="0" w:line="240" w:lineRule="auto"/>
            </w:pPr>
            <w:r/>
            <w:r>
              <w:rPr>
                <w:rFonts w:ascii="Aptos" w:hAnsi="Aptos"/>
                <w:b w:val="0"/>
                <w:color w:val="111827"/>
                <w:sz w:val="11"/>
              </w:rPr>
              <w:t>Lightly used</w:t>
            </w:r>
          </w:p>
        </w:tc>
        <w:tc>
          <w:tcPr>
            <w:tcW w:type="dxa" w:w="576"/>
            <w:vAlign w:val="center"/>
          </w:tcPr>
          <w:p>
            <w:pPr>
              <w:spacing w:after="0" w:before="0" w:line="240" w:lineRule="auto"/>
            </w:pPr>
            <w:r/>
            <w:r>
              <w:rPr>
                <w:rFonts w:ascii="Aptos" w:hAnsi="Aptos"/>
                <w:b w:val="0"/>
                <w:color w:val="111827"/>
                <w:sz w:val="11"/>
              </w:rPr>
              <w:t>25.0%</w:t>
            </w:r>
          </w:p>
        </w:tc>
        <w:tc>
          <w:tcPr>
            <w:tcW w:type="dxa" w:w="1512"/>
            <w:vAlign w:val="center"/>
          </w:tcPr>
          <w:p>
            <w:pPr>
              <w:spacing w:after="0" w:before="0" w:line="240" w:lineRule="auto"/>
            </w:pPr>
            <w:r/>
            <w:r>
              <w:rPr>
                <w:rFonts w:ascii="Aptos" w:hAnsi="Aptos"/>
                <w:b w:val="0"/>
                <w:color w:val="111827"/>
                <w:sz w:val="11"/>
              </w:rPr>
              <w:t>Outlet/off-price</w:t>
            </w:r>
          </w:p>
        </w:tc>
        <w:tc>
          <w:tcPr>
            <w:tcW w:type="dxa" w:w="864"/>
            <w:vAlign w:val="center"/>
          </w:tcPr>
          <w:p>
            <w:pPr>
              <w:spacing w:after="0" w:before="0" w:line="240" w:lineRule="auto"/>
            </w:pPr>
            <w:r/>
            <w:r>
              <w:rPr>
                <w:rFonts w:ascii="Aptos" w:hAnsi="Aptos"/>
                <w:b w:val="0"/>
                <w:color w:val="111827"/>
                <w:sz w:val="11"/>
              </w:rPr>
              <w:t>$6.36</w:t>
            </w:r>
          </w:p>
        </w:tc>
        <w:tc>
          <w:tcPr>
            <w:tcW w:type="dxa" w:w="648"/>
            <w:vAlign w:val="center"/>
          </w:tcPr>
          <w:p>
            <w:pPr>
              <w:spacing w:after="0" w:before="0" w:line="240" w:lineRule="auto"/>
            </w:pPr>
            <w:r/>
            <w:r>
              <w:rPr>
                <w:rFonts w:ascii="Aptos" w:hAnsi="Aptos"/>
                <w:b w:val="0"/>
                <w:color w:val="111827"/>
                <w:sz w:val="11"/>
              </w:rPr>
              <w:t>$1.65</w:t>
            </w:r>
          </w:p>
        </w:tc>
        <w:tc>
          <w:tcPr>
            <w:tcW w:type="dxa" w:w="576"/>
            <w:vAlign w:val="center"/>
          </w:tcPr>
          <w:p>
            <w:pPr>
              <w:spacing w:after="0" w:before="0" w:line="240" w:lineRule="auto"/>
            </w:pPr>
            <w:r/>
            <w:r>
              <w:rPr>
                <w:rFonts w:ascii="Aptos" w:hAnsi="Aptos"/>
                <w:b w:val="0"/>
                <w:color w:val="111827"/>
                <w:sz w:val="11"/>
              </w:rPr>
              <w:t>$0.70</w:t>
            </w:r>
          </w:p>
        </w:tc>
        <w:tc>
          <w:tcPr>
            <w:tcW w:type="dxa" w:w="648"/>
            <w:vAlign w:val="center"/>
          </w:tcPr>
          <w:p>
            <w:pPr>
              <w:spacing w:after="0" w:before="0" w:line="240" w:lineRule="auto"/>
            </w:pPr>
            <w:r/>
            <w:r>
              <w:rPr>
                <w:rFonts w:ascii="Aptos" w:hAnsi="Aptos"/>
                <w:b w:val="0"/>
                <w:color w:val="111827"/>
                <w:sz w:val="11"/>
              </w:rPr>
              <w:t>$0.32</w:t>
            </w:r>
          </w:p>
        </w:tc>
        <w:tc>
          <w:tcPr>
            <w:tcW w:type="dxa" w:w="648"/>
            <w:vAlign w:val="center"/>
          </w:tcPr>
          <w:p>
            <w:pPr>
              <w:spacing w:after="0" w:before="0" w:line="240" w:lineRule="auto"/>
            </w:pPr>
            <w:r/>
            <w:r>
              <w:rPr>
                <w:rFonts w:ascii="Aptos" w:hAnsi="Aptos"/>
                <w:b w:val="0"/>
                <w:color w:val="111827"/>
                <w:sz w:val="11"/>
              </w:rPr>
              <w:t>$1.50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35</w:t>
            </w:r>
          </w:p>
        </w:tc>
        <w:tc>
          <w:tcPr>
            <w:tcW w:type="dxa" w:w="792"/>
            <w:vAlign w:val="center"/>
          </w:tcPr>
          <w:p>
            <w:pPr>
              <w:spacing w:after="0" w:before="0" w:line="240" w:lineRule="auto"/>
            </w:pPr>
            <w:r/>
            <w:r>
              <w:rPr>
                <w:rFonts w:ascii="Aptos" w:hAnsi="Aptos"/>
                <w:b w:val="0"/>
                <w:color w:val="111827"/>
                <w:sz w:val="11"/>
              </w:rPr>
              <w:t>$2.17</w:t>
            </w:r>
          </w:p>
        </w:tc>
        <w:tc>
          <w:tcPr>
            <w:tcW w:type="dxa" w:w="792"/>
            <w:vAlign w:val="center"/>
          </w:tcPr>
          <w:p>
            <w:pPr>
              <w:spacing w:after="0" w:before="0" w:line="240" w:lineRule="auto"/>
            </w:pPr>
            <w:r/>
            <w:r>
              <w:rPr>
                <w:rFonts w:ascii="Aptos" w:hAnsi="Aptos"/>
                <w:b w:val="0"/>
                <w:color w:val="111827"/>
                <w:sz w:val="11"/>
              </w:rPr>
              <w:t>$0.54</w:t>
            </w:r>
          </w:p>
        </w:tc>
      </w:tr>
      <w:tr>
        <w:tc>
          <w:tcPr>
            <w:tcW w:type="dxa" w:w="2088"/>
            <w:vAlign w:val="center"/>
            <w:shd w:fill="F5F7FA"/>
          </w:tcPr>
          <w:p>
            <w:pPr>
              <w:spacing w:after="0" w:before="0" w:line="240" w:lineRule="auto"/>
            </w:pPr>
            <w:r/>
            <w:r>
              <w:rPr>
                <w:rFonts w:ascii="Aptos" w:hAnsi="Aptos"/>
                <w:b/>
                <w:color w:val="111827"/>
                <w:sz w:val="11"/>
              </w:rPr>
              <w:t>Small household product ($20)</w:t>
            </w:r>
          </w:p>
        </w:tc>
        <w:tc>
          <w:tcPr>
            <w:tcW w:type="dxa" w:w="1584"/>
            <w:vAlign w:val="center"/>
            <w:shd w:fill="F5F7FA"/>
          </w:tcPr>
          <w:p>
            <w:pPr>
              <w:spacing w:after="0" w:before="0" w:line="240" w:lineRule="auto"/>
            </w:pPr>
            <w:r/>
            <w:r>
              <w:rPr>
                <w:rFonts w:ascii="Aptos" w:hAnsi="Aptos"/>
                <w:b w:val="0"/>
                <w:color w:val="111827"/>
                <w:sz w:val="11"/>
              </w:rPr>
              <w:t>Damaged but repairable</w:t>
            </w:r>
          </w:p>
        </w:tc>
        <w:tc>
          <w:tcPr>
            <w:tcW w:type="dxa" w:w="576"/>
            <w:vAlign w:val="center"/>
            <w:shd w:fill="F5F7FA"/>
          </w:tcPr>
          <w:p>
            <w:pPr>
              <w:spacing w:after="0" w:before="0" w:line="240" w:lineRule="auto"/>
            </w:pPr>
            <w:r/>
            <w:r>
              <w:rPr>
                <w:rFonts w:ascii="Aptos" w:hAnsi="Aptos"/>
                <w:b w:val="0"/>
                <w:color w:val="111827"/>
                <w:sz w:val="11"/>
              </w:rPr>
              <w:t>10.0%</w:t>
            </w:r>
          </w:p>
        </w:tc>
        <w:tc>
          <w:tcPr>
            <w:tcW w:type="dxa" w:w="1512"/>
            <w:vAlign w:val="center"/>
            <w:shd w:fill="F5F7FA"/>
          </w:tcPr>
          <w:p>
            <w:pPr>
              <w:spacing w:after="0" w:before="0" w:line="240" w:lineRule="auto"/>
            </w:pPr>
            <w:r/>
            <w:r>
              <w:rPr>
                <w:rFonts w:ascii="Aptos" w:hAnsi="Aptos"/>
                <w:b w:val="0"/>
                <w:color w:val="111827"/>
                <w:sz w:val="11"/>
              </w:rPr>
              <w:t>Outlet/off-price</w:t>
            </w:r>
          </w:p>
        </w:tc>
        <w:tc>
          <w:tcPr>
            <w:tcW w:type="dxa" w:w="864"/>
            <w:vAlign w:val="center"/>
            <w:shd w:fill="F5F7FA"/>
          </w:tcPr>
          <w:p>
            <w:pPr>
              <w:spacing w:after="0" w:before="0" w:line="240" w:lineRule="auto"/>
            </w:pPr>
            <w:r/>
            <w:r>
              <w:rPr>
                <w:rFonts w:ascii="Aptos" w:hAnsi="Aptos"/>
                <w:b w:val="0"/>
                <w:color w:val="111827"/>
                <w:sz w:val="11"/>
              </w:rPr>
              <w:t>$3.58</w:t>
            </w:r>
          </w:p>
        </w:tc>
        <w:tc>
          <w:tcPr>
            <w:tcW w:type="dxa" w:w="648"/>
            <w:vAlign w:val="center"/>
            <w:shd w:fill="F5F7FA"/>
          </w:tcPr>
          <w:p>
            <w:pPr>
              <w:spacing w:after="0" w:before="0" w:line="240" w:lineRule="auto"/>
            </w:pPr>
            <w:r/>
            <w:r>
              <w:rPr>
                <w:rFonts w:ascii="Aptos" w:hAnsi="Aptos"/>
                <w:b w:val="0"/>
                <w:color w:val="111827"/>
                <w:sz w:val="11"/>
              </w:rPr>
              <w:t>$2.70</w:t>
            </w:r>
          </w:p>
        </w:tc>
        <w:tc>
          <w:tcPr>
            <w:tcW w:type="dxa" w:w="576"/>
            <w:vAlign w:val="center"/>
            <w:shd w:fill="F5F7FA"/>
          </w:tcPr>
          <w:p>
            <w:pPr>
              <w:spacing w:after="0" w:before="0" w:line="240" w:lineRule="auto"/>
            </w:pPr>
            <w:r/>
            <w:r>
              <w:rPr>
                <w:rFonts w:ascii="Aptos" w:hAnsi="Aptos"/>
                <w:b w:val="0"/>
                <w:color w:val="111827"/>
                <w:sz w:val="11"/>
              </w:rPr>
              <w:t>$0.70</w:t>
            </w:r>
          </w:p>
        </w:tc>
        <w:tc>
          <w:tcPr>
            <w:tcW w:type="dxa" w:w="648"/>
            <w:vAlign w:val="center"/>
            <w:shd w:fill="F5F7FA"/>
          </w:tcPr>
          <w:p>
            <w:pPr>
              <w:spacing w:after="0" w:before="0" w:line="240" w:lineRule="auto"/>
            </w:pPr>
            <w:r/>
            <w:r>
              <w:rPr>
                <w:rFonts w:ascii="Aptos" w:hAnsi="Aptos"/>
                <w:b w:val="0"/>
                <w:color w:val="111827"/>
                <w:sz w:val="11"/>
              </w:rPr>
              <w:t>$0.18</w:t>
            </w:r>
          </w:p>
        </w:tc>
        <w:tc>
          <w:tcPr>
            <w:tcW w:type="dxa" w:w="648"/>
            <w:vAlign w:val="center"/>
            <w:shd w:fill="F5F7FA"/>
          </w:tcPr>
          <w:p>
            <w:pPr>
              <w:spacing w:after="0" w:before="0" w:line="240" w:lineRule="auto"/>
            </w:pPr>
            <w:r/>
            <w:r>
              <w:rPr>
                <w:rFonts w:ascii="Aptos" w:hAnsi="Aptos"/>
                <w:b w:val="0"/>
                <w:color w:val="111827"/>
                <w:sz w:val="11"/>
              </w:rPr>
              <w:t>$1.50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35</w:t>
            </w:r>
          </w:p>
        </w:tc>
        <w:tc>
          <w:tcPr>
            <w:tcW w:type="dxa" w:w="792"/>
            <w:vAlign w:val="center"/>
            <w:shd w:fill="F5F7FA"/>
          </w:tcPr>
          <w:p>
            <w:pPr>
              <w:spacing w:after="0" w:before="0" w:line="240" w:lineRule="auto"/>
            </w:pPr>
            <w:r/>
            <w:r>
              <w:rPr>
                <w:rFonts w:ascii="Aptos" w:hAnsi="Aptos"/>
                <w:b w:val="0"/>
                <w:color w:val="111827"/>
                <w:sz w:val="11"/>
              </w:rPr>
              <w:t>$-1.48</w:t>
            </w:r>
          </w:p>
        </w:tc>
        <w:tc>
          <w:tcPr>
            <w:tcW w:type="dxa" w:w="792"/>
            <w:vAlign w:val="center"/>
            <w:shd w:fill="F5F7FA"/>
          </w:tcPr>
          <w:p>
            <w:pPr>
              <w:spacing w:after="0" w:before="0" w:line="240" w:lineRule="auto"/>
            </w:pPr>
            <w:r/>
            <w:r>
              <w:rPr>
                <w:rFonts w:ascii="Aptos" w:hAnsi="Aptos"/>
                <w:b w:val="0"/>
                <w:color w:val="111827"/>
                <w:sz w:val="11"/>
              </w:rPr>
              <w:t>$-0.15</w:t>
            </w:r>
          </w:p>
        </w:tc>
      </w:tr>
      <w:tr>
        <w:tc>
          <w:tcPr>
            <w:tcW w:type="dxa" w:w="2088"/>
            <w:vAlign w:val="center"/>
          </w:tcPr>
          <w:p>
            <w:pPr>
              <w:spacing w:after="0" w:before="0" w:line="240" w:lineRule="auto"/>
            </w:pPr>
            <w:r/>
            <w:r>
              <w:rPr>
                <w:rFonts w:ascii="Aptos" w:hAnsi="Aptos"/>
                <w:b/>
                <w:color w:val="111827"/>
                <w:sz w:val="11"/>
              </w:rPr>
              <w:t>Small household product ($20)</w:t>
            </w:r>
          </w:p>
        </w:tc>
        <w:tc>
          <w:tcPr>
            <w:tcW w:type="dxa" w:w="1584"/>
            <w:vAlign w:val="center"/>
          </w:tcPr>
          <w:p>
            <w:pPr>
              <w:spacing w:after="0" w:before="0" w:line="240" w:lineRule="auto"/>
            </w:pPr>
            <w:r/>
            <w:r>
              <w:rPr>
                <w:rFonts w:ascii="Aptos" w:hAnsi="Aptos"/>
                <w:b w:val="0"/>
                <w:color w:val="111827"/>
                <w:sz w:val="11"/>
              </w:rPr>
              <w:t>Incomplete</w:t>
            </w:r>
          </w:p>
        </w:tc>
        <w:tc>
          <w:tcPr>
            <w:tcW w:type="dxa" w:w="576"/>
            <w:vAlign w:val="center"/>
          </w:tcPr>
          <w:p>
            <w:pPr>
              <w:spacing w:after="0" w:before="0" w:line="240" w:lineRule="auto"/>
            </w:pPr>
            <w:r/>
            <w:r>
              <w:rPr>
                <w:rFonts w:ascii="Aptos" w:hAnsi="Aptos"/>
                <w:b w:val="0"/>
                <w:color w:val="111827"/>
                <w:sz w:val="11"/>
              </w:rPr>
              <w:t>8.0%</w:t>
            </w:r>
          </w:p>
        </w:tc>
        <w:tc>
          <w:tcPr>
            <w:tcW w:type="dxa" w:w="1512"/>
            <w:vAlign w:val="center"/>
          </w:tcPr>
          <w:p>
            <w:pPr>
              <w:spacing w:after="0" w:before="0" w:line="240" w:lineRule="auto"/>
            </w:pPr>
            <w:r/>
            <w:r>
              <w:rPr>
                <w:rFonts w:ascii="Aptos" w:hAnsi="Aptos"/>
                <w:b w:val="0"/>
                <w:color w:val="111827"/>
                <w:sz w:val="11"/>
              </w:rPr>
              <w:t>Liquidation</w:t>
            </w:r>
          </w:p>
        </w:tc>
        <w:tc>
          <w:tcPr>
            <w:tcW w:type="dxa" w:w="864"/>
            <w:vAlign w:val="center"/>
          </w:tcPr>
          <w:p>
            <w:pPr>
              <w:spacing w:after="0" w:before="0" w:line="240" w:lineRule="auto"/>
            </w:pPr>
            <w:r/>
            <w:r>
              <w:rPr>
                <w:rFonts w:ascii="Aptos" w:hAnsi="Aptos"/>
                <w:b w:val="0"/>
                <w:color w:val="111827"/>
                <w:sz w:val="11"/>
              </w:rPr>
              <w:t>$0.97</w:t>
            </w:r>
          </w:p>
        </w:tc>
        <w:tc>
          <w:tcPr>
            <w:tcW w:type="dxa" w:w="648"/>
            <w:vAlign w:val="center"/>
          </w:tcPr>
          <w:p>
            <w:pPr>
              <w:spacing w:after="0" w:before="0" w:line="240" w:lineRule="auto"/>
            </w:pPr>
            <w:r/>
            <w:r>
              <w:rPr>
                <w:rFonts w:ascii="Aptos" w:hAnsi="Aptos"/>
                <w:b w:val="0"/>
                <w:color w:val="111827"/>
                <w:sz w:val="11"/>
              </w:rPr>
              <w:t>$0.60</w:t>
            </w:r>
          </w:p>
        </w:tc>
        <w:tc>
          <w:tcPr>
            <w:tcW w:type="dxa" w:w="576"/>
            <w:vAlign w:val="center"/>
          </w:tcPr>
          <w:p>
            <w:pPr>
              <w:spacing w:after="0" w:before="0" w:line="240" w:lineRule="auto"/>
            </w:pPr>
            <w:r/>
            <w:r>
              <w:rPr>
                <w:rFonts w:ascii="Aptos" w:hAnsi="Aptos"/>
                <w:b w:val="0"/>
                <w:color w:val="111827"/>
                <w:sz w:val="11"/>
              </w:rPr>
              <w:t>$1.00</w:t>
            </w:r>
          </w:p>
        </w:tc>
        <w:tc>
          <w:tcPr>
            <w:tcW w:type="dxa" w:w="648"/>
            <w:vAlign w:val="center"/>
          </w:tcPr>
          <w:p>
            <w:pPr>
              <w:spacing w:after="0" w:before="0" w:line="240" w:lineRule="auto"/>
            </w:pPr>
            <w:r/>
            <w:r>
              <w:rPr>
                <w:rFonts w:ascii="Aptos" w:hAnsi="Aptos"/>
                <w:b w:val="0"/>
                <w:color w:val="111827"/>
                <w:sz w:val="11"/>
              </w:rPr>
              <w:t>$0.15</w:t>
            </w:r>
          </w:p>
        </w:tc>
        <w:tc>
          <w:tcPr>
            <w:tcW w:type="dxa" w:w="648"/>
            <w:vAlign w:val="center"/>
          </w:tcPr>
          <w:p>
            <w:pPr>
              <w:spacing w:after="0" w:before="0" w:line="240" w:lineRule="auto"/>
            </w:pPr>
            <w:r/>
            <w:r>
              <w:rPr>
                <w:rFonts w:ascii="Aptos" w:hAnsi="Aptos"/>
                <w:b w:val="0"/>
                <w:color w:val="111827"/>
                <w:sz w:val="11"/>
              </w:rPr>
              <w:t>$1.00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50</w:t>
            </w:r>
          </w:p>
        </w:tc>
        <w:tc>
          <w:tcPr>
            <w:tcW w:type="dxa" w:w="792"/>
            <w:vAlign w:val="center"/>
          </w:tcPr>
          <w:p>
            <w:pPr>
              <w:spacing w:after="0" w:before="0" w:line="240" w:lineRule="auto"/>
            </w:pPr>
            <w:r/>
            <w:r>
              <w:rPr>
                <w:rFonts w:ascii="Aptos" w:hAnsi="Aptos"/>
                <w:b w:val="0"/>
                <w:color w:val="111827"/>
                <w:sz w:val="11"/>
              </w:rPr>
              <w:t>$-1.75</w:t>
            </w:r>
          </w:p>
        </w:tc>
        <w:tc>
          <w:tcPr>
            <w:tcW w:type="dxa" w:w="792"/>
            <w:vAlign w:val="center"/>
          </w:tcPr>
          <w:p>
            <w:pPr>
              <w:spacing w:after="0" w:before="0" w:line="240" w:lineRule="auto"/>
            </w:pPr>
            <w:r/>
            <w:r>
              <w:rPr>
                <w:rFonts w:ascii="Aptos" w:hAnsi="Aptos"/>
                <w:b w:val="0"/>
                <w:color w:val="111827"/>
                <w:sz w:val="11"/>
              </w:rPr>
              <w:t>$-0.14</w:t>
            </w:r>
          </w:p>
        </w:tc>
      </w:tr>
      <w:tr>
        <w:tc>
          <w:tcPr>
            <w:tcW w:type="dxa" w:w="2088"/>
            <w:vAlign w:val="center"/>
            <w:shd w:fill="F5F7FA"/>
          </w:tcPr>
          <w:p>
            <w:pPr>
              <w:spacing w:after="0" w:before="0" w:line="240" w:lineRule="auto"/>
            </w:pPr>
            <w:r/>
            <w:r>
              <w:rPr>
                <w:rFonts w:ascii="Aptos" w:hAnsi="Aptos"/>
                <w:b/>
                <w:color w:val="111827"/>
                <w:sz w:val="11"/>
              </w:rPr>
              <w:t>Small household product ($20)</w:t>
            </w:r>
          </w:p>
        </w:tc>
        <w:tc>
          <w:tcPr>
            <w:tcW w:type="dxa" w:w="1584"/>
            <w:vAlign w:val="center"/>
            <w:shd w:fill="F5F7FA"/>
          </w:tcPr>
          <w:p>
            <w:pPr>
              <w:spacing w:after="0" w:before="0" w:line="240" w:lineRule="auto"/>
            </w:pPr>
            <w:r/>
            <w:r>
              <w:rPr>
                <w:rFonts w:ascii="Aptos" w:hAnsi="Aptos"/>
                <w:b w:val="0"/>
                <w:color w:val="111827"/>
                <w:sz w:val="11"/>
              </w:rPr>
              <w:t>Counterfeit or substituted</w:t>
            </w:r>
          </w:p>
        </w:tc>
        <w:tc>
          <w:tcPr>
            <w:tcW w:type="dxa" w:w="576"/>
            <w:vAlign w:val="center"/>
            <w:shd w:fill="F5F7FA"/>
          </w:tcPr>
          <w:p>
            <w:pPr>
              <w:spacing w:after="0" w:before="0" w:line="240" w:lineRule="auto"/>
            </w:pPr>
            <w:r/>
            <w:r>
              <w:rPr>
                <w:rFonts w:ascii="Aptos" w:hAnsi="Aptos"/>
                <w:b w:val="0"/>
                <w:color w:val="111827"/>
                <w:sz w:val="11"/>
              </w:rPr>
              <w:t>1.0%</w:t>
            </w:r>
          </w:p>
        </w:tc>
        <w:tc>
          <w:tcPr>
            <w:tcW w:type="dxa" w:w="1512"/>
            <w:vAlign w:val="center"/>
            <w:shd w:fill="F5F7FA"/>
          </w:tcPr>
          <w:p>
            <w:pPr>
              <w:spacing w:after="0" w:before="0" w:line="240" w:lineRule="auto"/>
            </w:pPr>
            <w:r/>
            <w:r>
              <w:rPr>
                <w:rFonts w:ascii="Aptos" w:hAnsi="Aptos"/>
                <w:b w:val="0"/>
                <w:color w:val="111827"/>
                <w:sz w:val="11"/>
              </w:rPr>
              <w:t>Fraudulent/missing</w:t>
            </w:r>
          </w:p>
        </w:tc>
        <w:tc>
          <w:tcPr>
            <w:tcW w:type="dxa" w:w="864"/>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$0.40</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20</w:t>
            </w:r>
          </w:p>
        </w:tc>
        <w:tc>
          <w:tcPr>
            <w:tcW w:type="dxa" w:w="792"/>
            <w:vAlign w:val="center"/>
            <w:shd w:fill="F5F7FA"/>
          </w:tcPr>
          <w:p>
            <w:pPr>
              <w:spacing w:after="0" w:before="0" w:line="240" w:lineRule="auto"/>
            </w:pPr>
            <w:r/>
            <w:r>
              <w:rPr>
                <w:rFonts w:ascii="Aptos" w:hAnsi="Aptos"/>
                <w:b w:val="0"/>
                <w:color w:val="111827"/>
                <w:sz w:val="11"/>
              </w:rPr>
              <w:t>$-0.40</w:t>
            </w:r>
          </w:p>
        </w:tc>
        <w:tc>
          <w:tcPr>
            <w:tcW w:type="dxa" w:w="792"/>
            <w:vAlign w:val="center"/>
            <w:shd w:fill="F5F7FA"/>
          </w:tcPr>
          <w:p>
            <w:pPr>
              <w:spacing w:after="0" w:before="0" w:line="240" w:lineRule="auto"/>
            </w:pPr>
            <w:r/>
            <w:r>
              <w:rPr>
                <w:rFonts w:ascii="Aptos" w:hAnsi="Aptos"/>
                <w:b w:val="0"/>
                <w:color w:val="111827"/>
                <w:sz w:val="11"/>
              </w:rPr>
              <w:t>$-0.00</w:t>
            </w:r>
          </w:p>
        </w:tc>
      </w:tr>
      <w:tr>
        <w:tc>
          <w:tcPr>
            <w:tcW w:type="dxa" w:w="2088"/>
            <w:vAlign w:val="center"/>
          </w:tcPr>
          <w:p>
            <w:pPr>
              <w:spacing w:after="0" w:before="0" w:line="240" w:lineRule="auto"/>
            </w:pPr>
            <w:r/>
            <w:r>
              <w:rPr>
                <w:rFonts w:ascii="Aptos" w:hAnsi="Aptos"/>
                <w:b/>
                <w:color w:val="111827"/>
                <w:sz w:val="11"/>
              </w:rPr>
              <w:t>Small household product ($20)</w:t>
            </w:r>
          </w:p>
        </w:tc>
        <w:tc>
          <w:tcPr>
            <w:tcW w:type="dxa" w:w="1584"/>
            <w:vAlign w:val="center"/>
          </w:tcPr>
          <w:p>
            <w:pPr>
              <w:spacing w:after="0" w:before="0" w:line="240" w:lineRule="auto"/>
            </w:pPr>
            <w:r/>
            <w:r>
              <w:rPr>
                <w:rFonts w:ascii="Aptos" w:hAnsi="Aptos"/>
                <w:b w:val="0"/>
                <w:color w:val="111827"/>
                <w:sz w:val="11"/>
              </w:rPr>
              <w:t>Unsellable</w:t>
            </w:r>
          </w:p>
        </w:tc>
        <w:tc>
          <w:tcPr>
            <w:tcW w:type="dxa" w:w="576"/>
            <w:vAlign w:val="center"/>
          </w:tcPr>
          <w:p>
            <w:pPr>
              <w:spacing w:after="0" w:before="0" w:line="240" w:lineRule="auto"/>
            </w:pPr>
            <w:r/>
            <w:r>
              <w:rPr>
                <w:rFonts w:ascii="Aptos" w:hAnsi="Aptos"/>
                <w:b w:val="0"/>
                <w:color w:val="111827"/>
                <w:sz w:val="11"/>
              </w:rPr>
              <w:t>13.0%</w:t>
            </w:r>
          </w:p>
        </w:tc>
        <w:tc>
          <w:tcPr>
            <w:tcW w:type="dxa" w:w="1512"/>
            <w:vAlign w:val="center"/>
          </w:tcPr>
          <w:p>
            <w:pPr>
              <w:spacing w:after="0" w:before="0" w:line="240" w:lineRule="auto"/>
            </w:pPr>
            <w:r/>
            <w:r>
              <w:rPr>
                <w:rFonts w:ascii="Aptos" w:hAnsi="Aptos"/>
                <w:b w:val="0"/>
                <w:color w:val="111827"/>
                <w:sz w:val="11"/>
              </w:rPr>
              <w:t>Destruction/landfill</w:t>
            </w:r>
          </w:p>
        </w:tc>
        <w:tc>
          <w:tcPr>
            <w:tcW w:type="dxa" w:w="864"/>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$0.25</w:t>
            </w:r>
          </w:p>
        </w:tc>
        <w:tc>
          <w:tcPr>
            <w:tcW w:type="dxa" w:w="576"/>
            <w:vAlign w:val="center"/>
          </w:tcPr>
          <w:p>
            <w:pPr>
              <w:spacing w:after="0" w:before="0" w:line="240" w:lineRule="auto"/>
            </w:pPr>
            <w:r/>
            <w:r>
              <w:rPr>
                <w:rFonts w:ascii="Aptos" w:hAnsi="Aptos"/>
                <w:b w:val="0"/>
                <w:color w:val="111827"/>
                <w:sz w:val="11"/>
              </w:rPr>
              <w:t>$0.30</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$0.75</w:t>
            </w:r>
          </w:p>
        </w:tc>
        <w:tc>
          <w:tcPr>
            <w:tcW w:type="dxa" w:w="576"/>
            <w:vAlign w:val="center"/>
          </w:tcPr>
          <w:p>
            <w:pPr>
              <w:spacing w:after="0" w:before="0" w:line="240" w:lineRule="auto"/>
            </w:pPr>
            <w:r/>
            <w:r>
              <w:rPr>
                <w:rFonts w:ascii="Aptos" w:hAnsi="Aptos"/>
                <w:b w:val="0"/>
                <w:color w:val="111827"/>
                <w:sz w:val="11"/>
              </w:rPr>
              <w:t>15</w:t>
            </w:r>
          </w:p>
        </w:tc>
        <w:tc>
          <w:tcPr>
            <w:tcW w:type="dxa" w:w="792"/>
            <w:vAlign w:val="center"/>
          </w:tcPr>
          <w:p>
            <w:pPr>
              <w:spacing w:after="0" w:before="0" w:line="240" w:lineRule="auto"/>
            </w:pPr>
            <w:r/>
            <w:r>
              <w:rPr>
                <w:rFonts w:ascii="Aptos" w:hAnsi="Aptos"/>
                <w:b w:val="0"/>
                <w:color w:val="111827"/>
                <w:sz w:val="11"/>
              </w:rPr>
              <w:t>$-1.29</w:t>
            </w:r>
          </w:p>
        </w:tc>
        <w:tc>
          <w:tcPr>
            <w:tcW w:type="dxa" w:w="792"/>
            <w:vAlign w:val="center"/>
          </w:tcPr>
          <w:p>
            <w:pPr>
              <w:spacing w:after="0" w:before="0" w:line="240" w:lineRule="auto"/>
            </w:pPr>
            <w:r/>
            <w:r>
              <w:rPr>
                <w:rFonts w:ascii="Aptos" w:hAnsi="Aptos"/>
                <w:b w:val="0"/>
                <w:color w:val="111827"/>
                <w:sz w:val="11"/>
              </w:rPr>
              <w:t>$-0.17</w:t>
            </w:r>
          </w:p>
        </w:tc>
      </w:tr>
      <w:tr>
        <w:tc>
          <w:tcPr>
            <w:tcW w:type="dxa" w:w="2088"/>
            <w:vAlign w:val="center"/>
            <w:shd w:fill="F5F7FA"/>
          </w:tcPr>
          <w:p>
            <w:pPr>
              <w:spacing w:after="0" w:before="0" w:line="240" w:lineRule="auto"/>
            </w:pPr>
            <w:r/>
            <w:r>
              <w:rPr>
                <w:rFonts w:ascii="Aptos" w:hAnsi="Aptos"/>
                <w:b/>
                <w:color w:val="111827"/>
                <w:sz w:val="11"/>
              </w:rPr>
              <w:t>Footwear/premium apparel ($100)</w:t>
            </w:r>
          </w:p>
        </w:tc>
        <w:tc>
          <w:tcPr>
            <w:tcW w:type="dxa" w:w="1584"/>
            <w:vAlign w:val="center"/>
            <w:shd w:fill="F5F7FA"/>
          </w:tcPr>
          <w:p>
            <w:pPr>
              <w:spacing w:after="0" w:before="0" w:line="240" w:lineRule="auto"/>
            </w:pPr>
            <w:r/>
            <w:r>
              <w:rPr>
                <w:rFonts w:ascii="Aptos" w:hAnsi="Aptos"/>
                <w:b w:val="0"/>
                <w:color w:val="111827"/>
                <w:sz w:val="11"/>
              </w:rPr>
              <w:t>Unopened</w:t>
            </w:r>
          </w:p>
        </w:tc>
        <w:tc>
          <w:tcPr>
            <w:tcW w:type="dxa" w:w="576"/>
            <w:vAlign w:val="center"/>
            <w:shd w:fill="F5F7FA"/>
          </w:tcPr>
          <w:p>
            <w:pPr>
              <w:spacing w:after="0" w:before="0" w:line="240" w:lineRule="auto"/>
            </w:pPr>
            <w:r/>
            <w:r>
              <w:rPr>
                <w:rFonts w:ascii="Aptos" w:hAnsi="Aptos"/>
                <w:b w:val="0"/>
                <w:color w:val="111827"/>
                <w:sz w:val="11"/>
              </w:rPr>
              <w:t>18.0%</w:t>
            </w:r>
          </w:p>
        </w:tc>
        <w:tc>
          <w:tcPr>
            <w:tcW w:type="dxa" w:w="1512"/>
            <w:vAlign w:val="center"/>
            <w:shd w:fill="F5F7FA"/>
          </w:tcPr>
          <w:p>
            <w:pPr>
              <w:spacing w:after="0" w:before="0" w:line="240" w:lineRule="auto"/>
            </w:pPr>
            <w:r/>
            <w:r>
              <w:rPr>
                <w:rFonts w:ascii="Aptos" w:hAnsi="Aptos"/>
                <w:b w:val="0"/>
                <w:color w:val="111827"/>
                <w:sz w:val="11"/>
              </w:rPr>
              <w:t>Restock as new</w:t>
            </w:r>
          </w:p>
        </w:tc>
        <w:tc>
          <w:tcPr>
            <w:tcW w:type="dxa" w:w="864"/>
            <w:vAlign w:val="center"/>
            <w:shd w:fill="F5F7FA"/>
          </w:tcPr>
          <w:p>
            <w:pPr>
              <w:spacing w:after="0" w:before="0" w:line="240" w:lineRule="auto"/>
            </w:pPr>
            <w:r/>
            <w:r>
              <w:rPr>
                <w:rFonts w:ascii="Aptos" w:hAnsi="Aptos"/>
                <w:b w:val="0"/>
                <w:color w:val="111827"/>
                <w:sz w:val="11"/>
              </w:rPr>
              <w:t>$99.33</w:t>
            </w:r>
          </w:p>
        </w:tc>
        <w:tc>
          <w:tcPr>
            <w:tcW w:type="dxa" w:w="648"/>
            <w:vAlign w:val="center"/>
            <w:shd w:fill="F5F7FA"/>
          </w:tcPr>
          <w:p>
            <w:pPr>
              <w:spacing w:after="0" w:before="0" w:line="240" w:lineRule="auto"/>
            </w:pPr>
            <w:r/>
            <w:r>
              <w:rPr>
                <w:rFonts w:ascii="Aptos" w:hAnsi="Aptos"/>
                <w:b w:val="0"/>
                <w:color w:val="111827"/>
                <w:sz w:val="11"/>
              </w:rPr>
              <w:t>$0.60</w:t>
            </w:r>
          </w:p>
        </w:tc>
        <w:tc>
          <w:tcPr>
            <w:tcW w:type="dxa" w:w="576"/>
            <w:vAlign w:val="center"/>
            <w:shd w:fill="F5F7FA"/>
          </w:tcPr>
          <w:p>
            <w:pPr>
              <w:spacing w:after="0" w:before="0" w:line="240" w:lineRule="auto"/>
            </w:pPr>
            <w:r/>
            <w:r>
              <w:rPr>
                <w:rFonts w:ascii="Aptos" w:hAnsi="Aptos"/>
                <w:b w:val="0"/>
                <w:color w:val="111827"/>
                <w:sz w:val="11"/>
              </w:rPr>
              <w:t>$0.25</w:t>
            </w:r>
          </w:p>
        </w:tc>
        <w:tc>
          <w:tcPr>
            <w:tcW w:type="dxa" w:w="648"/>
            <w:vAlign w:val="center"/>
            <w:shd w:fill="F5F7FA"/>
          </w:tcPr>
          <w:p>
            <w:pPr>
              <w:spacing w:after="0" w:before="0" w:line="240" w:lineRule="auto"/>
            </w:pPr>
            <w:r/>
            <w:r>
              <w:rPr>
                <w:rFonts w:ascii="Aptos" w:hAnsi="Aptos"/>
                <w:b w:val="0"/>
                <w:color w:val="111827"/>
                <w:sz w:val="11"/>
              </w:rPr>
              <w:t>$2.78</w:t>
            </w:r>
          </w:p>
        </w:tc>
        <w:tc>
          <w:tcPr>
            <w:tcW w:type="dxa" w:w="648"/>
            <w:vAlign w:val="center"/>
            <w:shd w:fill="F5F7FA"/>
          </w:tcPr>
          <w:p>
            <w:pPr>
              <w:spacing w:after="0" w:before="0" w:line="240" w:lineRule="auto"/>
            </w:pPr>
            <w:r/>
            <w:r>
              <w:rPr>
                <w:rFonts w:ascii="Aptos" w:hAnsi="Aptos"/>
                <w:b w:val="0"/>
                <w:color w:val="111827"/>
                <w:sz w:val="11"/>
              </w:rPr>
              <w:t>$7.00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10</w:t>
            </w:r>
          </w:p>
        </w:tc>
        <w:tc>
          <w:tcPr>
            <w:tcW w:type="dxa" w:w="792"/>
            <w:vAlign w:val="center"/>
            <w:shd w:fill="F5F7FA"/>
          </w:tcPr>
          <w:p>
            <w:pPr>
              <w:spacing w:after="0" w:before="0" w:line="240" w:lineRule="auto"/>
            </w:pPr>
            <w:r/>
            <w:r>
              <w:rPr>
                <w:rFonts w:ascii="Aptos" w:hAnsi="Aptos"/>
                <w:b w:val="0"/>
                <w:color w:val="111827"/>
                <w:sz w:val="11"/>
              </w:rPr>
              <w:t>$88.42</w:t>
            </w:r>
          </w:p>
        </w:tc>
        <w:tc>
          <w:tcPr>
            <w:tcW w:type="dxa" w:w="792"/>
            <w:vAlign w:val="center"/>
            <w:shd w:fill="F5F7FA"/>
          </w:tcPr>
          <w:p>
            <w:pPr>
              <w:spacing w:after="0" w:before="0" w:line="240" w:lineRule="auto"/>
            </w:pPr>
            <w:r/>
            <w:r>
              <w:rPr>
                <w:rFonts w:ascii="Aptos" w:hAnsi="Aptos"/>
                <w:b w:val="0"/>
                <w:color w:val="111827"/>
                <w:sz w:val="11"/>
              </w:rPr>
              <w:t>$15.92</w:t>
            </w:r>
          </w:p>
        </w:tc>
      </w:tr>
      <w:tr>
        <w:tc>
          <w:tcPr>
            <w:tcW w:type="dxa" w:w="2088"/>
            <w:vAlign w:val="center"/>
          </w:tcPr>
          <w:p>
            <w:pPr>
              <w:spacing w:after="0" w:before="0" w:line="240" w:lineRule="auto"/>
            </w:pPr>
            <w:r/>
            <w:r>
              <w:rPr>
                <w:rFonts w:ascii="Aptos" w:hAnsi="Aptos"/>
                <w:b/>
                <w:color w:val="111827"/>
                <w:sz w:val="11"/>
              </w:rPr>
              <w:t>Footwear/premium apparel ($100)</w:t>
            </w:r>
          </w:p>
        </w:tc>
        <w:tc>
          <w:tcPr>
            <w:tcW w:type="dxa" w:w="1584"/>
            <w:vAlign w:val="center"/>
          </w:tcPr>
          <w:p>
            <w:pPr>
              <w:spacing w:after="0" w:before="0" w:line="240" w:lineRule="auto"/>
            </w:pPr>
            <w:r/>
            <w:r>
              <w:rPr>
                <w:rFonts w:ascii="Aptos" w:hAnsi="Aptos"/>
                <w:b w:val="0"/>
                <w:color w:val="111827"/>
                <w:sz w:val="11"/>
              </w:rPr>
              <w:t>Opened but unused</w:t>
            </w:r>
          </w:p>
        </w:tc>
        <w:tc>
          <w:tcPr>
            <w:tcW w:type="dxa" w:w="576"/>
            <w:vAlign w:val="center"/>
          </w:tcPr>
          <w:p>
            <w:pPr>
              <w:spacing w:after="0" w:before="0" w:line="240" w:lineRule="auto"/>
            </w:pPr>
            <w:r/>
            <w:r>
              <w:rPr>
                <w:rFonts w:ascii="Aptos" w:hAnsi="Aptos"/>
                <w:b w:val="0"/>
                <w:color w:val="111827"/>
                <w:sz w:val="11"/>
              </w:rPr>
              <w:t>26.0%</w:t>
            </w:r>
          </w:p>
        </w:tc>
        <w:tc>
          <w:tcPr>
            <w:tcW w:type="dxa" w:w="1512"/>
            <w:vAlign w:val="center"/>
          </w:tcPr>
          <w:p>
            <w:pPr>
              <w:spacing w:after="0" w:before="0" w:line="240" w:lineRule="auto"/>
            </w:pPr>
            <w:r/>
            <w:r>
              <w:rPr>
                <w:rFonts w:ascii="Aptos" w:hAnsi="Aptos"/>
                <w:b w:val="0"/>
                <w:color w:val="111827"/>
                <w:sz w:val="11"/>
              </w:rPr>
              <w:t>Restock as new</w:t>
            </w:r>
          </w:p>
        </w:tc>
        <w:tc>
          <w:tcPr>
            <w:tcW w:type="dxa" w:w="864"/>
            <w:vAlign w:val="center"/>
          </w:tcPr>
          <w:p>
            <w:pPr>
              <w:spacing w:after="0" w:before="0" w:line="240" w:lineRule="auto"/>
            </w:pPr>
            <w:r/>
            <w:r>
              <w:rPr>
                <w:rFonts w:ascii="Aptos" w:hAnsi="Aptos"/>
                <w:b w:val="0"/>
                <w:color w:val="111827"/>
                <w:sz w:val="11"/>
              </w:rPr>
              <w:t>$94.36</w:t>
            </w:r>
          </w:p>
        </w:tc>
        <w:tc>
          <w:tcPr>
            <w:tcW w:type="dxa" w:w="648"/>
            <w:vAlign w:val="center"/>
          </w:tcPr>
          <w:p>
            <w:pPr>
              <w:spacing w:after="0" w:before="0" w:line="240" w:lineRule="auto"/>
            </w:pPr>
            <w:r/>
            <w:r>
              <w:rPr>
                <w:rFonts w:ascii="Aptos" w:hAnsi="Aptos"/>
                <w:b w:val="0"/>
                <w:color w:val="111827"/>
                <w:sz w:val="11"/>
              </w:rPr>
              <w:t>$1.20</w:t>
            </w:r>
          </w:p>
        </w:tc>
        <w:tc>
          <w:tcPr>
            <w:tcW w:type="dxa" w:w="576"/>
            <w:vAlign w:val="center"/>
          </w:tcPr>
          <w:p>
            <w:pPr>
              <w:spacing w:after="0" w:before="0" w:line="240" w:lineRule="auto"/>
            </w:pPr>
            <w:r/>
            <w:r>
              <w:rPr>
                <w:rFonts w:ascii="Aptos" w:hAnsi="Aptos"/>
                <w:b w:val="0"/>
                <w:color w:val="111827"/>
                <w:sz w:val="11"/>
              </w:rPr>
              <w:t>$0.25</w:t>
            </w:r>
          </w:p>
        </w:tc>
        <w:tc>
          <w:tcPr>
            <w:tcW w:type="dxa" w:w="648"/>
            <w:vAlign w:val="center"/>
          </w:tcPr>
          <w:p>
            <w:pPr>
              <w:spacing w:after="0" w:before="0" w:line="240" w:lineRule="auto"/>
            </w:pPr>
            <w:r/>
            <w:r>
              <w:rPr>
                <w:rFonts w:ascii="Aptos" w:hAnsi="Aptos"/>
                <w:b w:val="0"/>
                <w:color w:val="111827"/>
                <w:sz w:val="11"/>
              </w:rPr>
              <w:t>$2.64</w:t>
            </w:r>
          </w:p>
        </w:tc>
        <w:tc>
          <w:tcPr>
            <w:tcW w:type="dxa" w:w="648"/>
            <w:vAlign w:val="center"/>
          </w:tcPr>
          <w:p>
            <w:pPr>
              <w:spacing w:after="0" w:before="0" w:line="240" w:lineRule="auto"/>
            </w:pPr>
            <w:r/>
            <w:r>
              <w:rPr>
                <w:rFonts w:ascii="Aptos" w:hAnsi="Aptos"/>
                <w:b w:val="0"/>
                <w:color w:val="111827"/>
                <w:sz w:val="11"/>
              </w:rPr>
              <w:t>$7.00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10</w:t>
            </w:r>
          </w:p>
        </w:tc>
        <w:tc>
          <w:tcPr>
            <w:tcW w:type="dxa" w:w="792"/>
            <w:vAlign w:val="center"/>
          </w:tcPr>
          <w:p>
            <w:pPr>
              <w:spacing w:after="0" w:before="0" w:line="240" w:lineRule="auto"/>
            </w:pPr>
            <w:r/>
            <w:r>
              <w:rPr>
                <w:rFonts w:ascii="Aptos" w:hAnsi="Aptos"/>
                <w:b w:val="0"/>
                <w:color w:val="111827"/>
                <w:sz w:val="11"/>
              </w:rPr>
              <w:t>$83.01</w:t>
            </w:r>
          </w:p>
        </w:tc>
        <w:tc>
          <w:tcPr>
            <w:tcW w:type="dxa" w:w="792"/>
            <w:vAlign w:val="center"/>
          </w:tcPr>
          <w:p>
            <w:pPr>
              <w:spacing w:after="0" w:before="0" w:line="240" w:lineRule="auto"/>
            </w:pPr>
            <w:r/>
            <w:r>
              <w:rPr>
                <w:rFonts w:ascii="Aptos" w:hAnsi="Aptos"/>
                <w:b w:val="0"/>
                <w:color w:val="111827"/>
                <w:sz w:val="11"/>
              </w:rPr>
              <w:t>$21.58</w:t>
            </w:r>
          </w:p>
        </w:tc>
      </w:tr>
      <w:tr>
        <w:tc>
          <w:tcPr>
            <w:tcW w:type="dxa" w:w="2088"/>
            <w:vAlign w:val="center"/>
            <w:shd w:fill="F5F7FA"/>
          </w:tcPr>
          <w:p>
            <w:pPr>
              <w:spacing w:after="0" w:before="0" w:line="240" w:lineRule="auto"/>
            </w:pPr>
            <w:r/>
            <w:r>
              <w:rPr>
                <w:rFonts w:ascii="Aptos" w:hAnsi="Aptos"/>
                <w:b/>
                <w:color w:val="111827"/>
                <w:sz w:val="11"/>
              </w:rPr>
              <w:t>Footwear/premium apparel ($100)</w:t>
            </w:r>
          </w:p>
        </w:tc>
        <w:tc>
          <w:tcPr>
            <w:tcW w:type="dxa" w:w="1584"/>
            <w:vAlign w:val="center"/>
            <w:shd w:fill="F5F7FA"/>
          </w:tcPr>
          <w:p>
            <w:pPr>
              <w:spacing w:after="0" w:before="0" w:line="240" w:lineRule="auto"/>
            </w:pPr>
            <w:r/>
            <w:r>
              <w:rPr>
                <w:rFonts w:ascii="Aptos" w:hAnsi="Aptos"/>
                <w:b w:val="0"/>
                <w:color w:val="111827"/>
                <w:sz w:val="11"/>
              </w:rPr>
              <w:t>Lightly used</w:t>
            </w:r>
          </w:p>
        </w:tc>
        <w:tc>
          <w:tcPr>
            <w:tcW w:type="dxa" w:w="576"/>
            <w:vAlign w:val="center"/>
            <w:shd w:fill="F5F7FA"/>
          </w:tcPr>
          <w:p>
            <w:pPr>
              <w:spacing w:after="0" w:before="0" w:line="240" w:lineRule="auto"/>
            </w:pPr>
            <w:r/>
            <w:r>
              <w:rPr>
                <w:rFonts w:ascii="Aptos" w:hAnsi="Aptos"/>
                <w:b w:val="0"/>
                <w:color w:val="111827"/>
                <w:sz w:val="11"/>
              </w:rPr>
              <w:t>28.0%</w:t>
            </w:r>
          </w:p>
        </w:tc>
        <w:tc>
          <w:tcPr>
            <w:tcW w:type="dxa" w:w="1512"/>
            <w:vAlign w:val="center"/>
            <w:shd w:fill="F5F7FA"/>
          </w:tcPr>
          <w:p>
            <w:pPr>
              <w:spacing w:after="0" w:before="0" w:line="240" w:lineRule="auto"/>
            </w:pPr>
            <w:r/>
            <w:r>
              <w:rPr>
                <w:rFonts w:ascii="Aptos" w:hAnsi="Aptos"/>
                <w:b w:val="0"/>
                <w:color w:val="111827"/>
                <w:sz w:val="11"/>
              </w:rPr>
              <w:t>Outlet/off-price</w:t>
            </w:r>
          </w:p>
        </w:tc>
        <w:tc>
          <w:tcPr>
            <w:tcW w:type="dxa" w:w="864"/>
            <w:vAlign w:val="center"/>
            <w:shd w:fill="F5F7FA"/>
          </w:tcPr>
          <w:p>
            <w:pPr>
              <w:spacing w:after="0" w:before="0" w:line="240" w:lineRule="auto"/>
            </w:pPr>
            <w:r/>
            <w:r>
              <w:rPr>
                <w:rFonts w:ascii="Aptos" w:hAnsi="Aptos"/>
                <w:b w:val="0"/>
                <w:color w:val="111827"/>
                <w:sz w:val="11"/>
              </w:rPr>
              <w:t>$42.98</w:t>
            </w:r>
          </w:p>
        </w:tc>
        <w:tc>
          <w:tcPr>
            <w:tcW w:type="dxa" w:w="648"/>
            <w:vAlign w:val="center"/>
            <w:shd w:fill="F5F7FA"/>
          </w:tcPr>
          <w:p>
            <w:pPr>
              <w:spacing w:after="0" w:before="0" w:line="240" w:lineRule="auto"/>
            </w:pPr>
            <w:r/>
            <w:r>
              <w:rPr>
                <w:rFonts w:ascii="Aptos" w:hAnsi="Aptos"/>
                <w:b w:val="0"/>
                <w:color w:val="111827"/>
                <w:sz w:val="11"/>
              </w:rPr>
              <w:t>$3.30</w:t>
            </w:r>
          </w:p>
        </w:tc>
        <w:tc>
          <w:tcPr>
            <w:tcW w:type="dxa" w:w="576"/>
            <w:vAlign w:val="center"/>
            <w:shd w:fill="F5F7FA"/>
          </w:tcPr>
          <w:p>
            <w:pPr>
              <w:spacing w:after="0" w:before="0" w:line="240" w:lineRule="auto"/>
            </w:pPr>
            <w:r/>
            <w:r>
              <w:rPr>
                <w:rFonts w:ascii="Aptos" w:hAnsi="Aptos"/>
                <w:b w:val="0"/>
                <w:color w:val="111827"/>
                <w:sz w:val="11"/>
              </w:rPr>
              <w:t>$0.88</w:t>
            </w:r>
          </w:p>
        </w:tc>
        <w:tc>
          <w:tcPr>
            <w:tcW w:type="dxa" w:w="648"/>
            <w:vAlign w:val="center"/>
            <w:shd w:fill="F5F7FA"/>
          </w:tcPr>
          <w:p>
            <w:pPr>
              <w:spacing w:after="0" w:before="0" w:line="240" w:lineRule="auto"/>
            </w:pPr>
            <w:r/>
            <w:r>
              <w:rPr>
                <w:rFonts w:ascii="Aptos" w:hAnsi="Aptos"/>
                <w:b w:val="0"/>
                <w:color w:val="111827"/>
                <w:sz w:val="11"/>
              </w:rPr>
              <w:t>$2.15</w:t>
            </w:r>
          </w:p>
        </w:tc>
        <w:tc>
          <w:tcPr>
            <w:tcW w:type="dxa" w:w="648"/>
            <w:vAlign w:val="center"/>
            <w:shd w:fill="F5F7FA"/>
          </w:tcPr>
          <w:p>
            <w:pPr>
              <w:spacing w:after="0" w:before="0" w:line="240" w:lineRule="auto"/>
            </w:pPr>
            <w:r/>
            <w:r>
              <w:rPr>
                <w:rFonts w:ascii="Aptos" w:hAnsi="Aptos"/>
                <w:b w:val="0"/>
                <w:color w:val="111827"/>
                <w:sz w:val="11"/>
              </w:rPr>
              <w:t>$1.88</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35</w:t>
            </w:r>
          </w:p>
        </w:tc>
        <w:tc>
          <w:tcPr>
            <w:tcW w:type="dxa" w:w="792"/>
            <w:vAlign w:val="center"/>
            <w:shd w:fill="F5F7FA"/>
          </w:tcPr>
          <w:p>
            <w:pPr>
              <w:spacing w:after="0" w:before="0" w:line="240" w:lineRule="auto"/>
            </w:pPr>
            <w:r/>
            <w:r>
              <w:rPr>
                <w:rFonts w:ascii="Aptos" w:hAnsi="Aptos"/>
                <w:b w:val="0"/>
                <w:color w:val="111827"/>
                <w:sz w:val="11"/>
              </w:rPr>
              <w:t>$34.40</w:t>
            </w:r>
          </w:p>
        </w:tc>
        <w:tc>
          <w:tcPr>
            <w:tcW w:type="dxa" w:w="792"/>
            <w:vAlign w:val="center"/>
            <w:shd w:fill="F5F7FA"/>
          </w:tcPr>
          <w:p>
            <w:pPr>
              <w:spacing w:after="0" w:before="0" w:line="240" w:lineRule="auto"/>
            </w:pPr>
            <w:r/>
            <w:r>
              <w:rPr>
                <w:rFonts w:ascii="Aptos" w:hAnsi="Aptos"/>
                <w:b w:val="0"/>
                <w:color w:val="111827"/>
                <w:sz w:val="11"/>
              </w:rPr>
              <w:t>$9.63</w:t>
            </w:r>
          </w:p>
        </w:tc>
      </w:tr>
      <w:tr>
        <w:tc>
          <w:tcPr>
            <w:tcW w:type="dxa" w:w="2088"/>
            <w:vAlign w:val="center"/>
          </w:tcPr>
          <w:p>
            <w:pPr>
              <w:spacing w:after="0" w:before="0" w:line="240" w:lineRule="auto"/>
            </w:pPr>
            <w:r/>
            <w:r>
              <w:rPr>
                <w:rFonts w:ascii="Aptos" w:hAnsi="Aptos"/>
                <w:b/>
                <w:color w:val="111827"/>
                <w:sz w:val="11"/>
              </w:rPr>
              <w:t>Footwear/premium apparel ($100)</w:t>
            </w:r>
          </w:p>
        </w:tc>
        <w:tc>
          <w:tcPr>
            <w:tcW w:type="dxa" w:w="1584"/>
            <w:vAlign w:val="center"/>
          </w:tcPr>
          <w:p>
            <w:pPr>
              <w:spacing w:after="0" w:before="0" w:line="240" w:lineRule="auto"/>
            </w:pPr>
            <w:r/>
            <w:r>
              <w:rPr>
                <w:rFonts w:ascii="Aptos" w:hAnsi="Aptos"/>
                <w:b w:val="0"/>
                <w:color w:val="111827"/>
                <w:sz w:val="11"/>
              </w:rPr>
              <w:t>Damaged but repairable</w:t>
            </w:r>
          </w:p>
        </w:tc>
        <w:tc>
          <w:tcPr>
            <w:tcW w:type="dxa" w:w="576"/>
            <w:vAlign w:val="center"/>
          </w:tcPr>
          <w:p>
            <w:pPr>
              <w:spacing w:after="0" w:before="0" w:line="240" w:lineRule="auto"/>
            </w:pPr>
            <w:r/>
            <w:r>
              <w:rPr>
                <w:rFonts w:ascii="Aptos" w:hAnsi="Aptos"/>
                <w:b w:val="0"/>
                <w:color w:val="111827"/>
                <w:sz w:val="11"/>
              </w:rPr>
              <w:t>9.0%</w:t>
            </w:r>
          </w:p>
        </w:tc>
        <w:tc>
          <w:tcPr>
            <w:tcW w:type="dxa" w:w="1512"/>
            <w:vAlign w:val="center"/>
          </w:tcPr>
          <w:p>
            <w:pPr>
              <w:spacing w:after="0" w:before="0" w:line="240" w:lineRule="auto"/>
            </w:pPr>
            <w:r/>
            <w:r>
              <w:rPr>
                <w:rFonts w:ascii="Aptos" w:hAnsi="Aptos"/>
                <w:b w:val="0"/>
                <w:color w:val="111827"/>
                <w:sz w:val="11"/>
              </w:rPr>
              <w:t>Outlet/off-price</w:t>
            </w:r>
          </w:p>
        </w:tc>
        <w:tc>
          <w:tcPr>
            <w:tcW w:type="dxa" w:w="864"/>
            <w:vAlign w:val="center"/>
          </w:tcPr>
          <w:p>
            <w:pPr>
              <w:spacing w:after="0" w:before="0" w:line="240" w:lineRule="auto"/>
            </w:pPr>
            <w:r/>
            <w:r>
              <w:rPr>
                <w:rFonts w:ascii="Aptos" w:hAnsi="Aptos"/>
                <w:b w:val="0"/>
                <w:color w:val="111827"/>
                <w:sz w:val="11"/>
              </w:rPr>
              <w:t>$24.17</w:t>
            </w:r>
          </w:p>
        </w:tc>
        <w:tc>
          <w:tcPr>
            <w:tcW w:type="dxa" w:w="648"/>
            <w:vAlign w:val="center"/>
          </w:tcPr>
          <w:p>
            <w:pPr>
              <w:spacing w:after="0" w:before="0" w:line="240" w:lineRule="auto"/>
            </w:pPr>
            <w:r/>
            <w:r>
              <w:rPr>
                <w:rFonts w:ascii="Aptos" w:hAnsi="Aptos"/>
                <w:b w:val="0"/>
                <w:color w:val="111827"/>
                <w:sz w:val="11"/>
              </w:rPr>
              <w:t>$5.40</w:t>
            </w:r>
          </w:p>
        </w:tc>
        <w:tc>
          <w:tcPr>
            <w:tcW w:type="dxa" w:w="576"/>
            <w:vAlign w:val="center"/>
          </w:tcPr>
          <w:p>
            <w:pPr>
              <w:spacing w:after="0" w:before="0" w:line="240" w:lineRule="auto"/>
            </w:pPr>
            <w:r/>
            <w:r>
              <w:rPr>
                <w:rFonts w:ascii="Aptos" w:hAnsi="Aptos"/>
                <w:b w:val="0"/>
                <w:color w:val="111827"/>
                <w:sz w:val="11"/>
              </w:rPr>
              <w:t>$0.88</w:t>
            </w:r>
          </w:p>
        </w:tc>
        <w:tc>
          <w:tcPr>
            <w:tcW w:type="dxa" w:w="648"/>
            <w:vAlign w:val="center"/>
          </w:tcPr>
          <w:p>
            <w:pPr>
              <w:spacing w:after="0" w:before="0" w:line="240" w:lineRule="auto"/>
            </w:pPr>
            <w:r/>
            <w:r>
              <w:rPr>
                <w:rFonts w:ascii="Aptos" w:hAnsi="Aptos"/>
                <w:b w:val="0"/>
                <w:color w:val="111827"/>
                <w:sz w:val="11"/>
              </w:rPr>
              <w:t>$1.21</w:t>
            </w:r>
          </w:p>
        </w:tc>
        <w:tc>
          <w:tcPr>
            <w:tcW w:type="dxa" w:w="648"/>
            <w:vAlign w:val="center"/>
          </w:tcPr>
          <w:p>
            <w:pPr>
              <w:spacing w:after="0" w:before="0" w:line="240" w:lineRule="auto"/>
            </w:pPr>
            <w:r/>
            <w:r>
              <w:rPr>
                <w:rFonts w:ascii="Aptos" w:hAnsi="Aptos"/>
                <w:b w:val="0"/>
                <w:color w:val="111827"/>
                <w:sz w:val="11"/>
              </w:rPr>
              <w:t>$1.88</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35</w:t>
            </w:r>
          </w:p>
        </w:tc>
        <w:tc>
          <w:tcPr>
            <w:tcW w:type="dxa" w:w="792"/>
            <w:vAlign w:val="center"/>
          </w:tcPr>
          <w:p>
            <w:pPr>
              <w:spacing w:after="0" w:before="0" w:line="240" w:lineRule="auto"/>
            </w:pPr>
            <w:r/>
            <w:r>
              <w:rPr>
                <w:rFonts w:ascii="Aptos" w:hAnsi="Aptos"/>
                <w:b w:val="0"/>
                <w:color w:val="111827"/>
                <w:sz w:val="11"/>
              </w:rPr>
              <w:t>$14.65</w:t>
            </w:r>
          </w:p>
        </w:tc>
        <w:tc>
          <w:tcPr>
            <w:tcW w:type="dxa" w:w="792"/>
            <w:vAlign w:val="center"/>
          </w:tcPr>
          <w:p>
            <w:pPr>
              <w:spacing w:after="0" w:before="0" w:line="240" w:lineRule="auto"/>
            </w:pPr>
            <w:r/>
            <w:r>
              <w:rPr>
                <w:rFonts w:ascii="Aptos" w:hAnsi="Aptos"/>
                <w:b w:val="0"/>
                <w:color w:val="111827"/>
                <w:sz w:val="11"/>
              </w:rPr>
              <w:t>$1.32</w:t>
            </w:r>
          </w:p>
        </w:tc>
      </w:tr>
      <w:tr>
        <w:tc>
          <w:tcPr>
            <w:tcW w:type="dxa" w:w="2088"/>
            <w:vAlign w:val="center"/>
            <w:shd w:fill="F5F7FA"/>
          </w:tcPr>
          <w:p>
            <w:pPr>
              <w:spacing w:after="0" w:before="0" w:line="240" w:lineRule="auto"/>
            </w:pPr>
            <w:r/>
            <w:r>
              <w:rPr>
                <w:rFonts w:ascii="Aptos" w:hAnsi="Aptos"/>
                <w:b/>
                <w:color w:val="111827"/>
                <w:sz w:val="11"/>
              </w:rPr>
              <w:t>Footwear/premium apparel ($100)</w:t>
            </w:r>
          </w:p>
        </w:tc>
        <w:tc>
          <w:tcPr>
            <w:tcW w:type="dxa" w:w="1584"/>
            <w:vAlign w:val="center"/>
            <w:shd w:fill="F5F7FA"/>
          </w:tcPr>
          <w:p>
            <w:pPr>
              <w:spacing w:after="0" w:before="0" w:line="240" w:lineRule="auto"/>
            </w:pPr>
            <w:r/>
            <w:r>
              <w:rPr>
                <w:rFonts w:ascii="Aptos" w:hAnsi="Aptos"/>
                <w:b w:val="0"/>
                <w:color w:val="111827"/>
                <w:sz w:val="11"/>
              </w:rPr>
              <w:t>Incomplete</w:t>
            </w:r>
          </w:p>
        </w:tc>
        <w:tc>
          <w:tcPr>
            <w:tcW w:type="dxa" w:w="576"/>
            <w:vAlign w:val="center"/>
            <w:shd w:fill="F5F7FA"/>
          </w:tcPr>
          <w:p>
            <w:pPr>
              <w:spacing w:after="0" w:before="0" w:line="240" w:lineRule="auto"/>
            </w:pPr>
            <w:r/>
            <w:r>
              <w:rPr>
                <w:rFonts w:ascii="Aptos" w:hAnsi="Aptos"/>
                <w:b w:val="0"/>
                <w:color w:val="111827"/>
                <w:sz w:val="11"/>
              </w:rPr>
              <w:t>7.0%</w:t>
            </w:r>
          </w:p>
        </w:tc>
        <w:tc>
          <w:tcPr>
            <w:tcW w:type="dxa" w:w="1512"/>
            <w:vAlign w:val="center"/>
            <w:shd w:fill="F5F7FA"/>
          </w:tcPr>
          <w:p>
            <w:pPr>
              <w:spacing w:after="0" w:before="0" w:line="240" w:lineRule="auto"/>
            </w:pPr>
            <w:r/>
            <w:r>
              <w:rPr>
                <w:rFonts w:ascii="Aptos" w:hAnsi="Aptos"/>
                <w:b w:val="0"/>
                <w:color w:val="111827"/>
                <w:sz w:val="11"/>
              </w:rPr>
              <w:t>Outlet/off-price</w:t>
            </w:r>
          </w:p>
        </w:tc>
        <w:tc>
          <w:tcPr>
            <w:tcW w:type="dxa" w:w="864"/>
            <w:vAlign w:val="center"/>
            <w:shd w:fill="F5F7FA"/>
          </w:tcPr>
          <w:p>
            <w:pPr>
              <w:spacing w:after="0" w:before="0" w:line="240" w:lineRule="auto"/>
            </w:pPr>
            <w:r/>
            <w:r>
              <w:rPr>
                <w:rFonts w:ascii="Aptos" w:hAnsi="Aptos"/>
                <w:b w:val="0"/>
                <w:color w:val="111827"/>
                <w:sz w:val="11"/>
              </w:rPr>
              <w:t>$18.80</w:t>
            </w:r>
          </w:p>
        </w:tc>
        <w:tc>
          <w:tcPr>
            <w:tcW w:type="dxa" w:w="648"/>
            <w:vAlign w:val="center"/>
            <w:shd w:fill="F5F7FA"/>
          </w:tcPr>
          <w:p>
            <w:pPr>
              <w:spacing w:after="0" w:before="0" w:line="240" w:lineRule="auto"/>
            </w:pPr>
            <w:r/>
            <w:r>
              <w:rPr>
                <w:rFonts w:ascii="Aptos" w:hAnsi="Aptos"/>
                <w:b w:val="0"/>
                <w:color w:val="111827"/>
                <w:sz w:val="11"/>
              </w:rPr>
              <w:t>$4.50</w:t>
            </w:r>
          </w:p>
        </w:tc>
        <w:tc>
          <w:tcPr>
            <w:tcW w:type="dxa" w:w="576"/>
            <w:vAlign w:val="center"/>
            <w:shd w:fill="F5F7FA"/>
          </w:tcPr>
          <w:p>
            <w:pPr>
              <w:spacing w:after="0" w:before="0" w:line="240" w:lineRule="auto"/>
            </w:pPr>
            <w:r/>
            <w:r>
              <w:rPr>
                <w:rFonts w:ascii="Aptos" w:hAnsi="Aptos"/>
                <w:b w:val="0"/>
                <w:color w:val="111827"/>
                <w:sz w:val="11"/>
              </w:rPr>
              <w:t>$0.88</w:t>
            </w:r>
          </w:p>
        </w:tc>
        <w:tc>
          <w:tcPr>
            <w:tcW w:type="dxa" w:w="648"/>
            <w:vAlign w:val="center"/>
            <w:shd w:fill="F5F7FA"/>
          </w:tcPr>
          <w:p>
            <w:pPr>
              <w:spacing w:after="0" w:before="0" w:line="240" w:lineRule="auto"/>
            </w:pPr>
            <w:r/>
            <w:r>
              <w:rPr>
                <w:rFonts w:ascii="Aptos" w:hAnsi="Aptos"/>
                <w:b w:val="0"/>
                <w:color w:val="111827"/>
                <w:sz w:val="11"/>
              </w:rPr>
              <w:t>$0.94</w:t>
            </w:r>
          </w:p>
        </w:tc>
        <w:tc>
          <w:tcPr>
            <w:tcW w:type="dxa" w:w="648"/>
            <w:vAlign w:val="center"/>
            <w:shd w:fill="F5F7FA"/>
          </w:tcPr>
          <w:p>
            <w:pPr>
              <w:spacing w:after="0" w:before="0" w:line="240" w:lineRule="auto"/>
            </w:pPr>
            <w:r/>
            <w:r>
              <w:rPr>
                <w:rFonts w:ascii="Aptos" w:hAnsi="Aptos"/>
                <w:b w:val="0"/>
                <w:color w:val="111827"/>
                <w:sz w:val="11"/>
              </w:rPr>
              <w:t>$1.88</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35</w:t>
            </w:r>
          </w:p>
        </w:tc>
        <w:tc>
          <w:tcPr>
            <w:tcW w:type="dxa" w:w="792"/>
            <w:vAlign w:val="center"/>
            <w:shd w:fill="F5F7FA"/>
          </w:tcPr>
          <w:p>
            <w:pPr>
              <w:spacing w:after="0" w:before="0" w:line="240" w:lineRule="auto"/>
            </w:pPr>
            <w:r/>
            <w:r>
              <w:rPr>
                <w:rFonts w:ascii="Aptos" w:hAnsi="Aptos"/>
                <w:b w:val="0"/>
                <w:color w:val="111827"/>
                <w:sz w:val="11"/>
              </w:rPr>
              <w:t>$10.50</w:t>
            </w:r>
          </w:p>
        </w:tc>
        <w:tc>
          <w:tcPr>
            <w:tcW w:type="dxa" w:w="792"/>
            <w:vAlign w:val="center"/>
            <w:shd w:fill="F5F7FA"/>
          </w:tcPr>
          <w:p>
            <w:pPr>
              <w:spacing w:after="0" w:before="0" w:line="240" w:lineRule="auto"/>
            </w:pPr>
            <w:r/>
            <w:r>
              <w:rPr>
                <w:rFonts w:ascii="Aptos" w:hAnsi="Aptos"/>
                <w:b w:val="0"/>
                <w:color w:val="111827"/>
                <w:sz w:val="11"/>
              </w:rPr>
              <w:t>$0.73</w:t>
            </w:r>
          </w:p>
        </w:tc>
      </w:tr>
      <w:tr>
        <w:tc>
          <w:tcPr>
            <w:tcW w:type="dxa" w:w="2088"/>
            <w:vAlign w:val="center"/>
          </w:tcPr>
          <w:p>
            <w:pPr>
              <w:spacing w:after="0" w:before="0" w:line="240" w:lineRule="auto"/>
            </w:pPr>
            <w:r/>
            <w:r>
              <w:rPr>
                <w:rFonts w:ascii="Aptos" w:hAnsi="Aptos"/>
                <w:b/>
                <w:color w:val="111827"/>
                <w:sz w:val="11"/>
              </w:rPr>
              <w:t>Footwear/premium apparel ($100)</w:t>
            </w:r>
          </w:p>
        </w:tc>
        <w:tc>
          <w:tcPr>
            <w:tcW w:type="dxa" w:w="1584"/>
            <w:vAlign w:val="center"/>
          </w:tcPr>
          <w:p>
            <w:pPr>
              <w:spacing w:after="0" w:before="0" w:line="240" w:lineRule="auto"/>
            </w:pPr>
            <w:r/>
            <w:r>
              <w:rPr>
                <w:rFonts w:ascii="Aptos" w:hAnsi="Aptos"/>
                <w:b w:val="0"/>
                <w:color w:val="111827"/>
                <w:sz w:val="11"/>
              </w:rPr>
              <w:t>Counterfeit or substituted</w:t>
            </w:r>
          </w:p>
        </w:tc>
        <w:tc>
          <w:tcPr>
            <w:tcW w:type="dxa" w:w="576"/>
            <w:vAlign w:val="center"/>
          </w:tcPr>
          <w:p>
            <w:pPr>
              <w:spacing w:after="0" w:before="0" w:line="240" w:lineRule="auto"/>
            </w:pPr>
            <w:r/>
            <w:r>
              <w:rPr>
                <w:rFonts w:ascii="Aptos" w:hAnsi="Aptos"/>
                <w:b w:val="0"/>
                <w:color w:val="111827"/>
                <w:sz w:val="11"/>
              </w:rPr>
              <w:t>3.0%</w:t>
            </w:r>
          </w:p>
        </w:tc>
        <w:tc>
          <w:tcPr>
            <w:tcW w:type="dxa" w:w="1512"/>
            <w:vAlign w:val="center"/>
          </w:tcPr>
          <w:p>
            <w:pPr>
              <w:spacing w:after="0" w:before="0" w:line="240" w:lineRule="auto"/>
            </w:pPr>
            <w:r/>
            <w:r>
              <w:rPr>
                <w:rFonts w:ascii="Aptos" w:hAnsi="Aptos"/>
                <w:b w:val="0"/>
                <w:color w:val="111827"/>
                <w:sz w:val="11"/>
              </w:rPr>
              <w:t>Fraudulent/missing</w:t>
            </w:r>
          </w:p>
        </w:tc>
        <w:tc>
          <w:tcPr>
            <w:tcW w:type="dxa" w:w="864"/>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$0.50</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20</w:t>
            </w:r>
          </w:p>
        </w:tc>
        <w:tc>
          <w:tcPr>
            <w:tcW w:type="dxa" w:w="792"/>
            <w:vAlign w:val="center"/>
          </w:tcPr>
          <w:p>
            <w:pPr>
              <w:spacing w:after="0" w:before="0" w:line="240" w:lineRule="auto"/>
            </w:pPr>
            <w:r/>
            <w:r>
              <w:rPr>
                <w:rFonts w:ascii="Aptos" w:hAnsi="Aptos"/>
                <w:b w:val="0"/>
                <w:color w:val="111827"/>
                <w:sz w:val="11"/>
              </w:rPr>
              <w:t>$-0.50</w:t>
            </w:r>
          </w:p>
        </w:tc>
        <w:tc>
          <w:tcPr>
            <w:tcW w:type="dxa" w:w="792"/>
            <w:vAlign w:val="center"/>
          </w:tcPr>
          <w:p>
            <w:pPr>
              <w:spacing w:after="0" w:before="0" w:line="240" w:lineRule="auto"/>
            </w:pPr>
            <w:r/>
            <w:r>
              <w:rPr>
                <w:rFonts w:ascii="Aptos" w:hAnsi="Aptos"/>
                <w:b w:val="0"/>
                <w:color w:val="111827"/>
                <w:sz w:val="11"/>
              </w:rPr>
              <w:t>$-0.01</w:t>
            </w:r>
          </w:p>
        </w:tc>
      </w:tr>
      <w:tr>
        <w:tc>
          <w:tcPr>
            <w:tcW w:type="dxa" w:w="2088"/>
            <w:vAlign w:val="center"/>
            <w:shd w:fill="F5F7FA"/>
          </w:tcPr>
          <w:p>
            <w:pPr>
              <w:spacing w:after="0" w:before="0" w:line="240" w:lineRule="auto"/>
            </w:pPr>
            <w:r/>
            <w:r>
              <w:rPr>
                <w:rFonts w:ascii="Aptos" w:hAnsi="Aptos"/>
                <w:b/>
                <w:color w:val="111827"/>
                <w:sz w:val="11"/>
              </w:rPr>
              <w:t>Footwear/premium apparel ($100)</w:t>
            </w:r>
          </w:p>
        </w:tc>
        <w:tc>
          <w:tcPr>
            <w:tcW w:type="dxa" w:w="1584"/>
            <w:vAlign w:val="center"/>
            <w:shd w:fill="F5F7FA"/>
          </w:tcPr>
          <w:p>
            <w:pPr>
              <w:spacing w:after="0" w:before="0" w:line="240" w:lineRule="auto"/>
            </w:pPr>
            <w:r/>
            <w:r>
              <w:rPr>
                <w:rFonts w:ascii="Aptos" w:hAnsi="Aptos"/>
                <w:b w:val="0"/>
                <w:color w:val="111827"/>
                <w:sz w:val="11"/>
              </w:rPr>
              <w:t>Unsellable</w:t>
            </w:r>
          </w:p>
        </w:tc>
        <w:tc>
          <w:tcPr>
            <w:tcW w:type="dxa" w:w="576"/>
            <w:vAlign w:val="center"/>
            <w:shd w:fill="F5F7FA"/>
          </w:tcPr>
          <w:p>
            <w:pPr>
              <w:spacing w:after="0" w:before="0" w:line="240" w:lineRule="auto"/>
            </w:pPr>
            <w:r/>
            <w:r>
              <w:rPr>
                <w:rFonts w:ascii="Aptos" w:hAnsi="Aptos"/>
                <w:b w:val="0"/>
                <w:color w:val="111827"/>
                <w:sz w:val="11"/>
              </w:rPr>
              <w:t>9.0%</w:t>
            </w:r>
          </w:p>
        </w:tc>
        <w:tc>
          <w:tcPr>
            <w:tcW w:type="dxa" w:w="1512"/>
            <w:vAlign w:val="center"/>
            <w:shd w:fill="F5F7FA"/>
          </w:tcPr>
          <w:p>
            <w:pPr>
              <w:spacing w:after="0" w:before="0" w:line="240" w:lineRule="auto"/>
            </w:pPr>
            <w:r/>
            <w:r>
              <w:rPr>
                <w:rFonts w:ascii="Aptos" w:hAnsi="Aptos"/>
                <w:b w:val="0"/>
                <w:color w:val="111827"/>
                <w:sz w:val="11"/>
              </w:rPr>
              <w:t>Recycling/scrap</w:t>
            </w:r>
          </w:p>
        </w:tc>
        <w:tc>
          <w:tcPr>
            <w:tcW w:type="dxa" w:w="864"/>
            <w:vAlign w:val="center"/>
            <w:shd w:fill="F5F7FA"/>
          </w:tcPr>
          <w:p>
            <w:pPr>
              <w:spacing w:after="0" w:before="0" w:line="240" w:lineRule="auto"/>
            </w:pPr>
            <w:r/>
            <w:r>
              <w:rPr>
                <w:rFonts w:ascii="Aptos" w:hAnsi="Aptos"/>
                <w:b w:val="0"/>
                <w:color w:val="111827"/>
                <w:sz w:val="11"/>
              </w:rPr>
              <w:t>$1.95</w:t>
            </w:r>
          </w:p>
        </w:tc>
        <w:tc>
          <w:tcPr>
            <w:tcW w:type="dxa" w:w="648"/>
            <w:vAlign w:val="center"/>
            <w:shd w:fill="F5F7FA"/>
          </w:tcPr>
          <w:p>
            <w:pPr>
              <w:spacing w:after="0" w:before="0" w:line="240" w:lineRule="auto"/>
            </w:pPr>
            <w:r/>
            <w:r>
              <w:rPr>
                <w:rFonts w:ascii="Aptos" w:hAnsi="Aptos"/>
                <w:b w:val="0"/>
                <w:color w:val="111827"/>
                <w:sz w:val="11"/>
              </w:rPr>
              <w:t>$0.25</w:t>
            </w:r>
          </w:p>
        </w:tc>
        <w:tc>
          <w:tcPr>
            <w:tcW w:type="dxa" w:w="576"/>
            <w:vAlign w:val="center"/>
            <w:shd w:fill="F5F7FA"/>
          </w:tcPr>
          <w:p>
            <w:pPr>
              <w:spacing w:after="0" w:before="0" w:line="240" w:lineRule="auto"/>
            </w:pPr>
            <w:r/>
            <w:r>
              <w:rPr>
                <w:rFonts w:ascii="Aptos" w:hAnsi="Aptos"/>
                <w:b w:val="0"/>
                <w:color w:val="111827"/>
                <w:sz w:val="11"/>
              </w:rPr>
              <w:t>$0.88</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$1.50</w:t>
            </w:r>
          </w:p>
        </w:tc>
        <w:tc>
          <w:tcPr>
            <w:tcW w:type="dxa" w:w="576"/>
            <w:vAlign w:val="center"/>
            <w:shd w:fill="F5F7FA"/>
          </w:tcPr>
          <w:p>
            <w:pPr>
              <w:spacing w:after="0" w:before="0" w:line="240" w:lineRule="auto"/>
            </w:pPr>
            <w:r/>
            <w:r>
              <w:rPr>
                <w:rFonts w:ascii="Aptos" w:hAnsi="Aptos"/>
                <w:b w:val="0"/>
                <w:color w:val="111827"/>
                <w:sz w:val="11"/>
              </w:rPr>
              <w:t>$0.50</w:t>
            </w:r>
          </w:p>
        </w:tc>
        <w:tc>
          <w:tcPr>
            <w:tcW w:type="dxa" w:w="576"/>
            <w:vAlign w:val="center"/>
            <w:shd w:fill="F5F7FA"/>
          </w:tcPr>
          <w:p>
            <w:pPr>
              <w:spacing w:after="0" w:before="0" w:line="240" w:lineRule="auto"/>
            </w:pPr>
            <w:r/>
            <w:r>
              <w:rPr>
                <w:rFonts w:ascii="Aptos" w:hAnsi="Aptos"/>
                <w:b w:val="0"/>
                <w:color w:val="111827"/>
                <w:sz w:val="11"/>
              </w:rPr>
              <w:t>35</w:t>
            </w:r>
          </w:p>
        </w:tc>
        <w:tc>
          <w:tcPr>
            <w:tcW w:type="dxa" w:w="792"/>
            <w:vAlign w:val="center"/>
            <w:shd w:fill="F5F7FA"/>
          </w:tcPr>
          <w:p>
            <w:pPr>
              <w:spacing w:after="0" w:before="0" w:line="240" w:lineRule="auto"/>
            </w:pPr>
            <w:r/>
            <w:r>
              <w:rPr>
                <w:rFonts w:ascii="Aptos" w:hAnsi="Aptos"/>
                <w:b w:val="0"/>
                <w:color w:val="111827"/>
                <w:sz w:val="11"/>
              </w:rPr>
              <w:t>$-1.16</w:t>
            </w:r>
          </w:p>
        </w:tc>
        <w:tc>
          <w:tcPr>
            <w:tcW w:type="dxa" w:w="792"/>
            <w:vAlign w:val="center"/>
            <w:shd w:fill="F5F7FA"/>
          </w:tcPr>
          <w:p>
            <w:pPr>
              <w:spacing w:after="0" w:before="0" w:line="240" w:lineRule="auto"/>
            </w:pPr>
            <w:r/>
            <w:r>
              <w:rPr>
                <w:rFonts w:ascii="Aptos" w:hAnsi="Aptos"/>
                <w:b w:val="0"/>
                <w:color w:val="111827"/>
                <w:sz w:val="11"/>
              </w:rPr>
              <w:t>$-0.10</w:t>
            </w:r>
          </w:p>
        </w:tc>
      </w:tr>
      <w:tr>
        <w:tc>
          <w:tcPr>
            <w:tcW w:type="dxa" w:w="2088"/>
            <w:vAlign w:val="center"/>
          </w:tcPr>
          <w:p>
            <w:pPr>
              <w:spacing w:after="0" w:before="0" w:line="240" w:lineRule="auto"/>
            </w:pPr>
            <w:r/>
            <w:r>
              <w:rPr>
                <w:rFonts w:ascii="Aptos" w:hAnsi="Aptos"/>
                <w:b/>
                <w:color w:val="111827"/>
                <w:sz w:val="11"/>
              </w:rPr>
              <w:t>Headphones/small electronics ($100)</w:t>
            </w:r>
          </w:p>
        </w:tc>
        <w:tc>
          <w:tcPr>
            <w:tcW w:type="dxa" w:w="1584"/>
            <w:vAlign w:val="center"/>
          </w:tcPr>
          <w:p>
            <w:pPr>
              <w:spacing w:after="0" w:before="0" w:line="240" w:lineRule="auto"/>
            </w:pPr>
            <w:r/>
            <w:r>
              <w:rPr>
                <w:rFonts w:ascii="Aptos" w:hAnsi="Aptos"/>
                <w:b w:val="0"/>
                <w:color w:val="111827"/>
                <w:sz w:val="11"/>
              </w:rPr>
              <w:t>Unopened</w:t>
            </w:r>
          </w:p>
        </w:tc>
        <w:tc>
          <w:tcPr>
            <w:tcW w:type="dxa" w:w="576"/>
            <w:vAlign w:val="center"/>
          </w:tcPr>
          <w:p>
            <w:pPr>
              <w:spacing w:after="0" w:before="0" w:line="240" w:lineRule="auto"/>
            </w:pPr>
            <w:r/>
            <w:r>
              <w:rPr>
                <w:rFonts w:ascii="Aptos" w:hAnsi="Aptos"/>
                <w:b w:val="0"/>
                <w:color w:val="111827"/>
                <w:sz w:val="11"/>
              </w:rPr>
              <w:t>14.0%</w:t>
            </w:r>
          </w:p>
        </w:tc>
        <w:tc>
          <w:tcPr>
            <w:tcW w:type="dxa" w:w="1512"/>
            <w:vAlign w:val="center"/>
          </w:tcPr>
          <w:p>
            <w:pPr>
              <w:spacing w:after="0" w:before="0" w:line="240" w:lineRule="auto"/>
            </w:pPr>
            <w:r/>
            <w:r>
              <w:rPr>
                <w:rFonts w:ascii="Aptos" w:hAnsi="Aptos"/>
                <w:b w:val="0"/>
                <w:color w:val="111827"/>
                <w:sz w:val="11"/>
              </w:rPr>
              <w:t>Restock as new</w:t>
            </w:r>
          </w:p>
        </w:tc>
        <w:tc>
          <w:tcPr>
            <w:tcW w:type="dxa" w:w="864"/>
            <w:vAlign w:val="center"/>
          </w:tcPr>
          <w:p>
            <w:pPr>
              <w:spacing w:after="0" w:before="0" w:line="240" w:lineRule="auto"/>
            </w:pPr>
            <w:r/>
            <w:r>
              <w:rPr>
                <w:rFonts w:ascii="Aptos" w:hAnsi="Aptos"/>
                <w:b w:val="0"/>
                <w:color w:val="111827"/>
                <w:sz w:val="11"/>
              </w:rPr>
              <w:t>$98.99</w:t>
            </w:r>
          </w:p>
        </w:tc>
        <w:tc>
          <w:tcPr>
            <w:tcW w:type="dxa" w:w="648"/>
            <w:vAlign w:val="center"/>
          </w:tcPr>
          <w:p>
            <w:pPr>
              <w:spacing w:after="0" w:before="0" w:line="240" w:lineRule="auto"/>
            </w:pPr>
            <w:r/>
            <w:r>
              <w:rPr>
                <w:rFonts w:ascii="Aptos" w:hAnsi="Aptos"/>
                <w:b w:val="0"/>
                <w:color w:val="111827"/>
                <w:sz w:val="11"/>
              </w:rPr>
              <w:t>$0.80</w:t>
            </w:r>
          </w:p>
        </w:tc>
        <w:tc>
          <w:tcPr>
            <w:tcW w:type="dxa" w:w="576"/>
            <w:vAlign w:val="center"/>
          </w:tcPr>
          <w:p>
            <w:pPr>
              <w:spacing w:after="0" w:before="0" w:line="240" w:lineRule="auto"/>
            </w:pPr>
            <w:r/>
            <w:r>
              <w:rPr>
                <w:rFonts w:ascii="Aptos" w:hAnsi="Aptos"/>
                <w:b w:val="0"/>
                <w:color w:val="111827"/>
                <w:sz w:val="11"/>
              </w:rPr>
              <w:t>$0.20</w:t>
            </w:r>
          </w:p>
        </w:tc>
        <w:tc>
          <w:tcPr>
            <w:tcW w:type="dxa" w:w="648"/>
            <w:vAlign w:val="center"/>
          </w:tcPr>
          <w:p>
            <w:pPr>
              <w:spacing w:after="0" w:before="0" w:line="240" w:lineRule="auto"/>
            </w:pPr>
            <w:r/>
            <w:r>
              <w:rPr>
                <w:rFonts w:ascii="Aptos" w:hAnsi="Aptos"/>
                <w:b w:val="0"/>
                <w:color w:val="111827"/>
                <w:sz w:val="11"/>
              </w:rPr>
              <w:t>$2.77</w:t>
            </w:r>
          </w:p>
        </w:tc>
        <w:tc>
          <w:tcPr>
            <w:tcW w:type="dxa" w:w="648"/>
            <w:vAlign w:val="center"/>
          </w:tcPr>
          <w:p>
            <w:pPr>
              <w:spacing w:after="0" w:before="0" w:line="240" w:lineRule="auto"/>
            </w:pPr>
            <w:r/>
            <w:r>
              <w:rPr>
                <w:rFonts w:ascii="Aptos" w:hAnsi="Aptos"/>
                <w:b w:val="0"/>
                <w:color w:val="111827"/>
                <w:sz w:val="11"/>
              </w:rPr>
              <w:t>$6.00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10</w:t>
            </w:r>
          </w:p>
        </w:tc>
        <w:tc>
          <w:tcPr>
            <w:tcW w:type="dxa" w:w="792"/>
            <w:vAlign w:val="center"/>
          </w:tcPr>
          <w:p>
            <w:pPr>
              <w:spacing w:after="0" w:before="0" w:line="240" w:lineRule="auto"/>
            </w:pPr>
            <w:r/>
            <w:r>
              <w:rPr>
                <w:rFonts w:ascii="Aptos" w:hAnsi="Aptos"/>
                <w:b w:val="0"/>
                <w:color w:val="111827"/>
                <w:sz w:val="11"/>
              </w:rPr>
              <w:t>$88.94</w:t>
            </w:r>
          </w:p>
        </w:tc>
        <w:tc>
          <w:tcPr>
            <w:tcW w:type="dxa" w:w="792"/>
            <w:vAlign w:val="center"/>
          </w:tcPr>
          <w:p>
            <w:pPr>
              <w:spacing w:after="0" w:before="0" w:line="240" w:lineRule="auto"/>
            </w:pPr>
            <w:r/>
            <w:r>
              <w:rPr>
                <w:rFonts w:ascii="Aptos" w:hAnsi="Aptos"/>
                <w:b w:val="0"/>
                <w:color w:val="111827"/>
                <w:sz w:val="11"/>
              </w:rPr>
              <w:t>$12.45</w:t>
            </w:r>
          </w:p>
        </w:tc>
      </w:tr>
      <w:tr>
        <w:tc>
          <w:tcPr>
            <w:tcW w:type="dxa" w:w="2088"/>
            <w:vAlign w:val="center"/>
            <w:shd w:fill="F5F7FA"/>
          </w:tcPr>
          <w:p>
            <w:pPr>
              <w:spacing w:after="0" w:before="0" w:line="240" w:lineRule="auto"/>
            </w:pPr>
            <w:r/>
            <w:r>
              <w:rPr>
                <w:rFonts w:ascii="Aptos" w:hAnsi="Aptos"/>
                <w:b/>
                <w:color w:val="111827"/>
                <w:sz w:val="11"/>
              </w:rPr>
              <w:t>Headphones/small electronics ($100)</w:t>
            </w:r>
          </w:p>
        </w:tc>
        <w:tc>
          <w:tcPr>
            <w:tcW w:type="dxa" w:w="1584"/>
            <w:vAlign w:val="center"/>
            <w:shd w:fill="F5F7FA"/>
          </w:tcPr>
          <w:p>
            <w:pPr>
              <w:spacing w:after="0" w:before="0" w:line="240" w:lineRule="auto"/>
            </w:pPr>
            <w:r/>
            <w:r>
              <w:rPr>
                <w:rFonts w:ascii="Aptos" w:hAnsi="Aptos"/>
                <w:b w:val="0"/>
                <w:color w:val="111827"/>
                <w:sz w:val="11"/>
              </w:rPr>
              <w:t>Opened but unused</w:t>
            </w:r>
          </w:p>
        </w:tc>
        <w:tc>
          <w:tcPr>
            <w:tcW w:type="dxa" w:w="576"/>
            <w:vAlign w:val="center"/>
            <w:shd w:fill="F5F7FA"/>
          </w:tcPr>
          <w:p>
            <w:pPr>
              <w:spacing w:after="0" w:before="0" w:line="240" w:lineRule="auto"/>
            </w:pPr>
            <w:r/>
            <w:r>
              <w:rPr>
                <w:rFonts w:ascii="Aptos" w:hAnsi="Aptos"/>
                <w:b w:val="0"/>
                <w:color w:val="111827"/>
                <w:sz w:val="11"/>
              </w:rPr>
              <w:t>21.0%</w:t>
            </w:r>
          </w:p>
        </w:tc>
        <w:tc>
          <w:tcPr>
            <w:tcW w:type="dxa" w:w="1512"/>
            <w:vAlign w:val="center"/>
            <w:shd w:fill="F5F7FA"/>
          </w:tcPr>
          <w:p>
            <w:pPr>
              <w:spacing w:after="0" w:before="0" w:line="240" w:lineRule="auto"/>
            </w:pPr>
            <w:r/>
            <w:r>
              <w:rPr>
                <w:rFonts w:ascii="Aptos" w:hAnsi="Aptos"/>
                <w:b w:val="0"/>
                <w:color w:val="111827"/>
                <w:sz w:val="11"/>
              </w:rPr>
              <w:t>Open-box resale</w:t>
            </w:r>
          </w:p>
        </w:tc>
        <w:tc>
          <w:tcPr>
            <w:tcW w:type="dxa" w:w="864"/>
            <w:vAlign w:val="center"/>
            <w:shd w:fill="F5F7FA"/>
          </w:tcPr>
          <w:p>
            <w:pPr>
              <w:spacing w:after="0" w:before="0" w:line="240" w:lineRule="auto"/>
            </w:pPr>
            <w:r/>
            <w:r>
              <w:rPr>
                <w:rFonts w:ascii="Aptos" w:hAnsi="Aptos"/>
                <w:b w:val="0"/>
                <w:color w:val="111827"/>
                <w:sz w:val="11"/>
              </w:rPr>
              <w:t>$70.20</w:t>
            </w:r>
          </w:p>
        </w:tc>
        <w:tc>
          <w:tcPr>
            <w:tcW w:type="dxa" w:w="648"/>
            <w:vAlign w:val="center"/>
            <w:shd w:fill="F5F7FA"/>
          </w:tcPr>
          <w:p>
            <w:pPr>
              <w:spacing w:after="0" w:before="0" w:line="240" w:lineRule="auto"/>
            </w:pPr>
            <w:r/>
            <w:r>
              <w:rPr>
                <w:rFonts w:ascii="Aptos" w:hAnsi="Aptos"/>
                <w:b w:val="0"/>
                <w:color w:val="111827"/>
                <w:sz w:val="11"/>
              </w:rPr>
              <w:t>$5.60</w:t>
            </w:r>
          </w:p>
        </w:tc>
        <w:tc>
          <w:tcPr>
            <w:tcW w:type="dxa" w:w="576"/>
            <w:vAlign w:val="center"/>
            <w:shd w:fill="F5F7FA"/>
          </w:tcPr>
          <w:p>
            <w:pPr>
              <w:spacing w:after="0" w:before="0" w:line="240" w:lineRule="auto"/>
            </w:pPr>
            <w:r/>
            <w:r>
              <w:rPr>
                <w:rFonts w:ascii="Aptos" w:hAnsi="Aptos"/>
                <w:b w:val="0"/>
                <w:color w:val="111827"/>
                <w:sz w:val="11"/>
              </w:rPr>
              <w:t>$0.50</w:t>
            </w:r>
          </w:p>
        </w:tc>
        <w:tc>
          <w:tcPr>
            <w:tcW w:type="dxa" w:w="648"/>
            <w:vAlign w:val="center"/>
            <w:shd w:fill="F5F7FA"/>
          </w:tcPr>
          <w:p>
            <w:pPr>
              <w:spacing w:after="0" w:before="0" w:line="240" w:lineRule="auto"/>
            </w:pPr>
            <w:r/>
            <w:r>
              <w:rPr>
                <w:rFonts w:ascii="Aptos" w:hAnsi="Aptos"/>
                <w:b w:val="0"/>
                <w:color w:val="111827"/>
                <w:sz w:val="11"/>
              </w:rPr>
              <w:t>$8.42</w:t>
            </w:r>
          </w:p>
        </w:tc>
        <w:tc>
          <w:tcPr>
            <w:tcW w:type="dxa" w:w="648"/>
            <w:vAlign w:val="center"/>
            <w:shd w:fill="F5F7FA"/>
          </w:tcPr>
          <w:p>
            <w:pPr>
              <w:spacing w:after="0" w:before="0" w:line="240" w:lineRule="auto"/>
            </w:pPr>
            <w:r/>
            <w:r>
              <w:rPr>
                <w:rFonts w:ascii="Aptos" w:hAnsi="Aptos"/>
                <w:b w:val="0"/>
                <w:color w:val="111827"/>
                <w:sz w:val="11"/>
              </w:rPr>
              <w:t>$6.60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25</w:t>
            </w:r>
          </w:p>
        </w:tc>
        <w:tc>
          <w:tcPr>
            <w:tcW w:type="dxa" w:w="792"/>
            <w:vAlign w:val="center"/>
            <w:shd w:fill="F5F7FA"/>
          </w:tcPr>
          <w:p>
            <w:pPr>
              <w:spacing w:after="0" w:before="0" w:line="240" w:lineRule="auto"/>
            </w:pPr>
            <w:r/>
            <w:r>
              <w:rPr>
                <w:rFonts w:ascii="Aptos" w:hAnsi="Aptos"/>
                <w:b w:val="0"/>
                <w:color w:val="111827"/>
                <w:sz w:val="11"/>
              </w:rPr>
              <w:t>$48.69</w:t>
            </w:r>
          </w:p>
        </w:tc>
        <w:tc>
          <w:tcPr>
            <w:tcW w:type="dxa" w:w="792"/>
            <w:vAlign w:val="center"/>
            <w:shd w:fill="F5F7FA"/>
          </w:tcPr>
          <w:p>
            <w:pPr>
              <w:spacing w:after="0" w:before="0" w:line="240" w:lineRule="auto"/>
            </w:pPr>
            <w:r/>
            <w:r>
              <w:rPr>
                <w:rFonts w:ascii="Aptos" w:hAnsi="Aptos"/>
                <w:b w:val="0"/>
                <w:color w:val="111827"/>
                <w:sz w:val="11"/>
              </w:rPr>
              <w:t>$10.23</w:t>
            </w:r>
          </w:p>
        </w:tc>
      </w:tr>
      <w:tr>
        <w:tc>
          <w:tcPr>
            <w:tcW w:type="dxa" w:w="2088"/>
            <w:vAlign w:val="center"/>
          </w:tcPr>
          <w:p>
            <w:pPr>
              <w:spacing w:after="0" w:before="0" w:line="240" w:lineRule="auto"/>
            </w:pPr>
            <w:r/>
            <w:r>
              <w:rPr>
                <w:rFonts w:ascii="Aptos" w:hAnsi="Aptos"/>
                <w:b/>
                <w:color w:val="111827"/>
                <w:sz w:val="11"/>
              </w:rPr>
              <w:t>Headphones/small electronics ($100)</w:t>
            </w:r>
          </w:p>
        </w:tc>
        <w:tc>
          <w:tcPr>
            <w:tcW w:type="dxa" w:w="1584"/>
            <w:vAlign w:val="center"/>
          </w:tcPr>
          <w:p>
            <w:pPr>
              <w:spacing w:after="0" w:before="0" w:line="240" w:lineRule="auto"/>
            </w:pPr>
            <w:r/>
            <w:r>
              <w:rPr>
                <w:rFonts w:ascii="Aptos" w:hAnsi="Aptos"/>
                <w:b w:val="0"/>
                <w:color w:val="111827"/>
                <w:sz w:val="11"/>
              </w:rPr>
              <w:t>Lightly used</w:t>
            </w:r>
          </w:p>
        </w:tc>
        <w:tc>
          <w:tcPr>
            <w:tcW w:type="dxa" w:w="576"/>
            <w:vAlign w:val="center"/>
          </w:tcPr>
          <w:p>
            <w:pPr>
              <w:spacing w:after="0" w:before="0" w:line="240" w:lineRule="auto"/>
            </w:pPr>
            <w:r/>
            <w:r>
              <w:rPr>
                <w:rFonts w:ascii="Aptos" w:hAnsi="Aptos"/>
                <w:b w:val="0"/>
                <w:color w:val="111827"/>
                <w:sz w:val="11"/>
              </w:rPr>
              <w:t>26.0%</w:t>
            </w:r>
          </w:p>
        </w:tc>
        <w:tc>
          <w:tcPr>
            <w:tcW w:type="dxa" w:w="1512"/>
            <w:vAlign w:val="center"/>
          </w:tcPr>
          <w:p>
            <w:pPr>
              <w:spacing w:after="0" w:before="0" w:line="240" w:lineRule="auto"/>
            </w:pPr>
            <w:r/>
            <w:r>
              <w:rPr>
                <w:rFonts w:ascii="Aptos" w:hAnsi="Aptos"/>
                <w:b w:val="0"/>
                <w:color w:val="111827"/>
                <w:sz w:val="11"/>
              </w:rPr>
              <w:t>Open-box resale</w:t>
            </w:r>
          </w:p>
        </w:tc>
        <w:tc>
          <w:tcPr>
            <w:tcW w:type="dxa" w:w="864"/>
            <w:vAlign w:val="center"/>
          </w:tcPr>
          <w:p>
            <w:pPr>
              <w:spacing w:after="0" w:before="0" w:line="240" w:lineRule="auto"/>
            </w:pPr>
            <w:r/>
            <w:r>
              <w:rPr>
                <w:rFonts w:ascii="Aptos" w:hAnsi="Aptos"/>
                <w:b w:val="0"/>
                <w:color w:val="111827"/>
                <w:sz w:val="11"/>
              </w:rPr>
              <w:t>$54.75</w:t>
            </w:r>
          </w:p>
        </w:tc>
        <w:tc>
          <w:tcPr>
            <w:tcW w:type="dxa" w:w="648"/>
            <w:vAlign w:val="center"/>
          </w:tcPr>
          <w:p>
            <w:pPr>
              <w:spacing w:after="0" w:before="0" w:line="240" w:lineRule="auto"/>
            </w:pPr>
            <w:r/>
            <w:r>
              <w:rPr>
                <w:rFonts w:ascii="Aptos" w:hAnsi="Aptos"/>
                <w:b w:val="0"/>
                <w:color w:val="111827"/>
                <w:sz w:val="11"/>
              </w:rPr>
              <w:t>$8.00</w:t>
            </w:r>
          </w:p>
        </w:tc>
        <w:tc>
          <w:tcPr>
            <w:tcW w:type="dxa" w:w="576"/>
            <w:vAlign w:val="center"/>
          </w:tcPr>
          <w:p>
            <w:pPr>
              <w:spacing w:after="0" w:before="0" w:line="240" w:lineRule="auto"/>
            </w:pPr>
            <w:r/>
            <w:r>
              <w:rPr>
                <w:rFonts w:ascii="Aptos" w:hAnsi="Aptos"/>
                <w:b w:val="0"/>
                <w:color w:val="111827"/>
                <w:sz w:val="11"/>
              </w:rPr>
              <w:t>$0.50</w:t>
            </w:r>
          </w:p>
        </w:tc>
        <w:tc>
          <w:tcPr>
            <w:tcW w:type="dxa" w:w="648"/>
            <w:vAlign w:val="center"/>
          </w:tcPr>
          <w:p>
            <w:pPr>
              <w:spacing w:after="0" w:before="0" w:line="240" w:lineRule="auto"/>
            </w:pPr>
            <w:r/>
            <w:r>
              <w:rPr>
                <w:rFonts w:ascii="Aptos" w:hAnsi="Aptos"/>
                <w:b w:val="0"/>
                <w:color w:val="111827"/>
                <w:sz w:val="11"/>
              </w:rPr>
              <w:t>$6.57</w:t>
            </w:r>
          </w:p>
        </w:tc>
        <w:tc>
          <w:tcPr>
            <w:tcW w:type="dxa" w:w="648"/>
            <w:vAlign w:val="center"/>
          </w:tcPr>
          <w:p>
            <w:pPr>
              <w:spacing w:after="0" w:before="0" w:line="240" w:lineRule="auto"/>
            </w:pPr>
            <w:r/>
            <w:r>
              <w:rPr>
                <w:rFonts w:ascii="Aptos" w:hAnsi="Aptos"/>
                <w:b w:val="0"/>
                <w:color w:val="111827"/>
                <w:sz w:val="11"/>
              </w:rPr>
              <w:t>$6.60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25</w:t>
            </w:r>
          </w:p>
        </w:tc>
        <w:tc>
          <w:tcPr>
            <w:tcW w:type="dxa" w:w="792"/>
            <w:vAlign w:val="center"/>
          </w:tcPr>
          <w:p>
            <w:pPr>
              <w:spacing w:after="0" w:before="0" w:line="240" w:lineRule="auto"/>
            </w:pPr>
            <w:r/>
            <w:r>
              <w:rPr>
                <w:rFonts w:ascii="Aptos" w:hAnsi="Aptos"/>
                <w:b w:val="0"/>
                <w:color w:val="111827"/>
                <w:sz w:val="11"/>
              </w:rPr>
              <w:t>$32.83</w:t>
            </w:r>
          </w:p>
        </w:tc>
        <w:tc>
          <w:tcPr>
            <w:tcW w:type="dxa" w:w="792"/>
            <w:vAlign w:val="center"/>
          </w:tcPr>
          <w:p>
            <w:pPr>
              <w:spacing w:after="0" w:before="0" w:line="240" w:lineRule="auto"/>
            </w:pPr>
            <w:r/>
            <w:r>
              <w:rPr>
                <w:rFonts w:ascii="Aptos" w:hAnsi="Aptos"/>
                <w:b w:val="0"/>
                <w:color w:val="111827"/>
                <w:sz w:val="11"/>
              </w:rPr>
              <w:t>$8.53</w:t>
            </w:r>
          </w:p>
        </w:tc>
      </w:tr>
      <w:tr>
        <w:tc>
          <w:tcPr>
            <w:tcW w:type="dxa" w:w="2088"/>
            <w:vAlign w:val="center"/>
            <w:shd w:fill="F5F7FA"/>
          </w:tcPr>
          <w:p>
            <w:pPr>
              <w:spacing w:after="0" w:before="0" w:line="240" w:lineRule="auto"/>
            </w:pPr>
            <w:r/>
            <w:r>
              <w:rPr>
                <w:rFonts w:ascii="Aptos" w:hAnsi="Aptos"/>
                <w:b/>
                <w:color w:val="111827"/>
                <w:sz w:val="11"/>
              </w:rPr>
              <w:t>Headphones/small electronics ($100)</w:t>
            </w:r>
          </w:p>
        </w:tc>
        <w:tc>
          <w:tcPr>
            <w:tcW w:type="dxa" w:w="1584"/>
            <w:vAlign w:val="center"/>
            <w:shd w:fill="F5F7FA"/>
          </w:tcPr>
          <w:p>
            <w:pPr>
              <w:spacing w:after="0" w:before="0" w:line="240" w:lineRule="auto"/>
            </w:pPr>
            <w:r/>
            <w:r>
              <w:rPr>
                <w:rFonts w:ascii="Aptos" w:hAnsi="Aptos"/>
                <w:b w:val="0"/>
                <w:color w:val="111827"/>
                <w:sz w:val="11"/>
              </w:rPr>
              <w:t>Damaged but repairable</w:t>
            </w:r>
          </w:p>
        </w:tc>
        <w:tc>
          <w:tcPr>
            <w:tcW w:type="dxa" w:w="576"/>
            <w:vAlign w:val="center"/>
            <w:shd w:fill="F5F7FA"/>
          </w:tcPr>
          <w:p>
            <w:pPr>
              <w:spacing w:after="0" w:before="0" w:line="240" w:lineRule="auto"/>
            </w:pPr>
            <w:r/>
            <w:r>
              <w:rPr>
                <w:rFonts w:ascii="Aptos" w:hAnsi="Aptos"/>
                <w:b w:val="0"/>
                <w:color w:val="111827"/>
                <w:sz w:val="11"/>
              </w:rPr>
              <w:t>13.0%</w:t>
            </w:r>
          </w:p>
        </w:tc>
        <w:tc>
          <w:tcPr>
            <w:tcW w:type="dxa" w:w="1512"/>
            <w:vAlign w:val="center"/>
            <w:shd w:fill="F5F7FA"/>
          </w:tcPr>
          <w:p>
            <w:pPr>
              <w:spacing w:after="0" w:before="0" w:line="240" w:lineRule="auto"/>
            </w:pPr>
            <w:r/>
            <w:r>
              <w:rPr>
                <w:rFonts w:ascii="Aptos" w:hAnsi="Aptos"/>
                <w:b w:val="0"/>
                <w:color w:val="111827"/>
                <w:sz w:val="11"/>
              </w:rPr>
              <w:t>Refurbished resale</w:t>
            </w:r>
          </w:p>
        </w:tc>
        <w:tc>
          <w:tcPr>
            <w:tcW w:type="dxa" w:w="864"/>
            <w:vAlign w:val="center"/>
            <w:shd w:fill="F5F7FA"/>
          </w:tcPr>
          <w:p>
            <w:pPr>
              <w:spacing w:after="0" w:before="0" w:line="240" w:lineRule="auto"/>
            </w:pPr>
            <w:r/>
            <w:r>
              <w:rPr>
                <w:rFonts w:ascii="Aptos" w:hAnsi="Aptos"/>
                <w:b w:val="0"/>
                <w:color w:val="111827"/>
                <w:sz w:val="11"/>
              </w:rPr>
              <w:t>$37.36</w:t>
            </w:r>
          </w:p>
        </w:tc>
        <w:tc>
          <w:tcPr>
            <w:tcW w:type="dxa" w:w="648"/>
            <w:vAlign w:val="center"/>
            <w:shd w:fill="F5F7FA"/>
          </w:tcPr>
          <w:p>
            <w:pPr>
              <w:spacing w:after="0" w:before="0" w:line="240" w:lineRule="auto"/>
            </w:pPr>
            <w:r/>
            <w:r>
              <w:rPr>
                <w:rFonts w:ascii="Aptos" w:hAnsi="Aptos"/>
                <w:b w:val="0"/>
                <w:color w:val="111827"/>
                <w:sz w:val="11"/>
              </w:rPr>
              <w:t>$12.00</w:t>
            </w:r>
          </w:p>
        </w:tc>
        <w:tc>
          <w:tcPr>
            <w:tcW w:type="dxa" w:w="576"/>
            <w:vAlign w:val="center"/>
            <w:shd w:fill="F5F7FA"/>
          </w:tcPr>
          <w:p>
            <w:pPr>
              <w:spacing w:after="0" w:before="0" w:line="240" w:lineRule="auto"/>
            </w:pPr>
            <w:r/>
            <w:r>
              <w:rPr>
                <w:rFonts w:ascii="Aptos" w:hAnsi="Aptos"/>
                <w:b w:val="0"/>
                <w:color w:val="111827"/>
                <w:sz w:val="11"/>
              </w:rPr>
              <w:t>$0.90</w:t>
            </w:r>
          </w:p>
        </w:tc>
        <w:tc>
          <w:tcPr>
            <w:tcW w:type="dxa" w:w="648"/>
            <w:vAlign w:val="center"/>
            <w:shd w:fill="F5F7FA"/>
          </w:tcPr>
          <w:p>
            <w:pPr>
              <w:spacing w:after="0" w:before="0" w:line="240" w:lineRule="auto"/>
            </w:pPr>
            <w:r/>
            <w:r>
              <w:rPr>
                <w:rFonts w:ascii="Aptos" w:hAnsi="Aptos"/>
                <w:b w:val="0"/>
                <w:color w:val="111827"/>
                <w:sz w:val="11"/>
              </w:rPr>
              <w:t>$4.86</w:t>
            </w:r>
          </w:p>
        </w:tc>
        <w:tc>
          <w:tcPr>
            <w:tcW w:type="dxa" w:w="648"/>
            <w:vAlign w:val="center"/>
            <w:shd w:fill="F5F7FA"/>
          </w:tcPr>
          <w:p>
            <w:pPr>
              <w:spacing w:after="0" w:before="0" w:line="240" w:lineRule="auto"/>
            </w:pPr>
            <w:r/>
            <w:r>
              <w:rPr>
                <w:rFonts w:ascii="Aptos" w:hAnsi="Aptos"/>
                <w:b w:val="0"/>
                <w:color w:val="111827"/>
                <w:sz w:val="11"/>
              </w:rPr>
              <w:t>$7.60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45</w:t>
            </w:r>
          </w:p>
        </w:tc>
        <w:tc>
          <w:tcPr>
            <w:tcW w:type="dxa" w:w="792"/>
            <w:vAlign w:val="center"/>
            <w:shd w:fill="F5F7FA"/>
          </w:tcPr>
          <w:p>
            <w:pPr>
              <w:spacing w:after="0" w:before="0" w:line="240" w:lineRule="auto"/>
            </w:pPr>
            <w:r/>
            <w:r>
              <w:rPr>
                <w:rFonts w:ascii="Aptos" w:hAnsi="Aptos"/>
                <w:b w:val="0"/>
                <w:color w:val="111827"/>
                <w:sz w:val="11"/>
              </w:rPr>
              <w:t>$11.83</w:t>
            </w:r>
          </w:p>
        </w:tc>
        <w:tc>
          <w:tcPr>
            <w:tcW w:type="dxa" w:w="792"/>
            <w:vAlign w:val="center"/>
            <w:shd w:fill="F5F7FA"/>
          </w:tcPr>
          <w:p>
            <w:pPr>
              <w:spacing w:after="0" w:before="0" w:line="240" w:lineRule="auto"/>
            </w:pPr>
            <w:r/>
            <w:r>
              <w:rPr>
                <w:rFonts w:ascii="Aptos" w:hAnsi="Aptos"/>
                <w:b w:val="0"/>
                <w:color w:val="111827"/>
                <w:sz w:val="11"/>
              </w:rPr>
              <w:t>$1.54</w:t>
            </w:r>
          </w:p>
        </w:tc>
      </w:tr>
      <w:tr>
        <w:tc>
          <w:tcPr>
            <w:tcW w:type="dxa" w:w="2088"/>
            <w:vAlign w:val="center"/>
          </w:tcPr>
          <w:p>
            <w:pPr>
              <w:spacing w:after="0" w:before="0" w:line="240" w:lineRule="auto"/>
            </w:pPr>
            <w:r/>
            <w:r>
              <w:rPr>
                <w:rFonts w:ascii="Aptos" w:hAnsi="Aptos"/>
                <w:b/>
                <w:color w:val="111827"/>
                <w:sz w:val="11"/>
              </w:rPr>
              <w:t>Headphones/small electronics ($100)</w:t>
            </w:r>
          </w:p>
        </w:tc>
        <w:tc>
          <w:tcPr>
            <w:tcW w:type="dxa" w:w="1584"/>
            <w:vAlign w:val="center"/>
          </w:tcPr>
          <w:p>
            <w:pPr>
              <w:spacing w:after="0" w:before="0" w:line="240" w:lineRule="auto"/>
            </w:pPr>
            <w:r/>
            <w:r>
              <w:rPr>
                <w:rFonts w:ascii="Aptos" w:hAnsi="Aptos"/>
                <w:b w:val="0"/>
                <w:color w:val="111827"/>
                <w:sz w:val="11"/>
              </w:rPr>
              <w:t>Incomplete</w:t>
            </w:r>
          </w:p>
        </w:tc>
        <w:tc>
          <w:tcPr>
            <w:tcW w:type="dxa" w:w="576"/>
            <w:vAlign w:val="center"/>
          </w:tcPr>
          <w:p>
            <w:pPr>
              <w:spacing w:after="0" w:before="0" w:line="240" w:lineRule="auto"/>
            </w:pPr>
            <w:r/>
            <w:r>
              <w:rPr>
                <w:rFonts w:ascii="Aptos" w:hAnsi="Aptos"/>
                <w:b w:val="0"/>
                <w:color w:val="111827"/>
                <w:sz w:val="11"/>
              </w:rPr>
              <w:t>9.0%</w:t>
            </w:r>
          </w:p>
        </w:tc>
        <w:tc>
          <w:tcPr>
            <w:tcW w:type="dxa" w:w="1512"/>
            <w:vAlign w:val="center"/>
          </w:tcPr>
          <w:p>
            <w:pPr>
              <w:spacing w:after="0" w:before="0" w:line="240" w:lineRule="auto"/>
            </w:pPr>
            <w:r/>
            <w:r>
              <w:rPr>
                <w:rFonts w:ascii="Aptos" w:hAnsi="Aptos"/>
                <w:b w:val="0"/>
                <w:color w:val="111827"/>
                <w:sz w:val="11"/>
              </w:rPr>
              <w:t>Outlet/off-price</w:t>
            </w:r>
          </w:p>
        </w:tc>
        <w:tc>
          <w:tcPr>
            <w:tcW w:type="dxa" w:w="864"/>
            <w:vAlign w:val="center"/>
          </w:tcPr>
          <w:p>
            <w:pPr>
              <w:spacing w:after="0" w:before="0" w:line="240" w:lineRule="auto"/>
            </w:pPr>
            <w:r/>
            <w:r>
              <w:rPr>
                <w:rFonts w:ascii="Aptos" w:hAnsi="Aptos"/>
                <w:b w:val="0"/>
                <w:color w:val="111827"/>
                <w:sz w:val="11"/>
              </w:rPr>
              <w:t>$13.90</w:t>
            </w:r>
          </w:p>
        </w:tc>
        <w:tc>
          <w:tcPr>
            <w:tcW w:type="dxa" w:w="648"/>
            <w:vAlign w:val="center"/>
          </w:tcPr>
          <w:p>
            <w:pPr>
              <w:spacing w:after="0" w:before="0" w:line="240" w:lineRule="auto"/>
            </w:pPr>
            <w:r/>
            <w:r>
              <w:rPr>
                <w:rFonts w:ascii="Aptos" w:hAnsi="Aptos"/>
                <w:b w:val="0"/>
                <w:color w:val="111827"/>
                <w:sz w:val="11"/>
              </w:rPr>
              <w:t>$6.00</w:t>
            </w:r>
          </w:p>
        </w:tc>
        <w:tc>
          <w:tcPr>
            <w:tcW w:type="dxa" w:w="576"/>
            <w:vAlign w:val="center"/>
          </w:tcPr>
          <w:p>
            <w:pPr>
              <w:spacing w:after="0" w:before="0" w:line="240" w:lineRule="auto"/>
            </w:pPr>
            <w:r/>
            <w:r>
              <w:rPr>
                <w:rFonts w:ascii="Aptos" w:hAnsi="Aptos"/>
                <w:b w:val="0"/>
                <w:color w:val="111827"/>
                <w:sz w:val="11"/>
              </w:rPr>
              <w:t>$0.70</w:t>
            </w:r>
          </w:p>
        </w:tc>
        <w:tc>
          <w:tcPr>
            <w:tcW w:type="dxa" w:w="648"/>
            <w:vAlign w:val="center"/>
          </w:tcPr>
          <w:p>
            <w:pPr>
              <w:spacing w:after="0" w:before="0" w:line="240" w:lineRule="auto"/>
            </w:pPr>
            <w:r/>
            <w:r>
              <w:rPr>
                <w:rFonts w:ascii="Aptos" w:hAnsi="Aptos"/>
                <w:b w:val="0"/>
                <w:color w:val="111827"/>
                <w:sz w:val="11"/>
              </w:rPr>
              <w:t>$0.69</w:t>
            </w:r>
          </w:p>
        </w:tc>
        <w:tc>
          <w:tcPr>
            <w:tcW w:type="dxa" w:w="648"/>
            <w:vAlign w:val="center"/>
          </w:tcPr>
          <w:p>
            <w:pPr>
              <w:spacing w:after="0" w:before="0" w:line="240" w:lineRule="auto"/>
            </w:pPr>
            <w:r/>
            <w:r>
              <w:rPr>
                <w:rFonts w:ascii="Aptos" w:hAnsi="Aptos"/>
                <w:b w:val="0"/>
                <w:color w:val="111827"/>
                <w:sz w:val="11"/>
              </w:rPr>
              <w:t>$1.50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35</w:t>
            </w:r>
          </w:p>
        </w:tc>
        <w:tc>
          <w:tcPr>
            <w:tcW w:type="dxa" w:w="792"/>
            <w:vAlign w:val="center"/>
          </w:tcPr>
          <w:p>
            <w:pPr>
              <w:spacing w:after="0" w:before="0" w:line="240" w:lineRule="auto"/>
            </w:pPr>
            <w:r/>
            <w:r>
              <w:rPr>
                <w:rFonts w:ascii="Aptos" w:hAnsi="Aptos"/>
                <w:b w:val="0"/>
                <w:color w:val="111827"/>
                <w:sz w:val="11"/>
              </w:rPr>
              <w:t>$4.95</w:t>
            </w:r>
          </w:p>
        </w:tc>
        <w:tc>
          <w:tcPr>
            <w:tcW w:type="dxa" w:w="792"/>
            <w:vAlign w:val="center"/>
          </w:tcPr>
          <w:p>
            <w:pPr>
              <w:spacing w:after="0" w:before="0" w:line="240" w:lineRule="auto"/>
            </w:pPr>
            <w:r/>
            <w:r>
              <w:rPr>
                <w:rFonts w:ascii="Aptos" w:hAnsi="Aptos"/>
                <w:b w:val="0"/>
                <w:color w:val="111827"/>
                <w:sz w:val="11"/>
              </w:rPr>
              <w:t>$0.45</w:t>
            </w:r>
          </w:p>
        </w:tc>
      </w:tr>
      <w:tr>
        <w:tc>
          <w:tcPr>
            <w:tcW w:type="dxa" w:w="2088"/>
            <w:vAlign w:val="center"/>
            <w:shd w:fill="F5F7FA"/>
          </w:tcPr>
          <w:p>
            <w:pPr>
              <w:spacing w:after="0" w:before="0" w:line="240" w:lineRule="auto"/>
            </w:pPr>
            <w:r/>
            <w:r>
              <w:rPr>
                <w:rFonts w:ascii="Aptos" w:hAnsi="Aptos"/>
                <w:b/>
                <w:color w:val="111827"/>
                <w:sz w:val="11"/>
              </w:rPr>
              <w:t>Headphones/small electronics ($100)</w:t>
            </w:r>
          </w:p>
        </w:tc>
        <w:tc>
          <w:tcPr>
            <w:tcW w:type="dxa" w:w="1584"/>
            <w:vAlign w:val="center"/>
            <w:shd w:fill="F5F7FA"/>
          </w:tcPr>
          <w:p>
            <w:pPr>
              <w:spacing w:after="0" w:before="0" w:line="240" w:lineRule="auto"/>
            </w:pPr>
            <w:r/>
            <w:r>
              <w:rPr>
                <w:rFonts w:ascii="Aptos" w:hAnsi="Aptos"/>
                <w:b w:val="0"/>
                <w:color w:val="111827"/>
                <w:sz w:val="11"/>
              </w:rPr>
              <w:t>Counterfeit or substituted</w:t>
            </w:r>
          </w:p>
        </w:tc>
        <w:tc>
          <w:tcPr>
            <w:tcW w:type="dxa" w:w="576"/>
            <w:vAlign w:val="center"/>
            <w:shd w:fill="F5F7FA"/>
          </w:tcPr>
          <w:p>
            <w:pPr>
              <w:spacing w:after="0" w:before="0" w:line="240" w:lineRule="auto"/>
            </w:pPr>
            <w:r/>
            <w:r>
              <w:rPr>
                <w:rFonts w:ascii="Aptos" w:hAnsi="Aptos"/>
                <w:b w:val="0"/>
                <w:color w:val="111827"/>
                <w:sz w:val="11"/>
              </w:rPr>
              <w:t>5.0%</w:t>
            </w:r>
          </w:p>
        </w:tc>
        <w:tc>
          <w:tcPr>
            <w:tcW w:type="dxa" w:w="1512"/>
            <w:vAlign w:val="center"/>
            <w:shd w:fill="F5F7FA"/>
          </w:tcPr>
          <w:p>
            <w:pPr>
              <w:spacing w:after="0" w:before="0" w:line="240" w:lineRule="auto"/>
            </w:pPr>
            <w:r/>
            <w:r>
              <w:rPr>
                <w:rFonts w:ascii="Aptos" w:hAnsi="Aptos"/>
                <w:b w:val="0"/>
                <w:color w:val="111827"/>
                <w:sz w:val="11"/>
              </w:rPr>
              <w:t>Fraudulent/missing</w:t>
            </w:r>
          </w:p>
        </w:tc>
        <w:tc>
          <w:tcPr>
            <w:tcW w:type="dxa" w:w="864"/>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$0.40</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20</w:t>
            </w:r>
          </w:p>
        </w:tc>
        <w:tc>
          <w:tcPr>
            <w:tcW w:type="dxa" w:w="792"/>
            <w:vAlign w:val="center"/>
            <w:shd w:fill="F5F7FA"/>
          </w:tcPr>
          <w:p>
            <w:pPr>
              <w:spacing w:after="0" w:before="0" w:line="240" w:lineRule="auto"/>
            </w:pPr>
            <w:r/>
            <w:r>
              <w:rPr>
                <w:rFonts w:ascii="Aptos" w:hAnsi="Aptos"/>
                <w:b w:val="0"/>
                <w:color w:val="111827"/>
                <w:sz w:val="11"/>
              </w:rPr>
              <w:t>$-0.40</w:t>
            </w:r>
          </w:p>
        </w:tc>
        <w:tc>
          <w:tcPr>
            <w:tcW w:type="dxa" w:w="792"/>
            <w:vAlign w:val="center"/>
            <w:shd w:fill="F5F7FA"/>
          </w:tcPr>
          <w:p>
            <w:pPr>
              <w:spacing w:after="0" w:before="0" w:line="240" w:lineRule="auto"/>
            </w:pPr>
            <w:r/>
            <w:r>
              <w:rPr>
                <w:rFonts w:ascii="Aptos" w:hAnsi="Aptos"/>
                <w:b w:val="0"/>
                <w:color w:val="111827"/>
                <w:sz w:val="11"/>
              </w:rPr>
              <w:t>$-0.02</w:t>
            </w:r>
          </w:p>
        </w:tc>
      </w:tr>
      <w:tr>
        <w:tc>
          <w:tcPr>
            <w:tcW w:type="dxa" w:w="2088"/>
            <w:vAlign w:val="center"/>
          </w:tcPr>
          <w:p>
            <w:pPr>
              <w:spacing w:after="0" w:before="0" w:line="240" w:lineRule="auto"/>
            </w:pPr>
            <w:r/>
            <w:r>
              <w:rPr>
                <w:rFonts w:ascii="Aptos" w:hAnsi="Aptos"/>
                <w:b/>
                <w:color w:val="111827"/>
                <w:sz w:val="11"/>
              </w:rPr>
              <w:t>Headphones/small electronics ($100)</w:t>
            </w:r>
          </w:p>
        </w:tc>
        <w:tc>
          <w:tcPr>
            <w:tcW w:type="dxa" w:w="1584"/>
            <w:vAlign w:val="center"/>
          </w:tcPr>
          <w:p>
            <w:pPr>
              <w:spacing w:after="0" w:before="0" w:line="240" w:lineRule="auto"/>
            </w:pPr>
            <w:r/>
            <w:r>
              <w:rPr>
                <w:rFonts w:ascii="Aptos" w:hAnsi="Aptos"/>
                <w:b w:val="0"/>
                <w:color w:val="111827"/>
                <w:sz w:val="11"/>
              </w:rPr>
              <w:t>Unsellable</w:t>
            </w:r>
          </w:p>
        </w:tc>
        <w:tc>
          <w:tcPr>
            <w:tcW w:type="dxa" w:w="576"/>
            <w:vAlign w:val="center"/>
          </w:tcPr>
          <w:p>
            <w:pPr>
              <w:spacing w:after="0" w:before="0" w:line="240" w:lineRule="auto"/>
            </w:pPr>
            <w:r/>
            <w:r>
              <w:rPr>
                <w:rFonts w:ascii="Aptos" w:hAnsi="Aptos"/>
                <w:b w:val="0"/>
                <w:color w:val="111827"/>
                <w:sz w:val="11"/>
              </w:rPr>
              <w:t>12.0%</w:t>
            </w:r>
          </w:p>
        </w:tc>
        <w:tc>
          <w:tcPr>
            <w:tcW w:type="dxa" w:w="1512"/>
            <w:vAlign w:val="center"/>
          </w:tcPr>
          <w:p>
            <w:pPr>
              <w:spacing w:after="0" w:before="0" w:line="240" w:lineRule="auto"/>
            </w:pPr>
            <w:r/>
            <w:r>
              <w:rPr>
                <w:rFonts w:ascii="Aptos" w:hAnsi="Aptos"/>
                <w:b w:val="0"/>
                <w:color w:val="111827"/>
                <w:sz w:val="11"/>
              </w:rPr>
              <w:t>Recycling/scrap</w:t>
            </w:r>
          </w:p>
        </w:tc>
        <w:tc>
          <w:tcPr>
            <w:tcW w:type="dxa" w:w="864"/>
            <w:vAlign w:val="center"/>
          </w:tcPr>
          <w:p>
            <w:pPr>
              <w:spacing w:after="0" w:before="0" w:line="240" w:lineRule="auto"/>
            </w:pPr>
            <w:r/>
            <w:r>
              <w:rPr>
                <w:rFonts w:ascii="Aptos" w:hAnsi="Aptos"/>
                <w:b w:val="0"/>
                <w:color w:val="111827"/>
                <w:sz w:val="11"/>
              </w:rPr>
              <w:t>$4.83</w:t>
            </w:r>
          </w:p>
        </w:tc>
        <w:tc>
          <w:tcPr>
            <w:tcW w:type="dxa" w:w="648"/>
            <w:vAlign w:val="center"/>
          </w:tcPr>
          <w:p>
            <w:pPr>
              <w:spacing w:after="0" w:before="0" w:line="240" w:lineRule="auto"/>
            </w:pPr>
            <w:r/>
            <w:r>
              <w:rPr>
                <w:rFonts w:ascii="Aptos" w:hAnsi="Aptos"/>
                <w:b w:val="0"/>
                <w:color w:val="111827"/>
                <w:sz w:val="11"/>
              </w:rPr>
              <w:t>$0.50</w:t>
            </w:r>
          </w:p>
        </w:tc>
        <w:tc>
          <w:tcPr>
            <w:tcW w:type="dxa" w:w="576"/>
            <w:vAlign w:val="center"/>
          </w:tcPr>
          <w:p>
            <w:pPr>
              <w:spacing w:after="0" w:before="0" w:line="240" w:lineRule="auto"/>
            </w:pPr>
            <w:r/>
            <w:r>
              <w:rPr>
                <w:rFonts w:ascii="Aptos" w:hAnsi="Aptos"/>
                <w:b w:val="0"/>
                <w:color w:val="111827"/>
                <w:sz w:val="11"/>
              </w:rPr>
              <w:t>$0.70</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$1.20</w:t>
            </w:r>
          </w:p>
        </w:tc>
        <w:tc>
          <w:tcPr>
            <w:tcW w:type="dxa" w:w="576"/>
            <w:vAlign w:val="center"/>
          </w:tcPr>
          <w:p>
            <w:pPr>
              <w:spacing w:after="0" w:before="0" w:line="240" w:lineRule="auto"/>
            </w:pPr>
            <w:r/>
            <w:r>
              <w:rPr>
                <w:rFonts w:ascii="Aptos" w:hAnsi="Aptos"/>
                <w:b w:val="0"/>
                <w:color w:val="111827"/>
                <w:sz w:val="11"/>
              </w:rPr>
              <w:t>$0.75</w:t>
            </w:r>
          </w:p>
        </w:tc>
        <w:tc>
          <w:tcPr>
            <w:tcW w:type="dxa" w:w="576"/>
            <w:vAlign w:val="center"/>
          </w:tcPr>
          <w:p>
            <w:pPr>
              <w:spacing w:after="0" w:before="0" w:line="240" w:lineRule="auto"/>
            </w:pPr>
            <w:r/>
            <w:r>
              <w:rPr>
                <w:rFonts w:ascii="Aptos" w:hAnsi="Aptos"/>
                <w:b w:val="0"/>
                <w:color w:val="111827"/>
                <w:sz w:val="11"/>
              </w:rPr>
              <w:t>35</w:t>
            </w:r>
          </w:p>
        </w:tc>
        <w:tc>
          <w:tcPr>
            <w:tcW w:type="dxa" w:w="792"/>
            <w:vAlign w:val="center"/>
          </w:tcPr>
          <w:p>
            <w:pPr>
              <w:spacing w:after="0" w:before="0" w:line="240" w:lineRule="auto"/>
            </w:pPr>
            <w:r/>
            <w:r>
              <w:rPr>
                <w:rFonts w:ascii="Aptos" w:hAnsi="Aptos"/>
                <w:b w:val="0"/>
                <w:color w:val="111827"/>
                <w:sz w:val="11"/>
              </w:rPr>
              <w:t>$1.66</w:t>
            </w:r>
          </w:p>
        </w:tc>
        <w:tc>
          <w:tcPr>
            <w:tcW w:type="dxa" w:w="792"/>
            <w:vAlign w:val="center"/>
          </w:tcPr>
          <w:p>
            <w:pPr>
              <w:spacing w:after="0" w:before="0" w:line="240" w:lineRule="auto"/>
            </w:pPr>
            <w:r/>
            <w:r>
              <w:rPr>
                <w:rFonts w:ascii="Aptos" w:hAnsi="Aptos"/>
                <w:b w:val="0"/>
                <w:color w:val="111827"/>
                <w:sz w:val="11"/>
              </w:rPr>
              <w:t>$0.20</w:t>
            </w:r>
          </w:p>
        </w:tc>
      </w:tr>
      <w:tr>
        <w:tc>
          <w:tcPr>
            <w:tcW w:type="dxa" w:w="2088"/>
            <w:vAlign w:val="center"/>
            <w:shd w:fill="F5F7FA"/>
          </w:tcPr>
          <w:p>
            <w:pPr>
              <w:spacing w:after="0" w:before="0" w:line="240" w:lineRule="auto"/>
            </w:pPr>
            <w:r/>
            <w:r>
              <w:rPr>
                <w:rFonts w:ascii="Aptos" w:hAnsi="Aptos"/>
                <w:b/>
                <w:color w:val="111827"/>
                <w:sz w:val="11"/>
              </w:rPr>
              <w:t>Small appliance ($100)</w:t>
            </w:r>
          </w:p>
        </w:tc>
        <w:tc>
          <w:tcPr>
            <w:tcW w:type="dxa" w:w="1584"/>
            <w:vAlign w:val="center"/>
            <w:shd w:fill="F5F7FA"/>
          </w:tcPr>
          <w:p>
            <w:pPr>
              <w:spacing w:after="0" w:before="0" w:line="240" w:lineRule="auto"/>
            </w:pPr>
            <w:r/>
            <w:r>
              <w:rPr>
                <w:rFonts w:ascii="Aptos" w:hAnsi="Aptos"/>
                <w:b w:val="0"/>
                <w:color w:val="111827"/>
                <w:sz w:val="11"/>
              </w:rPr>
              <w:t>Unopened</w:t>
            </w:r>
          </w:p>
        </w:tc>
        <w:tc>
          <w:tcPr>
            <w:tcW w:type="dxa" w:w="576"/>
            <w:vAlign w:val="center"/>
            <w:shd w:fill="F5F7FA"/>
          </w:tcPr>
          <w:p>
            <w:pPr>
              <w:spacing w:after="0" w:before="0" w:line="240" w:lineRule="auto"/>
            </w:pPr>
            <w:r/>
            <w:r>
              <w:rPr>
                <w:rFonts w:ascii="Aptos" w:hAnsi="Aptos"/>
                <w:b w:val="0"/>
                <w:color w:val="111827"/>
                <w:sz w:val="11"/>
              </w:rPr>
              <w:t>12.0%</w:t>
            </w:r>
          </w:p>
        </w:tc>
        <w:tc>
          <w:tcPr>
            <w:tcW w:type="dxa" w:w="1512"/>
            <w:vAlign w:val="center"/>
            <w:shd w:fill="F5F7FA"/>
          </w:tcPr>
          <w:p>
            <w:pPr>
              <w:spacing w:after="0" w:before="0" w:line="240" w:lineRule="auto"/>
            </w:pPr>
            <w:r/>
            <w:r>
              <w:rPr>
                <w:rFonts w:ascii="Aptos" w:hAnsi="Aptos"/>
                <w:b w:val="0"/>
                <w:color w:val="111827"/>
                <w:sz w:val="11"/>
              </w:rPr>
              <w:t>Restock as new</w:t>
            </w:r>
          </w:p>
        </w:tc>
        <w:tc>
          <w:tcPr>
            <w:tcW w:type="dxa" w:w="864"/>
            <w:vAlign w:val="center"/>
            <w:shd w:fill="F5F7FA"/>
          </w:tcPr>
          <w:p>
            <w:pPr>
              <w:spacing w:after="0" w:before="0" w:line="240" w:lineRule="auto"/>
            </w:pPr>
            <w:r/>
            <w:r>
              <w:rPr>
                <w:rFonts w:ascii="Aptos" w:hAnsi="Aptos"/>
                <w:b w:val="0"/>
                <w:color w:val="111827"/>
                <w:sz w:val="11"/>
              </w:rPr>
              <w:t>$99.67</w:t>
            </w:r>
          </w:p>
        </w:tc>
        <w:tc>
          <w:tcPr>
            <w:tcW w:type="dxa" w:w="648"/>
            <w:vAlign w:val="center"/>
            <w:shd w:fill="F5F7FA"/>
          </w:tcPr>
          <w:p>
            <w:pPr>
              <w:spacing w:after="0" w:before="0" w:line="240" w:lineRule="auto"/>
            </w:pPr>
            <w:r/>
            <w:r>
              <w:rPr>
                <w:rFonts w:ascii="Aptos" w:hAnsi="Aptos"/>
                <w:b w:val="0"/>
                <w:color w:val="111827"/>
                <w:sz w:val="11"/>
              </w:rPr>
              <w:t>$1.20</w:t>
            </w:r>
          </w:p>
        </w:tc>
        <w:tc>
          <w:tcPr>
            <w:tcW w:type="dxa" w:w="576"/>
            <w:vAlign w:val="center"/>
            <w:shd w:fill="F5F7FA"/>
          </w:tcPr>
          <w:p>
            <w:pPr>
              <w:spacing w:after="0" w:before="0" w:line="240" w:lineRule="auto"/>
            </w:pPr>
            <w:r/>
            <w:r>
              <w:rPr>
                <w:rFonts w:ascii="Aptos" w:hAnsi="Aptos"/>
                <w:b w:val="0"/>
                <w:color w:val="111827"/>
                <w:sz w:val="11"/>
              </w:rPr>
              <w:t>$0.50</w:t>
            </w:r>
          </w:p>
        </w:tc>
        <w:tc>
          <w:tcPr>
            <w:tcW w:type="dxa" w:w="648"/>
            <w:vAlign w:val="center"/>
            <w:shd w:fill="F5F7FA"/>
          </w:tcPr>
          <w:p>
            <w:pPr>
              <w:spacing w:after="0" w:before="0" w:line="240" w:lineRule="auto"/>
            </w:pPr>
            <w:r/>
            <w:r>
              <w:rPr>
                <w:rFonts w:ascii="Aptos" w:hAnsi="Aptos"/>
                <w:b w:val="0"/>
                <w:color w:val="111827"/>
                <w:sz w:val="11"/>
              </w:rPr>
              <w:t>$2.79</w:t>
            </w:r>
          </w:p>
        </w:tc>
        <w:tc>
          <w:tcPr>
            <w:tcW w:type="dxa" w:w="648"/>
            <w:vAlign w:val="center"/>
            <w:shd w:fill="F5F7FA"/>
          </w:tcPr>
          <w:p>
            <w:pPr>
              <w:spacing w:after="0" w:before="0" w:line="240" w:lineRule="auto"/>
            </w:pPr>
            <w:r/>
            <w:r>
              <w:rPr>
                <w:rFonts w:ascii="Aptos" w:hAnsi="Aptos"/>
                <w:b w:val="0"/>
                <w:color w:val="111827"/>
                <w:sz w:val="11"/>
              </w:rPr>
              <w:t>$10.00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10</w:t>
            </w:r>
          </w:p>
        </w:tc>
        <w:tc>
          <w:tcPr>
            <w:tcW w:type="dxa" w:w="792"/>
            <w:vAlign w:val="center"/>
            <w:shd w:fill="F5F7FA"/>
          </w:tcPr>
          <w:p>
            <w:pPr>
              <w:spacing w:after="0" w:before="0" w:line="240" w:lineRule="auto"/>
            </w:pPr>
            <w:r/>
            <w:r>
              <w:rPr>
                <w:rFonts w:ascii="Aptos" w:hAnsi="Aptos"/>
                <w:b w:val="0"/>
                <w:color w:val="111827"/>
                <w:sz w:val="11"/>
              </w:rPr>
              <w:t>$84.91</w:t>
            </w:r>
          </w:p>
        </w:tc>
        <w:tc>
          <w:tcPr>
            <w:tcW w:type="dxa" w:w="792"/>
            <w:vAlign w:val="center"/>
            <w:shd w:fill="F5F7FA"/>
          </w:tcPr>
          <w:p>
            <w:pPr>
              <w:spacing w:after="0" w:before="0" w:line="240" w:lineRule="auto"/>
            </w:pPr>
            <w:r/>
            <w:r>
              <w:rPr>
                <w:rFonts w:ascii="Aptos" w:hAnsi="Aptos"/>
                <w:b w:val="0"/>
                <w:color w:val="111827"/>
                <w:sz w:val="11"/>
              </w:rPr>
              <w:t>$10.19</w:t>
            </w:r>
          </w:p>
        </w:tc>
      </w:tr>
      <w:tr>
        <w:tc>
          <w:tcPr>
            <w:tcW w:type="dxa" w:w="2088"/>
            <w:vAlign w:val="center"/>
          </w:tcPr>
          <w:p>
            <w:pPr>
              <w:spacing w:after="0" w:before="0" w:line="240" w:lineRule="auto"/>
            </w:pPr>
            <w:r/>
            <w:r>
              <w:rPr>
                <w:rFonts w:ascii="Aptos" w:hAnsi="Aptos"/>
                <w:b/>
                <w:color w:val="111827"/>
                <w:sz w:val="11"/>
              </w:rPr>
              <w:t>Small appliance ($100)</w:t>
            </w:r>
          </w:p>
        </w:tc>
        <w:tc>
          <w:tcPr>
            <w:tcW w:type="dxa" w:w="1584"/>
            <w:vAlign w:val="center"/>
          </w:tcPr>
          <w:p>
            <w:pPr>
              <w:spacing w:after="0" w:before="0" w:line="240" w:lineRule="auto"/>
            </w:pPr>
            <w:r/>
            <w:r>
              <w:rPr>
                <w:rFonts w:ascii="Aptos" w:hAnsi="Aptos"/>
                <w:b w:val="0"/>
                <w:color w:val="111827"/>
                <w:sz w:val="11"/>
              </w:rPr>
              <w:t>Opened but unused</w:t>
            </w:r>
          </w:p>
        </w:tc>
        <w:tc>
          <w:tcPr>
            <w:tcW w:type="dxa" w:w="576"/>
            <w:vAlign w:val="center"/>
          </w:tcPr>
          <w:p>
            <w:pPr>
              <w:spacing w:after="0" w:before="0" w:line="240" w:lineRule="auto"/>
            </w:pPr>
            <w:r/>
            <w:r>
              <w:rPr>
                <w:rFonts w:ascii="Aptos" w:hAnsi="Aptos"/>
                <w:b w:val="0"/>
                <w:color w:val="111827"/>
                <w:sz w:val="11"/>
              </w:rPr>
              <w:t>20.0%</w:t>
            </w:r>
          </w:p>
        </w:tc>
        <w:tc>
          <w:tcPr>
            <w:tcW w:type="dxa" w:w="1512"/>
            <w:vAlign w:val="center"/>
          </w:tcPr>
          <w:p>
            <w:pPr>
              <w:spacing w:after="0" w:before="0" w:line="240" w:lineRule="auto"/>
            </w:pPr>
            <w:r/>
            <w:r>
              <w:rPr>
                <w:rFonts w:ascii="Aptos" w:hAnsi="Aptos"/>
                <w:b w:val="0"/>
                <w:color w:val="111827"/>
                <w:sz w:val="11"/>
              </w:rPr>
              <w:t>Open-box resale</w:t>
            </w:r>
          </w:p>
        </w:tc>
        <w:tc>
          <w:tcPr>
            <w:tcW w:type="dxa" w:w="864"/>
            <w:vAlign w:val="center"/>
          </w:tcPr>
          <w:p>
            <w:pPr>
              <w:spacing w:after="0" w:before="0" w:line="240" w:lineRule="auto"/>
            </w:pPr>
            <w:r/>
            <w:r>
              <w:rPr>
                <w:rFonts w:ascii="Aptos" w:hAnsi="Aptos"/>
                <w:b w:val="0"/>
                <w:color w:val="111827"/>
                <w:sz w:val="11"/>
              </w:rPr>
              <w:t>$64.46</w:t>
            </w:r>
          </w:p>
        </w:tc>
        <w:tc>
          <w:tcPr>
            <w:tcW w:type="dxa" w:w="648"/>
            <w:vAlign w:val="center"/>
          </w:tcPr>
          <w:p>
            <w:pPr>
              <w:spacing w:after="0" w:before="0" w:line="240" w:lineRule="auto"/>
            </w:pPr>
            <w:r/>
            <w:r>
              <w:rPr>
                <w:rFonts w:ascii="Aptos" w:hAnsi="Aptos"/>
                <w:b w:val="0"/>
                <w:color w:val="111827"/>
                <w:sz w:val="11"/>
              </w:rPr>
              <w:t>$7.00</w:t>
            </w:r>
          </w:p>
        </w:tc>
        <w:tc>
          <w:tcPr>
            <w:tcW w:type="dxa" w:w="576"/>
            <w:vAlign w:val="center"/>
          </w:tcPr>
          <w:p>
            <w:pPr>
              <w:spacing w:after="0" w:before="0" w:line="240" w:lineRule="auto"/>
            </w:pPr>
            <w:r/>
            <w:r>
              <w:rPr>
                <w:rFonts w:ascii="Aptos" w:hAnsi="Aptos"/>
                <w:b w:val="0"/>
                <w:color w:val="111827"/>
                <w:sz w:val="11"/>
              </w:rPr>
              <w:t>$1.25</w:t>
            </w:r>
          </w:p>
        </w:tc>
        <w:tc>
          <w:tcPr>
            <w:tcW w:type="dxa" w:w="648"/>
            <w:vAlign w:val="center"/>
          </w:tcPr>
          <w:p>
            <w:pPr>
              <w:spacing w:after="0" w:before="0" w:line="240" w:lineRule="auto"/>
            </w:pPr>
            <w:r/>
            <w:r>
              <w:rPr>
                <w:rFonts w:ascii="Aptos" w:hAnsi="Aptos"/>
                <w:b w:val="0"/>
                <w:color w:val="111827"/>
                <w:sz w:val="11"/>
              </w:rPr>
              <w:t>$7.73</w:t>
            </w:r>
          </w:p>
        </w:tc>
        <w:tc>
          <w:tcPr>
            <w:tcW w:type="dxa" w:w="648"/>
            <w:vAlign w:val="center"/>
          </w:tcPr>
          <w:p>
            <w:pPr>
              <w:spacing w:after="0" w:before="0" w:line="240" w:lineRule="auto"/>
            </w:pPr>
            <w:r/>
            <w:r>
              <w:rPr>
                <w:rFonts w:ascii="Aptos" w:hAnsi="Aptos"/>
                <w:b w:val="0"/>
                <w:color w:val="111827"/>
                <w:sz w:val="11"/>
              </w:rPr>
              <w:t>$11.00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25</w:t>
            </w:r>
          </w:p>
        </w:tc>
        <w:tc>
          <w:tcPr>
            <w:tcW w:type="dxa" w:w="792"/>
            <w:vAlign w:val="center"/>
          </w:tcPr>
          <w:p>
            <w:pPr>
              <w:spacing w:after="0" w:before="0" w:line="240" w:lineRule="auto"/>
            </w:pPr>
            <w:r/>
            <w:r>
              <w:rPr>
                <w:rFonts w:ascii="Aptos" w:hAnsi="Aptos"/>
                <w:b w:val="0"/>
                <w:color w:val="111827"/>
                <w:sz w:val="11"/>
              </w:rPr>
              <w:t>$37.18</w:t>
            </w:r>
          </w:p>
        </w:tc>
        <w:tc>
          <w:tcPr>
            <w:tcW w:type="dxa" w:w="792"/>
            <w:vAlign w:val="center"/>
          </w:tcPr>
          <w:p>
            <w:pPr>
              <w:spacing w:after="0" w:before="0" w:line="240" w:lineRule="auto"/>
            </w:pPr>
            <w:r/>
            <w:r>
              <w:rPr>
                <w:rFonts w:ascii="Aptos" w:hAnsi="Aptos"/>
                <w:b w:val="0"/>
                <w:color w:val="111827"/>
                <w:sz w:val="11"/>
              </w:rPr>
              <w:t>$7.44</w:t>
            </w:r>
          </w:p>
        </w:tc>
      </w:tr>
      <w:tr>
        <w:tc>
          <w:tcPr>
            <w:tcW w:type="dxa" w:w="2088"/>
            <w:vAlign w:val="center"/>
            <w:shd w:fill="F5F7FA"/>
          </w:tcPr>
          <w:p>
            <w:pPr>
              <w:spacing w:after="0" w:before="0" w:line="240" w:lineRule="auto"/>
            </w:pPr>
            <w:r/>
            <w:r>
              <w:rPr>
                <w:rFonts w:ascii="Aptos" w:hAnsi="Aptos"/>
                <w:b/>
                <w:color w:val="111827"/>
                <w:sz w:val="11"/>
              </w:rPr>
              <w:t>Small appliance ($100)</w:t>
            </w:r>
          </w:p>
        </w:tc>
        <w:tc>
          <w:tcPr>
            <w:tcW w:type="dxa" w:w="1584"/>
            <w:vAlign w:val="center"/>
            <w:shd w:fill="F5F7FA"/>
          </w:tcPr>
          <w:p>
            <w:pPr>
              <w:spacing w:after="0" w:before="0" w:line="240" w:lineRule="auto"/>
            </w:pPr>
            <w:r/>
            <w:r>
              <w:rPr>
                <w:rFonts w:ascii="Aptos" w:hAnsi="Aptos"/>
                <w:b w:val="0"/>
                <w:color w:val="111827"/>
                <w:sz w:val="11"/>
              </w:rPr>
              <w:t>Lightly used</w:t>
            </w:r>
          </w:p>
        </w:tc>
        <w:tc>
          <w:tcPr>
            <w:tcW w:type="dxa" w:w="576"/>
            <w:vAlign w:val="center"/>
            <w:shd w:fill="F5F7FA"/>
          </w:tcPr>
          <w:p>
            <w:pPr>
              <w:spacing w:after="0" w:before="0" w:line="240" w:lineRule="auto"/>
            </w:pPr>
            <w:r/>
            <w:r>
              <w:rPr>
                <w:rFonts w:ascii="Aptos" w:hAnsi="Aptos"/>
                <w:b w:val="0"/>
                <w:color w:val="111827"/>
                <w:sz w:val="11"/>
              </w:rPr>
              <w:t>25.0%</w:t>
            </w:r>
          </w:p>
        </w:tc>
        <w:tc>
          <w:tcPr>
            <w:tcW w:type="dxa" w:w="1512"/>
            <w:vAlign w:val="center"/>
            <w:shd w:fill="F5F7FA"/>
          </w:tcPr>
          <w:p>
            <w:pPr>
              <w:spacing w:after="0" w:before="0" w:line="240" w:lineRule="auto"/>
            </w:pPr>
            <w:r/>
            <w:r>
              <w:rPr>
                <w:rFonts w:ascii="Aptos" w:hAnsi="Aptos"/>
                <w:b w:val="0"/>
                <w:color w:val="111827"/>
                <w:sz w:val="11"/>
              </w:rPr>
              <w:t>Open-box resale</w:t>
            </w:r>
          </w:p>
        </w:tc>
        <w:tc>
          <w:tcPr>
            <w:tcW w:type="dxa" w:w="864"/>
            <w:vAlign w:val="center"/>
            <w:shd w:fill="F5F7FA"/>
          </w:tcPr>
          <w:p>
            <w:pPr>
              <w:spacing w:after="0" w:before="0" w:line="240" w:lineRule="auto"/>
            </w:pPr>
            <w:r/>
            <w:r>
              <w:rPr>
                <w:rFonts w:ascii="Aptos" w:hAnsi="Aptos"/>
                <w:b w:val="0"/>
                <w:color w:val="111827"/>
                <w:sz w:val="11"/>
              </w:rPr>
              <w:t>$50.28</w:t>
            </w:r>
          </w:p>
        </w:tc>
        <w:tc>
          <w:tcPr>
            <w:tcW w:type="dxa" w:w="648"/>
            <w:vAlign w:val="center"/>
            <w:shd w:fill="F5F7FA"/>
          </w:tcPr>
          <w:p>
            <w:pPr>
              <w:spacing w:after="0" w:before="0" w:line="240" w:lineRule="auto"/>
            </w:pPr>
            <w:r/>
            <w:r>
              <w:rPr>
                <w:rFonts w:ascii="Aptos" w:hAnsi="Aptos"/>
                <w:b w:val="0"/>
                <w:color w:val="111827"/>
                <w:sz w:val="11"/>
              </w:rPr>
              <w:t>$10.00</w:t>
            </w:r>
          </w:p>
        </w:tc>
        <w:tc>
          <w:tcPr>
            <w:tcW w:type="dxa" w:w="576"/>
            <w:vAlign w:val="center"/>
            <w:shd w:fill="F5F7FA"/>
          </w:tcPr>
          <w:p>
            <w:pPr>
              <w:spacing w:after="0" w:before="0" w:line="240" w:lineRule="auto"/>
            </w:pPr>
            <w:r/>
            <w:r>
              <w:rPr>
                <w:rFonts w:ascii="Aptos" w:hAnsi="Aptos"/>
                <w:b w:val="0"/>
                <w:color w:val="111827"/>
                <w:sz w:val="11"/>
              </w:rPr>
              <w:t>$1.25</w:t>
            </w:r>
          </w:p>
        </w:tc>
        <w:tc>
          <w:tcPr>
            <w:tcW w:type="dxa" w:w="648"/>
            <w:vAlign w:val="center"/>
            <w:shd w:fill="F5F7FA"/>
          </w:tcPr>
          <w:p>
            <w:pPr>
              <w:spacing w:after="0" w:before="0" w:line="240" w:lineRule="auto"/>
            </w:pPr>
            <w:r/>
            <w:r>
              <w:rPr>
                <w:rFonts w:ascii="Aptos" w:hAnsi="Aptos"/>
                <w:b w:val="0"/>
                <w:color w:val="111827"/>
                <w:sz w:val="11"/>
              </w:rPr>
              <w:t>$6.03</w:t>
            </w:r>
          </w:p>
        </w:tc>
        <w:tc>
          <w:tcPr>
            <w:tcW w:type="dxa" w:w="648"/>
            <w:vAlign w:val="center"/>
            <w:shd w:fill="F5F7FA"/>
          </w:tcPr>
          <w:p>
            <w:pPr>
              <w:spacing w:after="0" w:before="0" w:line="240" w:lineRule="auto"/>
            </w:pPr>
            <w:r/>
            <w:r>
              <w:rPr>
                <w:rFonts w:ascii="Aptos" w:hAnsi="Aptos"/>
                <w:b w:val="0"/>
                <w:color w:val="111827"/>
                <w:sz w:val="11"/>
              </w:rPr>
              <w:t>$11.00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25</w:t>
            </w:r>
          </w:p>
        </w:tc>
        <w:tc>
          <w:tcPr>
            <w:tcW w:type="dxa" w:w="792"/>
            <w:vAlign w:val="center"/>
            <w:shd w:fill="F5F7FA"/>
          </w:tcPr>
          <w:p>
            <w:pPr>
              <w:spacing w:after="0" w:before="0" w:line="240" w:lineRule="auto"/>
            </w:pPr>
            <w:r/>
            <w:r>
              <w:rPr>
                <w:rFonts w:ascii="Aptos" w:hAnsi="Aptos"/>
                <w:b w:val="0"/>
                <w:color w:val="111827"/>
                <w:sz w:val="11"/>
              </w:rPr>
              <w:t>$21.82</w:t>
            </w:r>
          </w:p>
        </w:tc>
        <w:tc>
          <w:tcPr>
            <w:tcW w:type="dxa" w:w="792"/>
            <w:vAlign w:val="center"/>
            <w:shd w:fill="F5F7FA"/>
          </w:tcPr>
          <w:p>
            <w:pPr>
              <w:spacing w:after="0" w:before="0" w:line="240" w:lineRule="auto"/>
            </w:pPr>
            <w:r/>
            <w:r>
              <w:rPr>
                <w:rFonts w:ascii="Aptos" w:hAnsi="Aptos"/>
                <w:b w:val="0"/>
                <w:color w:val="111827"/>
                <w:sz w:val="11"/>
              </w:rPr>
              <w:t>$5.46</w:t>
            </w:r>
          </w:p>
        </w:tc>
      </w:tr>
      <w:tr>
        <w:tc>
          <w:tcPr>
            <w:tcW w:type="dxa" w:w="2088"/>
            <w:vAlign w:val="center"/>
          </w:tcPr>
          <w:p>
            <w:pPr>
              <w:spacing w:after="0" w:before="0" w:line="240" w:lineRule="auto"/>
            </w:pPr>
            <w:r/>
            <w:r>
              <w:rPr>
                <w:rFonts w:ascii="Aptos" w:hAnsi="Aptos"/>
                <w:b/>
                <w:color w:val="111827"/>
                <w:sz w:val="11"/>
              </w:rPr>
              <w:t>Small appliance ($100)</w:t>
            </w:r>
          </w:p>
        </w:tc>
        <w:tc>
          <w:tcPr>
            <w:tcW w:type="dxa" w:w="1584"/>
            <w:vAlign w:val="center"/>
          </w:tcPr>
          <w:p>
            <w:pPr>
              <w:spacing w:after="0" w:before="0" w:line="240" w:lineRule="auto"/>
            </w:pPr>
            <w:r/>
            <w:r>
              <w:rPr>
                <w:rFonts w:ascii="Aptos" w:hAnsi="Aptos"/>
                <w:b w:val="0"/>
                <w:color w:val="111827"/>
                <w:sz w:val="11"/>
              </w:rPr>
              <w:t>Damaged but repairable</w:t>
            </w:r>
          </w:p>
        </w:tc>
        <w:tc>
          <w:tcPr>
            <w:tcW w:type="dxa" w:w="576"/>
            <w:vAlign w:val="center"/>
          </w:tcPr>
          <w:p>
            <w:pPr>
              <w:spacing w:after="0" w:before="0" w:line="240" w:lineRule="auto"/>
            </w:pPr>
            <w:r/>
            <w:r>
              <w:rPr>
                <w:rFonts w:ascii="Aptos" w:hAnsi="Aptos"/>
                <w:b w:val="0"/>
                <w:color w:val="111827"/>
                <w:sz w:val="11"/>
              </w:rPr>
              <w:t>15.0%</w:t>
            </w:r>
          </w:p>
        </w:tc>
        <w:tc>
          <w:tcPr>
            <w:tcW w:type="dxa" w:w="1512"/>
            <w:vAlign w:val="center"/>
          </w:tcPr>
          <w:p>
            <w:pPr>
              <w:spacing w:after="0" w:before="0" w:line="240" w:lineRule="auto"/>
            </w:pPr>
            <w:r/>
            <w:r>
              <w:rPr>
                <w:rFonts w:ascii="Aptos" w:hAnsi="Aptos"/>
                <w:b w:val="0"/>
                <w:color w:val="111827"/>
                <w:sz w:val="11"/>
              </w:rPr>
              <w:t>Liquidation</w:t>
            </w:r>
          </w:p>
        </w:tc>
        <w:tc>
          <w:tcPr>
            <w:tcW w:type="dxa" w:w="864"/>
            <w:vAlign w:val="center"/>
          </w:tcPr>
          <w:p>
            <w:pPr>
              <w:spacing w:after="0" w:before="0" w:line="240" w:lineRule="auto"/>
            </w:pPr>
            <w:r/>
            <w:r>
              <w:rPr>
                <w:rFonts w:ascii="Aptos" w:hAnsi="Aptos"/>
                <w:b w:val="0"/>
                <w:color w:val="111827"/>
                <w:sz w:val="11"/>
              </w:rPr>
              <w:t>$7.38</w:t>
            </w:r>
          </w:p>
        </w:tc>
        <w:tc>
          <w:tcPr>
            <w:tcW w:type="dxa" w:w="648"/>
            <w:vAlign w:val="center"/>
          </w:tcPr>
          <w:p>
            <w:pPr>
              <w:spacing w:after="0" w:before="0" w:line="240" w:lineRule="auto"/>
            </w:pPr>
            <w:r/>
            <w:r>
              <w:rPr>
                <w:rFonts w:ascii="Aptos" w:hAnsi="Aptos"/>
                <w:b w:val="0"/>
                <w:color w:val="111827"/>
                <w:sz w:val="11"/>
              </w:rPr>
              <w:t>$1.80</w:t>
            </w:r>
          </w:p>
        </w:tc>
        <w:tc>
          <w:tcPr>
            <w:tcW w:type="dxa" w:w="576"/>
            <w:vAlign w:val="center"/>
          </w:tcPr>
          <w:p>
            <w:pPr>
              <w:spacing w:after="0" w:before="0" w:line="240" w:lineRule="auto"/>
            </w:pPr>
            <w:r/>
            <w:r>
              <w:rPr>
                <w:rFonts w:ascii="Aptos" w:hAnsi="Aptos"/>
                <w:b w:val="0"/>
                <w:color w:val="111827"/>
                <w:sz w:val="11"/>
              </w:rPr>
              <w:t>$2.50</w:t>
            </w:r>
          </w:p>
        </w:tc>
        <w:tc>
          <w:tcPr>
            <w:tcW w:type="dxa" w:w="648"/>
            <w:vAlign w:val="center"/>
          </w:tcPr>
          <w:p>
            <w:pPr>
              <w:spacing w:after="0" w:before="0" w:line="240" w:lineRule="auto"/>
            </w:pPr>
            <w:r/>
            <w:r>
              <w:rPr>
                <w:rFonts w:ascii="Aptos" w:hAnsi="Aptos"/>
                <w:b w:val="0"/>
                <w:color w:val="111827"/>
                <w:sz w:val="11"/>
              </w:rPr>
              <w:t>$1.11</w:t>
            </w:r>
          </w:p>
        </w:tc>
        <w:tc>
          <w:tcPr>
            <w:tcW w:type="dxa" w:w="648"/>
            <w:vAlign w:val="center"/>
          </w:tcPr>
          <w:p>
            <w:pPr>
              <w:spacing w:after="0" w:before="0" w:line="240" w:lineRule="auto"/>
            </w:pPr>
            <w:r/>
            <w:r>
              <w:rPr>
                <w:rFonts w:ascii="Aptos" w:hAnsi="Aptos"/>
                <w:b w:val="0"/>
                <w:color w:val="111827"/>
                <w:sz w:val="11"/>
              </w:rPr>
              <w:t>$2.50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50</w:t>
            </w:r>
          </w:p>
        </w:tc>
        <w:tc>
          <w:tcPr>
            <w:tcW w:type="dxa" w:w="792"/>
            <w:vAlign w:val="center"/>
          </w:tcPr>
          <w:p>
            <w:pPr>
              <w:spacing w:after="0" w:before="0" w:line="240" w:lineRule="auto"/>
            </w:pPr>
            <w:r/>
            <w:r>
              <w:rPr>
                <w:rFonts w:ascii="Aptos" w:hAnsi="Aptos"/>
                <w:b w:val="0"/>
                <w:color w:val="111827"/>
                <w:sz w:val="11"/>
              </w:rPr>
              <w:t>$-0.52</w:t>
            </w:r>
          </w:p>
        </w:tc>
        <w:tc>
          <w:tcPr>
            <w:tcW w:type="dxa" w:w="792"/>
            <w:vAlign w:val="center"/>
          </w:tcPr>
          <w:p>
            <w:pPr>
              <w:spacing w:after="0" w:before="0" w:line="240" w:lineRule="auto"/>
            </w:pPr>
            <w:r/>
            <w:r>
              <w:rPr>
                <w:rFonts w:ascii="Aptos" w:hAnsi="Aptos"/>
                <w:b w:val="0"/>
                <w:color w:val="111827"/>
                <w:sz w:val="11"/>
              </w:rPr>
              <w:t>$-0.08</w:t>
            </w:r>
          </w:p>
        </w:tc>
      </w:tr>
      <w:tr>
        <w:tc>
          <w:tcPr>
            <w:tcW w:type="dxa" w:w="2088"/>
            <w:vAlign w:val="center"/>
            <w:shd w:fill="F5F7FA"/>
          </w:tcPr>
          <w:p>
            <w:pPr>
              <w:spacing w:after="0" w:before="0" w:line="240" w:lineRule="auto"/>
            </w:pPr>
            <w:r/>
            <w:r>
              <w:rPr>
                <w:rFonts w:ascii="Aptos" w:hAnsi="Aptos"/>
                <w:b/>
                <w:color w:val="111827"/>
                <w:sz w:val="11"/>
              </w:rPr>
              <w:t>Small appliance ($100)</w:t>
            </w:r>
          </w:p>
        </w:tc>
        <w:tc>
          <w:tcPr>
            <w:tcW w:type="dxa" w:w="1584"/>
            <w:vAlign w:val="center"/>
            <w:shd w:fill="F5F7FA"/>
          </w:tcPr>
          <w:p>
            <w:pPr>
              <w:spacing w:after="0" w:before="0" w:line="240" w:lineRule="auto"/>
            </w:pPr>
            <w:r/>
            <w:r>
              <w:rPr>
                <w:rFonts w:ascii="Aptos" w:hAnsi="Aptos"/>
                <w:b w:val="0"/>
                <w:color w:val="111827"/>
                <w:sz w:val="11"/>
              </w:rPr>
              <w:t>Incomplete</w:t>
            </w:r>
          </w:p>
        </w:tc>
        <w:tc>
          <w:tcPr>
            <w:tcW w:type="dxa" w:w="576"/>
            <w:vAlign w:val="center"/>
            <w:shd w:fill="F5F7FA"/>
          </w:tcPr>
          <w:p>
            <w:pPr>
              <w:spacing w:after="0" w:before="0" w:line="240" w:lineRule="auto"/>
            </w:pPr>
            <w:r/>
            <w:r>
              <w:rPr>
                <w:rFonts w:ascii="Aptos" w:hAnsi="Aptos"/>
                <w:b w:val="0"/>
                <w:color w:val="111827"/>
                <w:sz w:val="11"/>
              </w:rPr>
              <w:t>10.0%</w:t>
            </w:r>
          </w:p>
        </w:tc>
        <w:tc>
          <w:tcPr>
            <w:tcW w:type="dxa" w:w="1512"/>
            <w:vAlign w:val="center"/>
            <w:shd w:fill="F5F7FA"/>
          </w:tcPr>
          <w:p>
            <w:pPr>
              <w:spacing w:after="0" w:before="0" w:line="240" w:lineRule="auto"/>
            </w:pPr>
            <w:r/>
            <w:r>
              <w:rPr>
                <w:rFonts w:ascii="Aptos" w:hAnsi="Aptos"/>
                <w:b w:val="0"/>
                <w:color w:val="111827"/>
                <w:sz w:val="11"/>
              </w:rPr>
              <w:t>Outlet/off-price</w:t>
            </w:r>
          </w:p>
        </w:tc>
        <w:tc>
          <w:tcPr>
            <w:tcW w:type="dxa" w:w="864"/>
            <w:vAlign w:val="center"/>
            <w:shd w:fill="F5F7FA"/>
          </w:tcPr>
          <w:p>
            <w:pPr>
              <w:spacing w:after="0" w:before="0" w:line="240" w:lineRule="auto"/>
            </w:pPr>
            <w:r/>
            <w:r>
              <w:rPr>
                <w:rFonts w:ascii="Aptos" w:hAnsi="Aptos"/>
                <w:b w:val="0"/>
                <w:color w:val="111827"/>
                <w:sz w:val="11"/>
              </w:rPr>
              <w:t>$13.34</w:t>
            </w:r>
          </w:p>
        </w:tc>
        <w:tc>
          <w:tcPr>
            <w:tcW w:type="dxa" w:w="648"/>
            <w:vAlign w:val="center"/>
            <w:shd w:fill="F5F7FA"/>
          </w:tcPr>
          <w:p>
            <w:pPr>
              <w:spacing w:after="0" w:before="0" w:line="240" w:lineRule="auto"/>
            </w:pPr>
            <w:r/>
            <w:r>
              <w:rPr>
                <w:rFonts w:ascii="Aptos" w:hAnsi="Aptos"/>
                <w:b w:val="0"/>
                <w:color w:val="111827"/>
                <w:sz w:val="11"/>
              </w:rPr>
              <w:t>$9.00</w:t>
            </w:r>
          </w:p>
        </w:tc>
        <w:tc>
          <w:tcPr>
            <w:tcW w:type="dxa" w:w="576"/>
            <w:vAlign w:val="center"/>
            <w:shd w:fill="F5F7FA"/>
          </w:tcPr>
          <w:p>
            <w:pPr>
              <w:spacing w:after="0" w:before="0" w:line="240" w:lineRule="auto"/>
            </w:pPr>
            <w:r/>
            <w:r>
              <w:rPr>
                <w:rFonts w:ascii="Aptos" w:hAnsi="Aptos"/>
                <w:b w:val="0"/>
                <w:color w:val="111827"/>
                <w:sz w:val="11"/>
              </w:rPr>
              <w:t>$1.75</w:t>
            </w:r>
          </w:p>
        </w:tc>
        <w:tc>
          <w:tcPr>
            <w:tcW w:type="dxa" w:w="648"/>
            <w:vAlign w:val="center"/>
            <w:shd w:fill="F5F7FA"/>
          </w:tcPr>
          <w:p>
            <w:pPr>
              <w:spacing w:after="0" w:before="0" w:line="240" w:lineRule="auto"/>
            </w:pPr>
            <w:r/>
            <w:r>
              <w:rPr>
                <w:rFonts w:ascii="Aptos" w:hAnsi="Aptos"/>
                <w:b w:val="0"/>
                <w:color w:val="111827"/>
                <w:sz w:val="11"/>
              </w:rPr>
              <w:t>$0.67</w:t>
            </w:r>
          </w:p>
        </w:tc>
        <w:tc>
          <w:tcPr>
            <w:tcW w:type="dxa" w:w="648"/>
            <w:vAlign w:val="center"/>
            <w:shd w:fill="F5F7FA"/>
          </w:tcPr>
          <w:p>
            <w:pPr>
              <w:spacing w:after="0" w:before="0" w:line="240" w:lineRule="auto"/>
            </w:pPr>
            <w:r/>
            <w:r>
              <w:rPr>
                <w:rFonts w:ascii="Aptos" w:hAnsi="Aptos"/>
                <w:b w:val="0"/>
                <w:color w:val="111827"/>
                <w:sz w:val="11"/>
              </w:rPr>
              <w:t>$3.75</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35</w:t>
            </w:r>
          </w:p>
        </w:tc>
        <w:tc>
          <w:tcPr>
            <w:tcW w:type="dxa" w:w="792"/>
            <w:vAlign w:val="center"/>
            <w:shd w:fill="F5F7FA"/>
          </w:tcPr>
          <w:p>
            <w:pPr>
              <w:spacing w:after="0" w:before="0" w:line="240" w:lineRule="auto"/>
            </w:pPr>
            <w:r/>
            <w:r>
              <w:rPr>
                <w:rFonts w:ascii="Aptos" w:hAnsi="Aptos"/>
                <w:b w:val="0"/>
                <w:color w:val="111827"/>
                <w:sz w:val="11"/>
              </w:rPr>
              <w:t>$-1.80</w:t>
            </w:r>
          </w:p>
        </w:tc>
        <w:tc>
          <w:tcPr>
            <w:tcW w:type="dxa" w:w="792"/>
            <w:vAlign w:val="center"/>
            <w:shd w:fill="F5F7FA"/>
          </w:tcPr>
          <w:p>
            <w:pPr>
              <w:spacing w:after="0" w:before="0" w:line="240" w:lineRule="auto"/>
            </w:pPr>
            <w:r/>
            <w:r>
              <w:rPr>
                <w:rFonts w:ascii="Aptos" w:hAnsi="Aptos"/>
                <w:b w:val="0"/>
                <w:color w:val="111827"/>
                <w:sz w:val="11"/>
              </w:rPr>
              <w:t>$-0.18</w:t>
            </w:r>
          </w:p>
        </w:tc>
      </w:tr>
      <w:tr>
        <w:tc>
          <w:tcPr>
            <w:tcW w:type="dxa" w:w="2088"/>
            <w:vAlign w:val="center"/>
          </w:tcPr>
          <w:p>
            <w:pPr>
              <w:spacing w:after="0" w:before="0" w:line="240" w:lineRule="auto"/>
            </w:pPr>
            <w:r/>
            <w:r>
              <w:rPr>
                <w:rFonts w:ascii="Aptos" w:hAnsi="Aptos"/>
                <w:b/>
                <w:color w:val="111827"/>
                <w:sz w:val="11"/>
              </w:rPr>
              <w:t>Small appliance ($100)</w:t>
            </w:r>
          </w:p>
        </w:tc>
        <w:tc>
          <w:tcPr>
            <w:tcW w:type="dxa" w:w="1584"/>
            <w:vAlign w:val="center"/>
          </w:tcPr>
          <w:p>
            <w:pPr>
              <w:spacing w:after="0" w:before="0" w:line="240" w:lineRule="auto"/>
            </w:pPr>
            <w:r/>
            <w:r>
              <w:rPr>
                <w:rFonts w:ascii="Aptos" w:hAnsi="Aptos"/>
                <w:b w:val="0"/>
                <w:color w:val="111827"/>
                <w:sz w:val="11"/>
              </w:rPr>
              <w:t>Counterfeit or substituted</w:t>
            </w:r>
          </w:p>
        </w:tc>
        <w:tc>
          <w:tcPr>
            <w:tcW w:type="dxa" w:w="576"/>
            <w:vAlign w:val="center"/>
          </w:tcPr>
          <w:p>
            <w:pPr>
              <w:spacing w:after="0" w:before="0" w:line="240" w:lineRule="auto"/>
            </w:pPr>
            <w:r/>
            <w:r>
              <w:rPr>
                <w:rFonts w:ascii="Aptos" w:hAnsi="Aptos"/>
                <w:b w:val="0"/>
                <w:color w:val="111827"/>
                <w:sz w:val="11"/>
              </w:rPr>
              <w:t>3.0%</w:t>
            </w:r>
          </w:p>
        </w:tc>
        <w:tc>
          <w:tcPr>
            <w:tcW w:type="dxa" w:w="1512"/>
            <w:vAlign w:val="center"/>
          </w:tcPr>
          <w:p>
            <w:pPr>
              <w:spacing w:after="0" w:before="0" w:line="240" w:lineRule="auto"/>
            </w:pPr>
            <w:r/>
            <w:r>
              <w:rPr>
                <w:rFonts w:ascii="Aptos" w:hAnsi="Aptos"/>
                <w:b w:val="0"/>
                <w:color w:val="111827"/>
                <w:sz w:val="11"/>
              </w:rPr>
              <w:t>Fraudulent/missing</w:t>
            </w:r>
          </w:p>
        </w:tc>
        <w:tc>
          <w:tcPr>
            <w:tcW w:type="dxa" w:w="864"/>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$1.00</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20</w:t>
            </w:r>
          </w:p>
        </w:tc>
        <w:tc>
          <w:tcPr>
            <w:tcW w:type="dxa" w:w="792"/>
            <w:vAlign w:val="center"/>
          </w:tcPr>
          <w:p>
            <w:pPr>
              <w:spacing w:after="0" w:before="0" w:line="240" w:lineRule="auto"/>
            </w:pPr>
            <w:r/>
            <w:r>
              <w:rPr>
                <w:rFonts w:ascii="Aptos" w:hAnsi="Aptos"/>
                <w:b w:val="0"/>
                <w:color w:val="111827"/>
                <w:sz w:val="11"/>
              </w:rPr>
              <w:t>$-0.99</w:t>
            </w:r>
          </w:p>
        </w:tc>
        <w:tc>
          <w:tcPr>
            <w:tcW w:type="dxa" w:w="792"/>
            <w:vAlign w:val="center"/>
          </w:tcPr>
          <w:p>
            <w:pPr>
              <w:spacing w:after="0" w:before="0" w:line="240" w:lineRule="auto"/>
            </w:pPr>
            <w:r/>
            <w:r>
              <w:rPr>
                <w:rFonts w:ascii="Aptos" w:hAnsi="Aptos"/>
                <w:b w:val="0"/>
                <w:color w:val="111827"/>
                <w:sz w:val="11"/>
              </w:rPr>
              <w:t>$-0.03</w:t>
            </w:r>
          </w:p>
        </w:tc>
      </w:tr>
      <w:tr>
        <w:tc>
          <w:tcPr>
            <w:tcW w:type="dxa" w:w="2088"/>
            <w:vAlign w:val="center"/>
            <w:shd w:fill="F5F7FA"/>
          </w:tcPr>
          <w:p>
            <w:pPr>
              <w:spacing w:after="0" w:before="0" w:line="240" w:lineRule="auto"/>
            </w:pPr>
            <w:r/>
            <w:r>
              <w:rPr>
                <w:rFonts w:ascii="Aptos" w:hAnsi="Aptos"/>
                <w:b/>
                <w:color w:val="111827"/>
                <w:sz w:val="11"/>
              </w:rPr>
              <w:t>Small appliance ($100)</w:t>
            </w:r>
          </w:p>
        </w:tc>
        <w:tc>
          <w:tcPr>
            <w:tcW w:type="dxa" w:w="1584"/>
            <w:vAlign w:val="center"/>
            <w:shd w:fill="F5F7FA"/>
          </w:tcPr>
          <w:p>
            <w:pPr>
              <w:spacing w:after="0" w:before="0" w:line="240" w:lineRule="auto"/>
            </w:pPr>
            <w:r/>
            <w:r>
              <w:rPr>
                <w:rFonts w:ascii="Aptos" w:hAnsi="Aptos"/>
                <w:b w:val="0"/>
                <w:color w:val="111827"/>
                <w:sz w:val="11"/>
              </w:rPr>
              <w:t>Unsellable</w:t>
            </w:r>
          </w:p>
        </w:tc>
        <w:tc>
          <w:tcPr>
            <w:tcW w:type="dxa" w:w="576"/>
            <w:vAlign w:val="center"/>
            <w:shd w:fill="F5F7FA"/>
          </w:tcPr>
          <w:p>
            <w:pPr>
              <w:spacing w:after="0" w:before="0" w:line="240" w:lineRule="auto"/>
            </w:pPr>
            <w:r/>
            <w:r>
              <w:rPr>
                <w:rFonts w:ascii="Aptos" w:hAnsi="Aptos"/>
                <w:b w:val="0"/>
                <w:color w:val="111827"/>
                <w:sz w:val="11"/>
              </w:rPr>
              <w:t>15.0%</w:t>
            </w:r>
          </w:p>
        </w:tc>
        <w:tc>
          <w:tcPr>
            <w:tcW w:type="dxa" w:w="1512"/>
            <w:vAlign w:val="center"/>
            <w:shd w:fill="F5F7FA"/>
          </w:tcPr>
          <w:p>
            <w:pPr>
              <w:spacing w:after="0" w:before="0" w:line="240" w:lineRule="auto"/>
            </w:pPr>
            <w:r/>
            <w:r>
              <w:rPr>
                <w:rFonts w:ascii="Aptos" w:hAnsi="Aptos"/>
                <w:b w:val="0"/>
                <w:color w:val="111827"/>
                <w:sz w:val="11"/>
              </w:rPr>
              <w:t>Recycling/scrap</w:t>
            </w:r>
          </w:p>
        </w:tc>
        <w:tc>
          <w:tcPr>
            <w:tcW w:type="dxa" w:w="864"/>
            <w:vAlign w:val="center"/>
            <w:shd w:fill="F5F7FA"/>
          </w:tcPr>
          <w:p>
            <w:pPr>
              <w:spacing w:after="0" w:before="0" w:line="240" w:lineRule="auto"/>
            </w:pPr>
            <w:r/>
            <w:r>
              <w:rPr>
                <w:rFonts w:ascii="Aptos" w:hAnsi="Aptos"/>
                <w:b w:val="0"/>
                <w:color w:val="111827"/>
                <w:sz w:val="11"/>
              </w:rPr>
              <w:t>$3.95</w:t>
            </w:r>
          </w:p>
        </w:tc>
        <w:tc>
          <w:tcPr>
            <w:tcW w:type="dxa" w:w="648"/>
            <w:vAlign w:val="center"/>
            <w:shd w:fill="F5F7FA"/>
          </w:tcPr>
          <w:p>
            <w:pPr>
              <w:spacing w:after="0" w:before="0" w:line="240" w:lineRule="auto"/>
            </w:pPr>
            <w:r/>
            <w:r>
              <w:rPr>
                <w:rFonts w:ascii="Aptos" w:hAnsi="Aptos"/>
                <w:b w:val="0"/>
                <w:color w:val="111827"/>
                <w:sz w:val="11"/>
              </w:rPr>
              <w:t>$1.00</w:t>
            </w:r>
          </w:p>
        </w:tc>
        <w:tc>
          <w:tcPr>
            <w:tcW w:type="dxa" w:w="576"/>
            <w:vAlign w:val="center"/>
            <w:shd w:fill="F5F7FA"/>
          </w:tcPr>
          <w:p>
            <w:pPr>
              <w:spacing w:after="0" w:before="0" w:line="240" w:lineRule="auto"/>
            </w:pPr>
            <w:r/>
            <w:r>
              <w:rPr>
                <w:rFonts w:ascii="Aptos" w:hAnsi="Aptos"/>
                <w:b w:val="0"/>
                <w:color w:val="111827"/>
                <w:sz w:val="11"/>
              </w:rPr>
              <w:t>$1.75</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$3.00</w:t>
            </w:r>
          </w:p>
        </w:tc>
        <w:tc>
          <w:tcPr>
            <w:tcW w:type="dxa" w:w="576"/>
            <w:vAlign w:val="center"/>
            <w:shd w:fill="F5F7FA"/>
          </w:tcPr>
          <w:p>
            <w:pPr>
              <w:spacing w:after="0" w:before="0" w:line="240" w:lineRule="auto"/>
            </w:pPr>
            <w:r/>
            <w:r>
              <w:rPr>
                <w:rFonts w:ascii="Aptos" w:hAnsi="Aptos"/>
                <w:b w:val="0"/>
                <w:color w:val="111827"/>
                <w:sz w:val="11"/>
              </w:rPr>
              <w:t>$1.25</w:t>
            </w:r>
          </w:p>
        </w:tc>
        <w:tc>
          <w:tcPr>
            <w:tcW w:type="dxa" w:w="576"/>
            <w:vAlign w:val="center"/>
            <w:shd w:fill="F5F7FA"/>
          </w:tcPr>
          <w:p>
            <w:pPr>
              <w:spacing w:after="0" w:before="0" w:line="240" w:lineRule="auto"/>
            </w:pPr>
            <w:r/>
            <w:r>
              <w:rPr>
                <w:rFonts w:ascii="Aptos" w:hAnsi="Aptos"/>
                <w:b w:val="0"/>
                <w:color w:val="111827"/>
                <w:sz w:val="11"/>
              </w:rPr>
              <w:t>35</w:t>
            </w:r>
          </w:p>
        </w:tc>
        <w:tc>
          <w:tcPr>
            <w:tcW w:type="dxa" w:w="792"/>
            <w:vAlign w:val="center"/>
            <w:shd w:fill="F5F7FA"/>
          </w:tcPr>
          <w:p>
            <w:pPr>
              <w:spacing w:after="0" w:before="0" w:line="240" w:lineRule="auto"/>
            </w:pPr>
            <w:r/>
            <w:r>
              <w:rPr>
                <w:rFonts w:ascii="Aptos" w:hAnsi="Aptos"/>
                <w:b w:val="0"/>
                <w:color w:val="111827"/>
                <w:sz w:val="11"/>
              </w:rPr>
              <w:t>$-3.01</w:t>
            </w:r>
          </w:p>
        </w:tc>
        <w:tc>
          <w:tcPr>
            <w:tcW w:type="dxa" w:w="792"/>
            <w:vAlign w:val="center"/>
            <w:shd w:fill="F5F7FA"/>
          </w:tcPr>
          <w:p>
            <w:pPr>
              <w:spacing w:after="0" w:before="0" w:line="240" w:lineRule="auto"/>
            </w:pPr>
            <w:r/>
            <w:r>
              <w:rPr>
                <w:rFonts w:ascii="Aptos" w:hAnsi="Aptos"/>
                <w:b w:val="0"/>
                <w:color w:val="111827"/>
                <w:sz w:val="11"/>
              </w:rPr>
              <w:t>$-0.45</w:t>
            </w:r>
          </w:p>
        </w:tc>
      </w:tr>
      <w:tr>
        <w:tc>
          <w:tcPr>
            <w:tcW w:type="dxa" w:w="2088"/>
            <w:vAlign w:val="center"/>
          </w:tcPr>
          <w:p>
            <w:pPr>
              <w:spacing w:after="0" w:before="0" w:line="240" w:lineRule="auto"/>
            </w:pPr>
            <w:r/>
            <w:r>
              <w:rPr>
                <w:rFonts w:ascii="Aptos" w:hAnsi="Aptos"/>
                <w:b/>
                <w:color w:val="111827"/>
                <w:sz w:val="11"/>
              </w:rPr>
              <w:t>Laptop/phone premium electronics ($500)</w:t>
            </w:r>
          </w:p>
        </w:tc>
        <w:tc>
          <w:tcPr>
            <w:tcW w:type="dxa" w:w="1584"/>
            <w:vAlign w:val="center"/>
          </w:tcPr>
          <w:p>
            <w:pPr>
              <w:spacing w:after="0" w:before="0" w:line="240" w:lineRule="auto"/>
            </w:pPr>
            <w:r/>
            <w:r>
              <w:rPr>
                <w:rFonts w:ascii="Aptos" w:hAnsi="Aptos"/>
                <w:b w:val="0"/>
                <w:color w:val="111827"/>
                <w:sz w:val="11"/>
              </w:rPr>
              <w:t>Unopened</w:t>
            </w:r>
          </w:p>
        </w:tc>
        <w:tc>
          <w:tcPr>
            <w:tcW w:type="dxa" w:w="576"/>
            <w:vAlign w:val="center"/>
          </w:tcPr>
          <w:p>
            <w:pPr>
              <w:spacing w:after="0" w:before="0" w:line="240" w:lineRule="auto"/>
            </w:pPr>
            <w:r/>
            <w:r>
              <w:rPr>
                <w:rFonts w:ascii="Aptos" w:hAnsi="Aptos"/>
                <w:b w:val="0"/>
                <w:color w:val="111827"/>
                <w:sz w:val="11"/>
              </w:rPr>
              <w:t>12.0%</w:t>
            </w:r>
          </w:p>
        </w:tc>
        <w:tc>
          <w:tcPr>
            <w:tcW w:type="dxa" w:w="1512"/>
            <w:vAlign w:val="center"/>
          </w:tcPr>
          <w:p>
            <w:pPr>
              <w:spacing w:after="0" w:before="0" w:line="240" w:lineRule="auto"/>
            </w:pPr>
            <w:r/>
            <w:r>
              <w:rPr>
                <w:rFonts w:ascii="Aptos" w:hAnsi="Aptos"/>
                <w:b w:val="0"/>
                <w:color w:val="111827"/>
                <w:sz w:val="11"/>
              </w:rPr>
              <w:t>Restock as new</w:t>
            </w:r>
          </w:p>
        </w:tc>
        <w:tc>
          <w:tcPr>
            <w:tcW w:type="dxa" w:w="864"/>
            <w:vAlign w:val="center"/>
          </w:tcPr>
          <w:p>
            <w:pPr>
              <w:spacing w:after="0" w:before="0" w:line="240" w:lineRule="auto"/>
            </w:pPr>
            <w:r/>
            <w:r>
              <w:rPr>
                <w:rFonts w:ascii="Aptos" w:hAnsi="Aptos"/>
                <w:b w:val="0"/>
                <w:color w:val="111827"/>
                <w:sz w:val="11"/>
              </w:rPr>
              <w:t>$494.10</w:t>
            </w:r>
          </w:p>
        </w:tc>
        <w:tc>
          <w:tcPr>
            <w:tcW w:type="dxa" w:w="648"/>
            <w:vAlign w:val="center"/>
          </w:tcPr>
          <w:p>
            <w:pPr>
              <w:spacing w:after="0" w:before="0" w:line="240" w:lineRule="auto"/>
            </w:pPr>
            <w:r/>
            <w:r>
              <w:rPr>
                <w:rFonts w:ascii="Aptos" w:hAnsi="Aptos"/>
                <w:b w:val="0"/>
                <w:color w:val="111827"/>
                <w:sz w:val="11"/>
              </w:rPr>
              <w:t>$1.60</w:t>
            </w:r>
          </w:p>
        </w:tc>
        <w:tc>
          <w:tcPr>
            <w:tcW w:type="dxa" w:w="576"/>
            <w:vAlign w:val="center"/>
          </w:tcPr>
          <w:p>
            <w:pPr>
              <w:spacing w:after="0" w:before="0" w:line="240" w:lineRule="auto"/>
            </w:pPr>
            <w:r/>
            <w:r>
              <w:rPr>
                <w:rFonts w:ascii="Aptos" w:hAnsi="Aptos"/>
                <w:b w:val="0"/>
                <w:color w:val="111827"/>
                <w:sz w:val="11"/>
              </w:rPr>
              <w:t>$0.30</w:t>
            </w:r>
          </w:p>
        </w:tc>
        <w:tc>
          <w:tcPr>
            <w:tcW w:type="dxa" w:w="648"/>
            <w:vAlign w:val="center"/>
          </w:tcPr>
          <w:p>
            <w:pPr>
              <w:spacing w:after="0" w:before="0" w:line="240" w:lineRule="auto"/>
            </w:pPr>
            <w:r/>
            <w:r>
              <w:rPr>
                <w:rFonts w:ascii="Aptos" w:hAnsi="Aptos"/>
                <w:b w:val="0"/>
                <w:color w:val="111827"/>
                <w:sz w:val="11"/>
              </w:rPr>
              <w:t>$13.83</w:t>
            </w:r>
          </w:p>
        </w:tc>
        <w:tc>
          <w:tcPr>
            <w:tcW w:type="dxa" w:w="648"/>
            <w:vAlign w:val="center"/>
          </w:tcPr>
          <w:p>
            <w:pPr>
              <w:spacing w:after="0" w:before="0" w:line="240" w:lineRule="auto"/>
            </w:pPr>
            <w:r/>
            <w:r>
              <w:rPr>
                <w:rFonts w:ascii="Aptos" w:hAnsi="Aptos"/>
                <w:b w:val="0"/>
                <w:color w:val="111827"/>
                <w:sz w:val="11"/>
              </w:rPr>
              <w:t>$10.00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10</w:t>
            </w:r>
          </w:p>
        </w:tc>
        <w:tc>
          <w:tcPr>
            <w:tcW w:type="dxa" w:w="792"/>
            <w:vAlign w:val="center"/>
          </w:tcPr>
          <w:p>
            <w:pPr>
              <w:spacing w:after="0" w:before="0" w:line="240" w:lineRule="auto"/>
            </w:pPr>
            <w:r/>
            <w:r>
              <w:rPr>
                <w:rFonts w:ascii="Aptos" w:hAnsi="Aptos"/>
                <w:b w:val="0"/>
                <w:color w:val="111827"/>
                <w:sz w:val="11"/>
              </w:rPr>
              <w:t>$466.91</w:t>
            </w:r>
          </w:p>
        </w:tc>
        <w:tc>
          <w:tcPr>
            <w:tcW w:type="dxa" w:w="792"/>
            <w:vAlign w:val="center"/>
          </w:tcPr>
          <w:p>
            <w:pPr>
              <w:spacing w:after="0" w:before="0" w:line="240" w:lineRule="auto"/>
            </w:pPr>
            <w:r/>
            <w:r>
              <w:rPr>
                <w:rFonts w:ascii="Aptos" w:hAnsi="Aptos"/>
                <w:b w:val="0"/>
                <w:color w:val="111827"/>
                <w:sz w:val="11"/>
              </w:rPr>
              <w:t>$56.03</w:t>
            </w:r>
          </w:p>
        </w:tc>
      </w:tr>
      <w:tr>
        <w:tc>
          <w:tcPr>
            <w:tcW w:type="dxa" w:w="2088"/>
            <w:vAlign w:val="center"/>
            <w:shd w:fill="F5F7FA"/>
          </w:tcPr>
          <w:p>
            <w:pPr>
              <w:spacing w:after="0" w:before="0" w:line="240" w:lineRule="auto"/>
            </w:pPr>
            <w:r/>
            <w:r>
              <w:rPr>
                <w:rFonts w:ascii="Aptos" w:hAnsi="Aptos"/>
                <w:b/>
                <w:color w:val="111827"/>
                <w:sz w:val="11"/>
              </w:rPr>
              <w:t>Laptop/phone premium electronics ($500)</w:t>
            </w:r>
          </w:p>
        </w:tc>
        <w:tc>
          <w:tcPr>
            <w:tcW w:type="dxa" w:w="1584"/>
            <w:vAlign w:val="center"/>
            <w:shd w:fill="F5F7FA"/>
          </w:tcPr>
          <w:p>
            <w:pPr>
              <w:spacing w:after="0" w:before="0" w:line="240" w:lineRule="auto"/>
            </w:pPr>
            <w:r/>
            <w:r>
              <w:rPr>
                <w:rFonts w:ascii="Aptos" w:hAnsi="Aptos"/>
                <w:b w:val="0"/>
                <w:color w:val="111827"/>
                <w:sz w:val="11"/>
              </w:rPr>
              <w:t>Opened but unused</w:t>
            </w:r>
          </w:p>
        </w:tc>
        <w:tc>
          <w:tcPr>
            <w:tcW w:type="dxa" w:w="576"/>
            <w:vAlign w:val="center"/>
            <w:shd w:fill="F5F7FA"/>
          </w:tcPr>
          <w:p>
            <w:pPr>
              <w:spacing w:after="0" w:before="0" w:line="240" w:lineRule="auto"/>
            </w:pPr>
            <w:r/>
            <w:r>
              <w:rPr>
                <w:rFonts w:ascii="Aptos" w:hAnsi="Aptos"/>
                <w:b w:val="0"/>
                <w:color w:val="111827"/>
                <w:sz w:val="11"/>
              </w:rPr>
              <w:t>18.0%</w:t>
            </w:r>
          </w:p>
        </w:tc>
        <w:tc>
          <w:tcPr>
            <w:tcW w:type="dxa" w:w="1512"/>
            <w:vAlign w:val="center"/>
            <w:shd w:fill="F5F7FA"/>
          </w:tcPr>
          <w:p>
            <w:pPr>
              <w:spacing w:after="0" w:before="0" w:line="240" w:lineRule="auto"/>
            </w:pPr>
            <w:r/>
            <w:r>
              <w:rPr>
                <w:rFonts w:ascii="Aptos" w:hAnsi="Aptos"/>
                <w:b w:val="0"/>
                <w:color w:val="111827"/>
                <w:sz w:val="11"/>
              </w:rPr>
              <w:t>Open-box resale</w:t>
            </w:r>
          </w:p>
        </w:tc>
        <w:tc>
          <w:tcPr>
            <w:tcW w:type="dxa" w:w="864"/>
            <w:vAlign w:val="center"/>
            <w:shd w:fill="F5F7FA"/>
          </w:tcPr>
          <w:p>
            <w:pPr>
              <w:spacing w:after="0" w:before="0" w:line="240" w:lineRule="auto"/>
            </w:pPr>
            <w:r/>
            <w:r>
              <w:rPr>
                <w:rFonts w:ascii="Aptos" w:hAnsi="Aptos"/>
                <w:b w:val="0"/>
                <w:color w:val="111827"/>
                <w:sz w:val="11"/>
              </w:rPr>
              <w:t>$378.59</w:t>
            </w:r>
          </w:p>
        </w:tc>
        <w:tc>
          <w:tcPr>
            <w:tcW w:type="dxa" w:w="648"/>
            <w:vAlign w:val="center"/>
            <w:shd w:fill="F5F7FA"/>
          </w:tcPr>
          <w:p>
            <w:pPr>
              <w:spacing w:after="0" w:before="0" w:line="240" w:lineRule="auto"/>
            </w:pPr>
            <w:r/>
            <w:r>
              <w:rPr>
                <w:rFonts w:ascii="Aptos" w:hAnsi="Aptos"/>
                <w:b w:val="0"/>
                <w:color w:val="111827"/>
                <w:sz w:val="11"/>
              </w:rPr>
              <w:t>$12.60</w:t>
            </w:r>
          </w:p>
        </w:tc>
        <w:tc>
          <w:tcPr>
            <w:tcW w:type="dxa" w:w="576"/>
            <w:vAlign w:val="center"/>
            <w:shd w:fill="F5F7FA"/>
          </w:tcPr>
          <w:p>
            <w:pPr>
              <w:spacing w:after="0" w:before="0" w:line="240" w:lineRule="auto"/>
            </w:pPr>
            <w:r/>
            <w:r>
              <w:rPr>
                <w:rFonts w:ascii="Aptos" w:hAnsi="Aptos"/>
                <w:b w:val="0"/>
                <w:color w:val="111827"/>
                <w:sz w:val="11"/>
              </w:rPr>
              <w:t>$0.75</w:t>
            </w:r>
          </w:p>
        </w:tc>
        <w:tc>
          <w:tcPr>
            <w:tcW w:type="dxa" w:w="648"/>
            <w:vAlign w:val="center"/>
            <w:shd w:fill="F5F7FA"/>
          </w:tcPr>
          <w:p>
            <w:pPr>
              <w:spacing w:after="0" w:before="0" w:line="240" w:lineRule="auto"/>
            </w:pPr>
            <w:r/>
            <w:r>
              <w:rPr>
                <w:rFonts w:ascii="Aptos" w:hAnsi="Aptos"/>
                <w:b w:val="0"/>
                <w:color w:val="111827"/>
                <w:sz w:val="11"/>
              </w:rPr>
              <w:t>$45.43</w:t>
            </w:r>
          </w:p>
        </w:tc>
        <w:tc>
          <w:tcPr>
            <w:tcW w:type="dxa" w:w="648"/>
            <w:vAlign w:val="center"/>
            <w:shd w:fill="F5F7FA"/>
          </w:tcPr>
          <w:p>
            <w:pPr>
              <w:spacing w:after="0" w:before="0" w:line="240" w:lineRule="auto"/>
            </w:pPr>
            <w:r/>
            <w:r>
              <w:rPr>
                <w:rFonts w:ascii="Aptos" w:hAnsi="Aptos"/>
                <w:b w:val="0"/>
                <w:color w:val="111827"/>
                <w:sz w:val="11"/>
              </w:rPr>
              <w:t>$11.00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25</w:t>
            </w:r>
          </w:p>
        </w:tc>
        <w:tc>
          <w:tcPr>
            <w:tcW w:type="dxa" w:w="792"/>
            <w:vAlign w:val="center"/>
            <w:shd w:fill="F5F7FA"/>
          </w:tcPr>
          <w:p>
            <w:pPr>
              <w:spacing w:after="0" w:before="0" w:line="240" w:lineRule="auto"/>
            </w:pPr>
            <w:r/>
            <w:r>
              <w:rPr>
                <w:rFonts w:ascii="Aptos" w:hAnsi="Aptos"/>
                <w:b w:val="0"/>
                <w:color w:val="111827"/>
                <w:sz w:val="11"/>
              </w:rPr>
              <w:t>$306.42</w:t>
            </w:r>
          </w:p>
        </w:tc>
        <w:tc>
          <w:tcPr>
            <w:tcW w:type="dxa" w:w="792"/>
            <w:vAlign w:val="center"/>
            <w:shd w:fill="F5F7FA"/>
          </w:tcPr>
          <w:p>
            <w:pPr>
              <w:spacing w:after="0" w:before="0" w:line="240" w:lineRule="auto"/>
            </w:pPr>
            <w:r/>
            <w:r>
              <w:rPr>
                <w:rFonts w:ascii="Aptos" w:hAnsi="Aptos"/>
                <w:b w:val="0"/>
                <w:color w:val="111827"/>
                <w:sz w:val="11"/>
              </w:rPr>
              <w:t>$55.16</w:t>
            </w:r>
          </w:p>
        </w:tc>
      </w:tr>
      <w:tr>
        <w:tc>
          <w:tcPr>
            <w:tcW w:type="dxa" w:w="2088"/>
            <w:vAlign w:val="center"/>
          </w:tcPr>
          <w:p>
            <w:pPr>
              <w:spacing w:after="0" w:before="0" w:line="240" w:lineRule="auto"/>
            </w:pPr>
            <w:r/>
            <w:r>
              <w:rPr>
                <w:rFonts w:ascii="Aptos" w:hAnsi="Aptos"/>
                <w:b/>
                <w:color w:val="111827"/>
                <w:sz w:val="11"/>
              </w:rPr>
              <w:t>Laptop/phone premium electronics ($500)</w:t>
            </w:r>
          </w:p>
        </w:tc>
        <w:tc>
          <w:tcPr>
            <w:tcW w:type="dxa" w:w="1584"/>
            <w:vAlign w:val="center"/>
          </w:tcPr>
          <w:p>
            <w:pPr>
              <w:spacing w:after="0" w:before="0" w:line="240" w:lineRule="auto"/>
            </w:pPr>
            <w:r/>
            <w:r>
              <w:rPr>
                <w:rFonts w:ascii="Aptos" w:hAnsi="Aptos"/>
                <w:b w:val="0"/>
                <w:color w:val="111827"/>
                <w:sz w:val="11"/>
              </w:rPr>
              <w:t>Lightly used</w:t>
            </w:r>
          </w:p>
        </w:tc>
        <w:tc>
          <w:tcPr>
            <w:tcW w:type="dxa" w:w="576"/>
            <w:vAlign w:val="center"/>
          </w:tcPr>
          <w:p>
            <w:pPr>
              <w:spacing w:after="0" w:before="0" w:line="240" w:lineRule="auto"/>
            </w:pPr>
            <w:r/>
            <w:r>
              <w:rPr>
                <w:rFonts w:ascii="Aptos" w:hAnsi="Aptos"/>
                <w:b w:val="0"/>
                <w:color w:val="111827"/>
                <w:sz w:val="11"/>
              </w:rPr>
              <w:t>26.0%</w:t>
            </w:r>
          </w:p>
        </w:tc>
        <w:tc>
          <w:tcPr>
            <w:tcW w:type="dxa" w:w="1512"/>
            <w:vAlign w:val="center"/>
          </w:tcPr>
          <w:p>
            <w:pPr>
              <w:spacing w:after="0" w:before="0" w:line="240" w:lineRule="auto"/>
            </w:pPr>
            <w:r/>
            <w:r>
              <w:rPr>
                <w:rFonts w:ascii="Aptos" w:hAnsi="Aptos"/>
                <w:b w:val="0"/>
                <w:color w:val="111827"/>
                <w:sz w:val="11"/>
              </w:rPr>
              <w:t>Open-box resale</w:t>
            </w:r>
          </w:p>
        </w:tc>
        <w:tc>
          <w:tcPr>
            <w:tcW w:type="dxa" w:w="864"/>
            <w:vAlign w:val="center"/>
          </w:tcPr>
          <w:p>
            <w:pPr>
              <w:spacing w:after="0" w:before="0" w:line="240" w:lineRule="auto"/>
            </w:pPr>
            <w:r/>
            <w:r>
              <w:rPr>
                <w:rFonts w:ascii="Aptos" w:hAnsi="Aptos"/>
                <w:b w:val="0"/>
                <w:color w:val="111827"/>
                <w:sz w:val="11"/>
              </w:rPr>
              <w:t>$295.30</w:t>
            </w:r>
          </w:p>
        </w:tc>
        <w:tc>
          <w:tcPr>
            <w:tcW w:type="dxa" w:w="648"/>
            <w:vAlign w:val="center"/>
          </w:tcPr>
          <w:p>
            <w:pPr>
              <w:spacing w:after="0" w:before="0" w:line="240" w:lineRule="auto"/>
            </w:pPr>
            <w:r/>
            <w:r>
              <w:rPr>
                <w:rFonts w:ascii="Aptos" w:hAnsi="Aptos"/>
                <w:b w:val="0"/>
                <w:color w:val="111827"/>
                <w:sz w:val="11"/>
              </w:rPr>
              <w:t>$18.00</w:t>
            </w:r>
          </w:p>
        </w:tc>
        <w:tc>
          <w:tcPr>
            <w:tcW w:type="dxa" w:w="576"/>
            <w:vAlign w:val="center"/>
          </w:tcPr>
          <w:p>
            <w:pPr>
              <w:spacing w:after="0" w:before="0" w:line="240" w:lineRule="auto"/>
            </w:pPr>
            <w:r/>
            <w:r>
              <w:rPr>
                <w:rFonts w:ascii="Aptos" w:hAnsi="Aptos"/>
                <w:b w:val="0"/>
                <w:color w:val="111827"/>
                <w:sz w:val="11"/>
              </w:rPr>
              <w:t>$0.75</w:t>
            </w:r>
          </w:p>
        </w:tc>
        <w:tc>
          <w:tcPr>
            <w:tcW w:type="dxa" w:w="648"/>
            <w:vAlign w:val="center"/>
          </w:tcPr>
          <w:p>
            <w:pPr>
              <w:spacing w:after="0" w:before="0" w:line="240" w:lineRule="auto"/>
            </w:pPr>
            <w:r/>
            <w:r>
              <w:rPr>
                <w:rFonts w:ascii="Aptos" w:hAnsi="Aptos"/>
                <w:b w:val="0"/>
                <w:color w:val="111827"/>
                <w:sz w:val="11"/>
              </w:rPr>
              <w:t>$35.44</w:t>
            </w:r>
          </w:p>
        </w:tc>
        <w:tc>
          <w:tcPr>
            <w:tcW w:type="dxa" w:w="648"/>
            <w:vAlign w:val="center"/>
          </w:tcPr>
          <w:p>
            <w:pPr>
              <w:spacing w:after="0" w:before="0" w:line="240" w:lineRule="auto"/>
            </w:pPr>
            <w:r/>
            <w:r>
              <w:rPr>
                <w:rFonts w:ascii="Aptos" w:hAnsi="Aptos"/>
                <w:b w:val="0"/>
                <w:color w:val="111827"/>
                <w:sz w:val="11"/>
              </w:rPr>
              <w:t>$11.00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25</w:t>
            </w:r>
          </w:p>
        </w:tc>
        <w:tc>
          <w:tcPr>
            <w:tcW w:type="dxa" w:w="792"/>
            <w:vAlign w:val="center"/>
          </w:tcPr>
          <w:p>
            <w:pPr>
              <w:spacing w:after="0" w:before="0" w:line="240" w:lineRule="auto"/>
            </w:pPr>
            <w:r/>
            <w:r>
              <w:rPr>
                <w:rFonts w:ascii="Aptos" w:hAnsi="Aptos"/>
                <w:b w:val="0"/>
                <w:color w:val="111827"/>
                <w:sz w:val="11"/>
              </w:rPr>
              <w:t>$228.34</w:t>
            </w:r>
          </w:p>
        </w:tc>
        <w:tc>
          <w:tcPr>
            <w:tcW w:type="dxa" w:w="792"/>
            <w:vAlign w:val="center"/>
          </w:tcPr>
          <w:p>
            <w:pPr>
              <w:spacing w:after="0" w:before="0" w:line="240" w:lineRule="auto"/>
            </w:pPr>
            <w:r/>
            <w:r>
              <w:rPr>
                <w:rFonts w:ascii="Aptos" w:hAnsi="Aptos"/>
                <w:b w:val="0"/>
                <w:color w:val="111827"/>
                <w:sz w:val="11"/>
              </w:rPr>
              <w:t>$59.37</w:t>
            </w:r>
          </w:p>
        </w:tc>
      </w:tr>
      <w:tr>
        <w:tc>
          <w:tcPr>
            <w:tcW w:type="dxa" w:w="2088"/>
            <w:vAlign w:val="center"/>
            <w:shd w:fill="F5F7FA"/>
          </w:tcPr>
          <w:p>
            <w:pPr>
              <w:spacing w:after="0" w:before="0" w:line="240" w:lineRule="auto"/>
            </w:pPr>
            <w:r/>
            <w:r>
              <w:rPr>
                <w:rFonts w:ascii="Aptos" w:hAnsi="Aptos"/>
                <w:b/>
                <w:color w:val="111827"/>
                <w:sz w:val="11"/>
              </w:rPr>
              <w:t>Laptop/phone premium electronics ($500)</w:t>
            </w:r>
          </w:p>
        </w:tc>
        <w:tc>
          <w:tcPr>
            <w:tcW w:type="dxa" w:w="1584"/>
            <w:vAlign w:val="center"/>
            <w:shd w:fill="F5F7FA"/>
          </w:tcPr>
          <w:p>
            <w:pPr>
              <w:spacing w:after="0" w:before="0" w:line="240" w:lineRule="auto"/>
            </w:pPr>
            <w:r/>
            <w:r>
              <w:rPr>
                <w:rFonts w:ascii="Aptos" w:hAnsi="Aptos"/>
                <w:b w:val="0"/>
                <w:color w:val="111827"/>
                <w:sz w:val="11"/>
              </w:rPr>
              <w:t>Damaged but repairable</w:t>
            </w:r>
          </w:p>
        </w:tc>
        <w:tc>
          <w:tcPr>
            <w:tcW w:type="dxa" w:w="576"/>
            <w:vAlign w:val="center"/>
            <w:shd w:fill="F5F7FA"/>
          </w:tcPr>
          <w:p>
            <w:pPr>
              <w:spacing w:after="0" w:before="0" w:line="240" w:lineRule="auto"/>
            </w:pPr>
            <w:r/>
            <w:r>
              <w:rPr>
                <w:rFonts w:ascii="Aptos" w:hAnsi="Aptos"/>
                <w:b w:val="0"/>
                <w:color w:val="111827"/>
                <w:sz w:val="11"/>
              </w:rPr>
              <w:t>18.0%</w:t>
            </w:r>
          </w:p>
        </w:tc>
        <w:tc>
          <w:tcPr>
            <w:tcW w:type="dxa" w:w="1512"/>
            <w:vAlign w:val="center"/>
            <w:shd w:fill="F5F7FA"/>
          </w:tcPr>
          <w:p>
            <w:pPr>
              <w:spacing w:after="0" w:before="0" w:line="240" w:lineRule="auto"/>
            </w:pPr>
            <w:r/>
            <w:r>
              <w:rPr>
                <w:rFonts w:ascii="Aptos" w:hAnsi="Aptos"/>
                <w:b w:val="0"/>
                <w:color w:val="111827"/>
                <w:sz w:val="11"/>
              </w:rPr>
              <w:t>Refurbished resale</w:t>
            </w:r>
          </w:p>
        </w:tc>
        <w:tc>
          <w:tcPr>
            <w:tcW w:type="dxa" w:w="864"/>
            <w:vAlign w:val="center"/>
            <w:shd w:fill="F5F7FA"/>
          </w:tcPr>
          <w:p>
            <w:pPr>
              <w:spacing w:after="0" w:before="0" w:line="240" w:lineRule="auto"/>
            </w:pPr>
            <w:r/>
            <w:r>
              <w:rPr>
                <w:rFonts w:ascii="Aptos" w:hAnsi="Aptos"/>
                <w:b w:val="0"/>
                <w:color w:val="111827"/>
                <w:sz w:val="11"/>
              </w:rPr>
              <w:t>$210.46</w:t>
            </w:r>
          </w:p>
        </w:tc>
        <w:tc>
          <w:tcPr>
            <w:tcW w:type="dxa" w:w="648"/>
            <w:vAlign w:val="center"/>
            <w:shd w:fill="F5F7FA"/>
          </w:tcPr>
          <w:p>
            <w:pPr>
              <w:spacing w:after="0" w:before="0" w:line="240" w:lineRule="auto"/>
            </w:pPr>
            <w:r/>
            <w:r>
              <w:rPr>
                <w:rFonts w:ascii="Aptos" w:hAnsi="Aptos"/>
                <w:b w:val="0"/>
                <w:color w:val="111827"/>
                <w:sz w:val="11"/>
              </w:rPr>
              <w:t>$45.00</w:t>
            </w:r>
          </w:p>
        </w:tc>
        <w:tc>
          <w:tcPr>
            <w:tcW w:type="dxa" w:w="576"/>
            <w:vAlign w:val="center"/>
            <w:shd w:fill="F5F7FA"/>
          </w:tcPr>
          <w:p>
            <w:pPr>
              <w:spacing w:after="0" w:before="0" w:line="240" w:lineRule="auto"/>
            </w:pPr>
            <w:r/>
            <w:r>
              <w:rPr>
                <w:rFonts w:ascii="Aptos" w:hAnsi="Aptos"/>
                <w:b w:val="0"/>
                <w:color w:val="111827"/>
                <w:sz w:val="11"/>
              </w:rPr>
              <w:t>$1.55</w:t>
            </w:r>
          </w:p>
        </w:tc>
        <w:tc>
          <w:tcPr>
            <w:tcW w:type="dxa" w:w="648"/>
            <w:vAlign w:val="center"/>
            <w:shd w:fill="F5F7FA"/>
          </w:tcPr>
          <w:p>
            <w:pPr>
              <w:spacing w:after="0" w:before="0" w:line="240" w:lineRule="auto"/>
            </w:pPr>
            <w:r/>
            <w:r>
              <w:rPr>
                <w:rFonts w:ascii="Aptos" w:hAnsi="Aptos"/>
                <w:b w:val="0"/>
                <w:color w:val="111827"/>
                <w:sz w:val="11"/>
              </w:rPr>
              <w:t>$27.36</w:t>
            </w:r>
          </w:p>
        </w:tc>
        <w:tc>
          <w:tcPr>
            <w:tcW w:type="dxa" w:w="648"/>
            <w:vAlign w:val="center"/>
            <w:shd w:fill="F5F7FA"/>
          </w:tcPr>
          <w:p>
            <w:pPr>
              <w:spacing w:after="0" w:before="0" w:line="240" w:lineRule="auto"/>
            </w:pPr>
            <w:r/>
            <w:r>
              <w:rPr>
                <w:rFonts w:ascii="Aptos" w:hAnsi="Aptos"/>
                <w:b w:val="0"/>
                <w:color w:val="111827"/>
                <w:sz w:val="11"/>
              </w:rPr>
              <w:t>$16.00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52</w:t>
            </w:r>
          </w:p>
        </w:tc>
        <w:tc>
          <w:tcPr>
            <w:tcW w:type="dxa" w:w="792"/>
            <w:vAlign w:val="center"/>
            <w:shd w:fill="F5F7FA"/>
          </w:tcPr>
          <w:p>
            <w:pPr>
              <w:spacing w:after="0" w:before="0" w:line="240" w:lineRule="auto"/>
            </w:pPr>
            <w:r/>
            <w:r>
              <w:rPr>
                <w:rFonts w:ascii="Aptos" w:hAnsi="Aptos"/>
                <w:b w:val="0"/>
                <w:color w:val="111827"/>
                <w:sz w:val="11"/>
              </w:rPr>
              <w:t>$118.63</w:t>
            </w:r>
          </w:p>
        </w:tc>
        <w:tc>
          <w:tcPr>
            <w:tcW w:type="dxa" w:w="792"/>
            <w:vAlign w:val="center"/>
            <w:shd w:fill="F5F7FA"/>
          </w:tcPr>
          <w:p>
            <w:pPr>
              <w:spacing w:after="0" w:before="0" w:line="240" w:lineRule="auto"/>
            </w:pPr>
            <w:r/>
            <w:r>
              <w:rPr>
                <w:rFonts w:ascii="Aptos" w:hAnsi="Aptos"/>
                <w:b w:val="0"/>
                <w:color w:val="111827"/>
                <w:sz w:val="11"/>
              </w:rPr>
              <w:t>$21.35</w:t>
            </w:r>
          </w:p>
        </w:tc>
      </w:tr>
      <w:tr>
        <w:tc>
          <w:tcPr>
            <w:tcW w:type="dxa" w:w="2088"/>
            <w:vAlign w:val="center"/>
          </w:tcPr>
          <w:p>
            <w:pPr>
              <w:spacing w:after="0" w:before="0" w:line="240" w:lineRule="auto"/>
            </w:pPr>
            <w:r/>
            <w:r>
              <w:rPr>
                <w:rFonts w:ascii="Aptos" w:hAnsi="Aptos"/>
                <w:b/>
                <w:color w:val="111827"/>
                <w:sz w:val="11"/>
              </w:rPr>
              <w:t>Laptop/phone premium electronics ($500)</w:t>
            </w:r>
          </w:p>
        </w:tc>
        <w:tc>
          <w:tcPr>
            <w:tcW w:type="dxa" w:w="1584"/>
            <w:vAlign w:val="center"/>
          </w:tcPr>
          <w:p>
            <w:pPr>
              <w:spacing w:after="0" w:before="0" w:line="240" w:lineRule="auto"/>
            </w:pPr>
            <w:r/>
            <w:r>
              <w:rPr>
                <w:rFonts w:ascii="Aptos" w:hAnsi="Aptos"/>
                <w:b w:val="0"/>
                <w:color w:val="111827"/>
                <w:sz w:val="11"/>
              </w:rPr>
              <w:t>Incomplete</w:t>
            </w:r>
          </w:p>
        </w:tc>
        <w:tc>
          <w:tcPr>
            <w:tcW w:type="dxa" w:w="576"/>
            <w:vAlign w:val="center"/>
          </w:tcPr>
          <w:p>
            <w:pPr>
              <w:spacing w:after="0" w:before="0" w:line="240" w:lineRule="auto"/>
            </w:pPr>
            <w:r/>
            <w:r>
              <w:rPr>
                <w:rFonts w:ascii="Aptos" w:hAnsi="Aptos"/>
                <w:b w:val="0"/>
                <w:color w:val="111827"/>
                <w:sz w:val="11"/>
              </w:rPr>
              <w:t>10.0%</w:t>
            </w:r>
          </w:p>
        </w:tc>
        <w:tc>
          <w:tcPr>
            <w:tcW w:type="dxa" w:w="1512"/>
            <w:vAlign w:val="center"/>
          </w:tcPr>
          <w:p>
            <w:pPr>
              <w:spacing w:after="0" w:before="0" w:line="240" w:lineRule="auto"/>
            </w:pPr>
            <w:r/>
            <w:r>
              <w:rPr>
                <w:rFonts w:ascii="Aptos" w:hAnsi="Aptos"/>
                <w:b w:val="0"/>
                <w:color w:val="111827"/>
                <w:sz w:val="11"/>
              </w:rPr>
              <w:t>Outlet/off-price</w:t>
            </w:r>
          </w:p>
        </w:tc>
        <w:tc>
          <w:tcPr>
            <w:tcW w:type="dxa" w:w="864"/>
            <w:vAlign w:val="center"/>
          </w:tcPr>
          <w:p>
            <w:pPr>
              <w:spacing w:after="0" w:before="0" w:line="240" w:lineRule="auto"/>
            </w:pPr>
            <w:r/>
            <w:r>
              <w:rPr>
                <w:rFonts w:ascii="Aptos" w:hAnsi="Aptos"/>
                <w:b w:val="0"/>
                <w:color w:val="111827"/>
                <w:sz w:val="11"/>
              </w:rPr>
              <w:t>$83.46</w:t>
            </w:r>
          </w:p>
        </w:tc>
        <w:tc>
          <w:tcPr>
            <w:tcW w:type="dxa" w:w="648"/>
            <w:vAlign w:val="center"/>
          </w:tcPr>
          <w:p>
            <w:pPr>
              <w:spacing w:after="0" w:before="0" w:line="240" w:lineRule="auto"/>
            </w:pPr>
            <w:r/>
            <w:r>
              <w:rPr>
                <w:rFonts w:ascii="Aptos" w:hAnsi="Aptos"/>
                <w:b w:val="0"/>
                <w:color w:val="111827"/>
                <w:sz w:val="11"/>
              </w:rPr>
              <w:t>$15.00</w:t>
            </w:r>
          </w:p>
        </w:tc>
        <w:tc>
          <w:tcPr>
            <w:tcW w:type="dxa" w:w="576"/>
            <w:vAlign w:val="center"/>
          </w:tcPr>
          <w:p>
            <w:pPr>
              <w:spacing w:after="0" w:before="0" w:line="240" w:lineRule="auto"/>
            </w:pPr>
            <w:r/>
            <w:r>
              <w:rPr>
                <w:rFonts w:ascii="Aptos" w:hAnsi="Aptos"/>
                <w:b w:val="0"/>
                <w:color w:val="111827"/>
                <w:sz w:val="11"/>
              </w:rPr>
              <w:t>$1.05</w:t>
            </w:r>
          </w:p>
        </w:tc>
        <w:tc>
          <w:tcPr>
            <w:tcW w:type="dxa" w:w="648"/>
            <w:vAlign w:val="center"/>
          </w:tcPr>
          <w:p>
            <w:pPr>
              <w:spacing w:after="0" w:before="0" w:line="240" w:lineRule="auto"/>
            </w:pPr>
            <w:r/>
            <w:r>
              <w:rPr>
                <w:rFonts w:ascii="Aptos" w:hAnsi="Aptos"/>
                <w:b w:val="0"/>
                <w:color w:val="111827"/>
                <w:sz w:val="11"/>
              </w:rPr>
              <w:t>$4.17</w:t>
            </w:r>
          </w:p>
        </w:tc>
        <w:tc>
          <w:tcPr>
            <w:tcW w:type="dxa" w:w="648"/>
            <w:vAlign w:val="center"/>
          </w:tcPr>
          <w:p>
            <w:pPr>
              <w:spacing w:after="0" w:before="0" w:line="240" w:lineRule="auto"/>
            </w:pPr>
            <w:r/>
            <w:r>
              <w:rPr>
                <w:rFonts w:ascii="Aptos" w:hAnsi="Aptos"/>
                <w:b w:val="0"/>
                <w:color w:val="111827"/>
                <w:sz w:val="11"/>
              </w:rPr>
              <w:t>$3.00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35</w:t>
            </w:r>
          </w:p>
        </w:tc>
        <w:tc>
          <w:tcPr>
            <w:tcW w:type="dxa" w:w="792"/>
            <w:vAlign w:val="center"/>
          </w:tcPr>
          <w:p>
            <w:pPr>
              <w:spacing w:after="0" w:before="0" w:line="240" w:lineRule="auto"/>
            </w:pPr>
            <w:r/>
            <w:r>
              <w:rPr>
                <w:rFonts w:ascii="Aptos" w:hAnsi="Aptos"/>
                <w:b w:val="0"/>
                <w:color w:val="111827"/>
                <w:sz w:val="11"/>
              </w:rPr>
              <w:t>$59.58</w:t>
            </w:r>
          </w:p>
        </w:tc>
        <w:tc>
          <w:tcPr>
            <w:tcW w:type="dxa" w:w="792"/>
            <w:vAlign w:val="center"/>
          </w:tcPr>
          <w:p>
            <w:pPr>
              <w:spacing w:after="0" w:before="0" w:line="240" w:lineRule="auto"/>
            </w:pPr>
            <w:r/>
            <w:r>
              <w:rPr>
                <w:rFonts w:ascii="Aptos" w:hAnsi="Aptos"/>
                <w:b w:val="0"/>
                <w:color w:val="111827"/>
                <w:sz w:val="11"/>
              </w:rPr>
              <w:t>$5.96</w:t>
            </w:r>
          </w:p>
        </w:tc>
      </w:tr>
      <w:tr>
        <w:tc>
          <w:tcPr>
            <w:tcW w:type="dxa" w:w="2088"/>
            <w:vAlign w:val="center"/>
            <w:shd w:fill="F5F7FA"/>
          </w:tcPr>
          <w:p>
            <w:pPr>
              <w:spacing w:after="0" w:before="0" w:line="240" w:lineRule="auto"/>
            </w:pPr>
            <w:r/>
            <w:r>
              <w:rPr>
                <w:rFonts w:ascii="Aptos" w:hAnsi="Aptos"/>
                <w:b/>
                <w:color w:val="111827"/>
                <w:sz w:val="11"/>
              </w:rPr>
              <w:t>Laptop/phone premium electronics ($500)</w:t>
            </w:r>
          </w:p>
        </w:tc>
        <w:tc>
          <w:tcPr>
            <w:tcW w:type="dxa" w:w="1584"/>
            <w:vAlign w:val="center"/>
            <w:shd w:fill="F5F7FA"/>
          </w:tcPr>
          <w:p>
            <w:pPr>
              <w:spacing w:after="0" w:before="0" w:line="240" w:lineRule="auto"/>
            </w:pPr>
            <w:r/>
            <w:r>
              <w:rPr>
                <w:rFonts w:ascii="Aptos" w:hAnsi="Aptos"/>
                <w:b w:val="0"/>
                <w:color w:val="111827"/>
                <w:sz w:val="11"/>
              </w:rPr>
              <w:t>Counterfeit or substituted</w:t>
            </w:r>
          </w:p>
        </w:tc>
        <w:tc>
          <w:tcPr>
            <w:tcW w:type="dxa" w:w="576"/>
            <w:vAlign w:val="center"/>
            <w:shd w:fill="F5F7FA"/>
          </w:tcPr>
          <w:p>
            <w:pPr>
              <w:spacing w:after="0" w:before="0" w:line="240" w:lineRule="auto"/>
            </w:pPr>
            <w:r/>
            <w:r>
              <w:rPr>
                <w:rFonts w:ascii="Aptos" w:hAnsi="Aptos"/>
                <w:b w:val="0"/>
                <w:color w:val="111827"/>
                <w:sz w:val="11"/>
              </w:rPr>
              <w:t>7.0%</w:t>
            </w:r>
          </w:p>
        </w:tc>
        <w:tc>
          <w:tcPr>
            <w:tcW w:type="dxa" w:w="1512"/>
            <w:vAlign w:val="center"/>
            <w:shd w:fill="F5F7FA"/>
          </w:tcPr>
          <w:p>
            <w:pPr>
              <w:spacing w:after="0" w:before="0" w:line="240" w:lineRule="auto"/>
            </w:pPr>
            <w:r/>
            <w:r>
              <w:rPr>
                <w:rFonts w:ascii="Aptos" w:hAnsi="Aptos"/>
                <w:b w:val="0"/>
                <w:color w:val="111827"/>
                <w:sz w:val="11"/>
              </w:rPr>
              <w:t>Fraudulent/missing</w:t>
            </w:r>
          </w:p>
        </w:tc>
        <w:tc>
          <w:tcPr>
            <w:tcW w:type="dxa" w:w="864"/>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$0.60</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20</w:t>
            </w:r>
          </w:p>
        </w:tc>
        <w:tc>
          <w:tcPr>
            <w:tcW w:type="dxa" w:w="792"/>
            <w:vAlign w:val="center"/>
            <w:shd w:fill="F5F7FA"/>
          </w:tcPr>
          <w:p>
            <w:pPr>
              <w:spacing w:after="0" w:before="0" w:line="240" w:lineRule="auto"/>
            </w:pPr>
            <w:r/>
            <w:r>
              <w:rPr>
                <w:rFonts w:ascii="Aptos" w:hAnsi="Aptos"/>
                <w:b w:val="0"/>
                <w:color w:val="111827"/>
                <w:sz w:val="11"/>
              </w:rPr>
              <w:t>$-0.60</w:t>
            </w:r>
          </w:p>
        </w:tc>
        <w:tc>
          <w:tcPr>
            <w:tcW w:type="dxa" w:w="792"/>
            <w:vAlign w:val="center"/>
            <w:shd w:fill="F5F7FA"/>
          </w:tcPr>
          <w:p>
            <w:pPr>
              <w:spacing w:after="0" w:before="0" w:line="240" w:lineRule="auto"/>
            </w:pPr>
            <w:r/>
            <w:r>
              <w:rPr>
                <w:rFonts w:ascii="Aptos" w:hAnsi="Aptos"/>
                <w:b w:val="0"/>
                <w:color w:val="111827"/>
                <w:sz w:val="11"/>
              </w:rPr>
              <w:t>$-0.04</w:t>
            </w:r>
          </w:p>
        </w:tc>
      </w:tr>
      <w:tr>
        <w:tc>
          <w:tcPr>
            <w:tcW w:type="dxa" w:w="2088"/>
            <w:vAlign w:val="center"/>
          </w:tcPr>
          <w:p>
            <w:pPr>
              <w:spacing w:after="0" w:before="0" w:line="240" w:lineRule="auto"/>
            </w:pPr>
            <w:r/>
            <w:r>
              <w:rPr>
                <w:rFonts w:ascii="Aptos" w:hAnsi="Aptos"/>
                <w:b/>
                <w:color w:val="111827"/>
                <w:sz w:val="11"/>
              </w:rPr>
              <w:t>Laptop/phone premium electronics ($500)</w:t>
            </w:r>
          </w:p>
        </w:tc>
        <w:tc>
          <w:tcPr>
            <w:tcW w:type="dxa" w:w="1584"/>
            <w:vAlign w:val="center"/>
          </w:tcPr>
          <w:p>
            <w:pPr>
              <w:spacing w:after="0" w:before="0" w:line="240" w:lineRule="auto"/>
            </w:pPr>
            <w:r/>
            <w:r>
              <w:rPr>
                <w:rFonts w:ascii="Aptos" w:hAnsi="Aptos"/>
                <w:b w:val="0"/>
                <w:color w:val="111827"/>
                <w:sz w:val="11"/>
              </w:rPr>
              <w:t>Unsellable</w:t>
            </w:r>
          </w:p>
        </w:tc>
        <w:tc>
          <w:tcPr>
            <w:tcW w:type="dxa" w:w="576"/>
            <w:vAlign w:val="center"/>
          </w:tcPr>
          <w:p>
            <w:pPr>
              <w:spacing w:after="0" w:before="0" w:line="240" w:lineRule="auto"/>
            </w:pPr>
            <w:r/>
            <w:r>
              <w:rPr>
                <w:rFonts w:ascii="Aptos" w:hAnsi="Aptos"/>
                <w:b w:val="0"/>
                <w:color w:val="111827"/>
                <w:sz w:val="11"/>
              </w:rPr>
              <w:t>9.0%</w:t>
            </w:r>
          </w:p>
        </w:tc>
        <w:tc>
          <w:tcPr>
            <w:tcW w:type="dxa" w:w="1512"/>
            <w:vAlign w:val="center"/>
          </w:tcPr>
          <w:p>
            <w:pPr>
              <w:spacing w:after="0" w:before="0" w:line="240" w:lineRule="auto"/>
            </w:pPr>
            <w:r/>
            <w:r>
              <w:rPr>
                <w:rFonts w:ascii="Aptos" w:hAnsi="Aptos"/>
                <w:b w:val="0"/>
                <w:color w:val="111827"/>
                <w:sz w:val="11"/>
              </w:rPr>
              <w:t>Recycling/scrap</w:t>
            </w:r>
          </w:p>
        </w:tc>
        <w:tc>
          <w:tcPr>
            <w:tcW w:type="dxa" w:w="864"/>
            <w:vAlign w:val="center"/>
          </w:tcPr>
          <w:p>
            <w:pPr>
              <w:spacing w:after="0" w:before="0" w:line="240" w:lineRule="auto"/>
            </w:pPr>
            <w:r/>
            <w:r>
              <w:rPr>
                <w:rFonts w:ascii="Aptos" w:hAnsi="Aptos"/>
                <w:b w:val="0"/>
                <w:color w:val="111827"/>
                <w:sz w:val="11"/>
              </w:rPr>
              <w:t>$38.37</w:t>
            </w:r>
          </w:p>
        </w:tc>
        <w:tc>
          <w:tcPr>
            <w:tcW w:type="dxa" w:w="648"/>
            <w:vAlign w:val="center"/>
          </w:tcPr>
          <w:p>
            <w:pPr>
              <w:spacing w:after="0" w:before="0" w:line="240" w:lineRule="auto"/>
            </w:pPr>
            <w:r/>
            <w:r>
              <w:rPr>
                <w:rFonts w:ascii="Aptos" w:hAnsi="Aptos"/>
                <w:b w:val="0"/>
                <w:color w:val="111827"/>
                <w:sz w:val="11"/>
              </w:rPr>
              <w:t>$2.00</w:t>
            </w:r>
          </w:p>
        </w:tc>
        <w:tc>
          <w:tcPr>
            <w:tcW w:type="dxa" w:w="576"/>
            <w:vAlign w:val="center"/>
          </w:tcPr>
          <w:p>
            <w:pPr>
              <w:spacing w:after="0" w:before="0" w:line="240" w:lineRule="auto"/>
            </w:pPr>
            <w:r/>
            <w:r>
              <w:rPr>
                <w:rFonts w:ascii="Aptos" w:hAnsi="Aptos"/>
                <w:b w:val="0"/>
                <w:color w:val="111827"/>
                <w:sz w:val="11"/>
              </w:rPr>
              <w:t>$1.05</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$2.40</w:t>
            </w:r>
          </w:p>
        </w:tc>
        <w:tc>
          <w:tcPr>
            <w:tcW w:type="dxa" w:w="576"/>
            <w:vAlign w:val="center"/>
          </w:tcPr>
          <w:p>
            <w:pPr>
              <w:spacing w:after="0" w:before="0" w:line="240" w:lineRule="auto"/>
            </w:pPr>
            <w:r/>
            <w:r>
              <w:rPr>
                <w:rFonts w:ascii="Aptos" w:hAnsi="Aptos"/>
                <w:b w:val="0"/>
                <w:color w:val="111827"/>
                <w:sz w:val="11"/>
              </w:rPr>
              <w:t>$2.00</w:t>
            </w:r>
          </w:p>
        </w:tc>
        <w:tc>
          <w:tcPr>
            <w:tcW w:type="dxa" w:w="576"/>
            <w:vAlign w:val="center"/>
          </w:tcPr>
          <w:p>
            <w:pPr>
              <w:spacing w:after="0" w:before="0" w:line="240" w:lineRule="auto"/>
            </w:pPr>
            <w:r/>
            <w:r>
              <w:rPr>
                <w:rFonts w:ascii="Aptos" w:hAnsi="Aptos"/>
                <w:b w:val="0"/>
                <w:color w:val="111827"/>
                <w:sz w:val="11"/>
              </w:rPr>
              <w:t>35</w:t>
            </w:r>
          </w:p>
        </w:tc>
        <w:tc>
          <w:tcPr>
            <w:tcW w:type="dxa" w:w="792"/>
            <w:vAlign w:val="center"/>
          </w:tcPr>
          <w:p>
            <w:pPr>
              <w:spacing w:after="0" w:before="0" w:line="240" w:lineRule="auto"/>
            </w:pPr>
            <w:r/>
            <w:r>
              <w:rPr>
                <w:rFonts w:ascii="Aptos" w:hAnsi="Aptos"/>
                <w:b w:val="0"/>
                <w:color w:val="111827"/>
                <w:sz w:val="11"/>
              </w:rPr>
              <w:t>$30.59</w:t>
            </w:r>
          </w:p>
        </w:tc>
        <w:tc>
          <w:tcPr>
            <w:tcW w:type="dxa" w:w="792"/>
            <w:vAlign w:val="center"/>
          </w:tcPr>
          <w:p>
            <w:pPr>
              <w:spacing w:after="0" w:before="0" w:line="240" w:lineRule="auto"/>
            </w:pPr>
            <w:r/>
            <w:r>
              <w:rPr>
                <w:rFonts w:ascii="Aptos" w:hAnsi="Aptos"/>
                <w:b w:val="0"/>
                <w:color w:val="111827"/>
                <w:sz w:val="11"/>
              </w:rPr>
              <w:t>$2.75</w:t>
            </w:r>
          </w:p>
        </w:tc>
      </w:tr>
      <w:tr>
        <w:tc>
          <w:tcPr>
            <w:tcW w:type="dxa" w:w="2088"/>
            <w:vAlign w:val="center"/>
            <w:shd w:fill="F5F7FA"/>
          </w:tcPr>
          <w:p>
            <w:pPr>
              <w:spacing w:after="0" w:before="0" w:line="240" w:lineRule="auto"/>
            </w:pPr>
            <w:r/>
            <w:r>
              <w:rPr>
                <w:rFonts w:ascii="Aptos" w:hAnsi="Aptos"/>
                <w:b/>
                <w:color w:val="111827"/>
                <w:sz w:val="11"/>
              </w:rPr>
              <w:t>Furniture product ($500)</w:t>
            </w:r>
          </w:p>
        </w:tc>
        <w:tc>
          <w:tcPr>
            <w:tcW w:type="dxa" w:w="1584"/>
            <w:vAlign w:val="center"/>
            <w:shd w:fill="F5F7FA"/>
          </w:tcPr>
          <w:p>
            <w:pPr>
              <w:spacing w:after="0" w:before="0" w:line="240" w:lineRule="auto"/>
            </w:pPr>
            <w:r/>
            <w:r>
              <w:rPr>
                <w:rFonts w:ascii="Aptos" w:hAnsi="Aptos"/>
                <w:b w:val="0"/>
                <w:color w:val="111827"/>
                <w:sz w:val="11"/>
              </w:rPr>
              <w:t>Unopened</w:t>
            </w:r>
          </w:p>
        </w:tc>
        <w:tc>
          <w:tcPr>
            <w:tcW w:type="dxa" w:w="576"/>
            <w:vAlign w:val="center"/>
            <w:shd w:fill="F5F7FA"/>
          </w:tcPr>
          <w:p>
            <w:pPr>
              <w:spacing w:after="0" w:before="0" w:line="240" w:lineRule="auto"/>
            </w:pPr>
            <w:r/>
            <w:r>
              <w:rPr>
                <w:rFonts w:ascii="Aptos" w:hAnsi="Aptos"/>
                <w:b w:val="0"/>
                <w:color w:val="111827"/>
                <w:sz w:val="11"/>
              </w:rPr>
              <w:t>8.0%</w:t>
            </w:r>
          </w:p>
        </w:tc>
        <w:tc>
          <w:tcPr>
            <w:tcW w:type="dxa" w:w="1512"/>
            <w:vAlign w:val="center"/>
            <w:shd w:fill="F5F7FA"/>
          </w:tcPr>
          <w:p>
            <w:pPr>
              <w:spacing w:after="0" w:before="0" w:line="240" w:lineRule="auto"/>
            </w:pPr>
            <w:r/>
            <w:r>
              <w:rPr>
                <w:rFonts w:ascii="Aptos" w:hAnsi="Aptos"/>
                <w:b w:val="0"/>
                <w:color w:val="111827"/>
                <w:sz w:val="11"/>
              </w:rPr>
              <w:t>Restock as new</w:t>
            </w:r>
          </w:p>
        </w:tc>
        <w:tc>
          <w:tcPr>
            <w:tcW w:type="dxa" w:w="864"/>
            <w:vAlign w:val="center"/>
            <w:shd w:fill="F5F7FA"/>
          </w:tcPr>
          <w:p>
            <w:pPr>
              <w:spacing w:after="0" w:before="0" w:line="240" w:lineRule="auto"/>
            </w:pPr>
            <w:r/>
            <w:r>
              <w:rPr>
                <w:rFonts w:ascii="Aptos" w:hAnsi="Aptos"/>
                <w:b w:val="0"/>
                <w:color w:val="111827"/>
                <w:sz w:val="11"/>
              </w:rPr>
              <w:t>$498.83</w:t>
            </w:r>
          </w:p>
        </w:tc>
        <w:tc>
          <w:tcPr>
            <w:tcW w:type="dxa" w:w="648"/>
            <w:vAlign w:val="center"/>
            <w:shd w:fill="F5F7FA"/>
          </w:tcPr>
          <w:p>
            <w:pPr>
              <w:spacing w:after="0" w:before="0" w:line="240" w:lineRule="auto"/>
            </w:pPr>
            <w:r/>
            <w:r>
              <w:rPr>
                <w:rFonts w:ascii="Aptos" w:hAnsi="Aptos"/>
                <w:b w:val="0"/>
                <w:color w:val="111827"/>
                <w:sz w:val="11"/>
              </w:rPr>
              <w:t>$4.00</w:t>
            </w:r>
          </w:p>
        </w:tc>
        <w:tc>
          <w:tcPr>
            <w:tcW w:type="dxa" w:w="576"/>
            <w:vAlign w:val="center"/>
            <w:shd w:fill="F5F7FA"/>
          </w:tcPr>
          <w:p>
            <w:pPr>
              <w:spacing w:after="0" w:before="0" w:line="240" w:lineRule="auto"/>
            </w:pPr>
            <w:r/>
            <w:r>
              <w:rPr>
                <w:rFonts w:ascii="Aptos" w:hAnsi="Aptos"/>
                <w:b w:val="0"/>
                <w:color w:val="111827"/>
                <w:sz w:val="11"/>
              </w:rPr>
              <w:t>$5.00</w:t>
            </w:r>
          </w:p>
        </w:tc>
        <w:tc>
          <w:tcPr>
            <w:tcW w:type="dxa" w:w="648"/>
            <w:vAlign w:val="center"/>
            <w:shd w:fill="F5F7FA"/>
          </w:tcPr>
          <w:p>
            <w:pPr>
              <w:spacing w:after="0" w:before="0" w:line="240" w:lineRule="auto"/>
            </w:pPr>
            <w:r/>
            <w:r>
              <w:rPr>
                <w:rFonts w:ascii="Aptos" w:hAnsi="Aptos"/>
                <w:b w:val="0"/>
                <w:color w:val="111827"/>
                <w:sz w:val="11"/>
              </w:rPr>
              <w:t>$13.97</w:t>
            </w:r>
          </w:p>
        </w:tc>
        <w:tc>
          <w:tcPr>
            <w:tcW w:type="dxa" w:w="648"/>
            <w:vAlign w:val="center"/>
            <w:shd w:fill="F5F7FA"/>
          </w:tcPr>
          <w:p>
            <w:pPr>
              <w:spacing w:after="0" w:before="0" w:line="240" w:lineRule="auto"/>
            </w:pPr>
            <w:r/>
            <w:r>
              <w:rPr>
                <w:rFonts w:ascii="Aptos" w:hAnsi="Aptos"/>
                <w:b w:val="0"/>
                <w:color w:val="111827"/>
                <w:sz w:val="11"/>
              </w:rPr>
              <w:t>$60.00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10</w:t>
            </w:r>
          </w:p>
        </w:tc>
        <w:tc>
          <w:tcPr>
            <w:tcW w:type="dxa" w:w="792"/>
            <w:vAlign w:val="center"/>
            <w:shd w:fill="F5F7FA"/>
          </w:tcPr>
          <w:p>
            <w:pPr>
              <w:spacing w:after="0" w:before="0" w:line="240" w:lineRule="auto"/>
            </w:pPr>
            <w:r/>
            <w:r>
              <w:rPr>
                <w:rFonts w:ascii="Aptos" w:hAnsi="Aptos"/>
                <w:b w:val="0"/>
                <w:color w:val="111827"/>
                <w:sz w:val="11"/>
              </w:rPr>
              <w:t>$414.57</w:t>
            </w:r>
          </w:p>
        </w:tc>
        <w:tc>
          <w:tcPr>
            <w:tcW w:type="dxa" w:w="792"/>
            <w:vAlign w:val="center"/>
            <w:shd w:fill="F5F7FA"/>
          </w:tcPr>
          <w:p>
            <w:pPr>
              <w:spacing w:after="0" w:before="0" w:line="240" w:lineRule="auto"/>
            </w:pPr>
            <w:r/>
            <w:r>
              <w:rPr>
                <w:rFonts w:ascii="Aptos" w:hAnsi="Aptos"/>
                <w:b w:val="0"/>
                <w:color w:val="111827"/>
                <w:sz w:val="11"/>
              </w:rPr>
              <w:t>$33.17</w:t>
            </w:r>
          </w:p>
        </w:tc>
      </w:tr>
      <w:tr>
        <w:tc>
          <w:tcPr>
            <w:tcW w:type="dxa" w:w="2088"/>
            <w:vAlign w:val="center"/>
          </w:tcPr>
          <w:p>
            <w:pPr>
              <w:spacing w:after="0" w:before="0" w:line="240" w:lineRule="auto"/>
            </w:pPr>
            <w:r/>
            <w:r>
              <w:rPr>
                <w:rFonts w:ascii="Aptos" w:hAnsi="Aptos"/>
                <w:b/>
                <w:color w:val="111827"/>
                <w:sz w:val="11"/>
              </w:rPr>
              <w:t>Furniture product ($500)</w:t>
            </w:r>
          </w:p>
        </w:tc>
        <w:tc>
          <w:tcPr>
            <w:tcW w:type="dxa" w:w="1584"/>
            <w:vAlign w:val="center"/>
          </w:tcPr>
          <w:p>
            <w:pPr>
              <w:spacing w:after="0" w:before="0" w:line="240" w:lineRule="auto"/>
            </w:pPr>
            <w:r/>
            <w:r>
              <w:rPr>
                <w:rFonts w:ascii="Aptos" w:hAnsi="Aptos"/>
                <w:b w:val="0"/>
                <w:color w:val="111827"/>
                <w:sz w:val="11"/>
              </w:rPr>
              <w:t>Opened but unused</w:t>
            </w:r>
          </w:p>
        </w:tc>
        <w:tc>
          <w:tcPr>
            <w:tcW w:type="dxa" w:w="576"/>
            <w:vAlign w:val="center"/>
          </w:tcPr>
          <w:p>
            <w:pPr>
              <w:spacing w:after="0" w:before="0" w:line="240" w:lineRule="auto"/>
            </w:pPr>
            <w:r/>
            <w:r>
              <w:rPr>
                <w:rFonts w:ascii="Aptos" w:hAnsi="Aptos"/>
                <w:b w:val="0"/>
                <w:color w:val="111827"/>
                <w:sz w:val="11"/>
              </w:rPr>
              <w:t>18.0%</w:t>
            </w:r>
          </w:p>
        </w:tc>
        <w:tc>
          <w:tcPr>
            <w:tcW w:type="dxa" w:w="1512"/>
            <w:vAlign w:val="center"/>
          </w:tcPr>
          <w:p>
            <w:pPr>
              <w:spacing w:after="0" w:before="0" w:line="240" w:lineRule="auto"/>
            </w:pPr>
            <w:r/>
            <w:r>
              <w:rPr>
                <w:rFonts w:ascii="Aptos" w:hAnsi="Aptos"/>
                <w:b w:val="0"/>
                <w:color w:val="111827"/>
                <w:sz w:val="11"/>
              </w:rPr>
              <w:t>Open-box resale</w:t>
            </w:r>
          </w:p>
        </w:tc>
        <w:tc>
          <w:tcPr>
            <w:tcW w:type="dxa" w:w="864"/>
            <w:vAlign w:val="center"/>
          </w:tcPr>
          <w:p>
            <w:pPr>
              <w:spacing w:after="0" w:before="0" w:line="240" w:lineRule="auto"/>
            </w:pPr>
            <w:r/>
            <w:r>
              <w:rPr>
                <w:rFonts w:ascii="Aptos" w:hAnsi="Aptos"/>
                <w:b w:val="0"/>
                <w:color w:val="111827"/>
                <w:sz w:val="11"/>
              </w:rPr>
              <w:t>$337.52</w:t>
            </w:r>
          </w:p>
        </w:tc>
        <w:tc>
          <w:tcPr>
            <w:tcW w:type="dxa" w:w="648"/>
            <w:vAlign w:val="center"/>
          </w:tcPr>
          <w:p>
            <w:pPr>
              <w:spacing w:after="0" w:before="0" w:line="240" w:lineRule="auto"/>
            </w:pPr>
            <w:r/>
            <w:r>
              <w:rPr>
                <w:rFonts w:ascii="Aptos" w:hAnsi="Aptos"/>
                <w:b w:val="0"/>
                <w:color w:val="111827"/>
                <w:sz w:val="11"/>
              </w:rPr>
              <w:t>$21.00</w:t>
            </w:r>
          </w:p>
        </w:tc>
        <w:tc>
          <w:tcPr>
            <w:tcW w:type="dxa" w:w="576"/>
            <w:vAlign w:val="center"/>
          </w:tcPr>
          <w:p>
            <w:pPr>
              <w:spacing w:after="0" w:before="0" w:line="240" w:lineRule="auto"/>
            </w:pPr>
            <w:r/>
            <w:r>
              <w:rPr>
                <w:rFonts w:ascii="Aptos" w:hAnsi="Aptos"/>
                <w:b w:val="0"/>
                <w:color w:val="111827"/>
                <w:sz w:val="11"/>
              </w:rPr>
              <w:t>$15.62</w:t>
            </w:r>
          </w:p>
        </w:tc>
        <w:tc>
          <w:tcPr>
            <w:tcW w:type="dxa" w:w="648"/>
            <w:vAlign w:val="center"/>
          </w:tcPr>
          <w:p>
            <w:pPr>
              <w:spacing w:after="0" w:before="0" w:line="240" w:lineRule="auto"/>
            </w:pPr>
            <w:r/>
            <w:r>
              <w:rPr>
                <w:rFonts w:ascii="Aptos" w:hAnsi="Aptos"/>
                <w:b w:val="0"/>
                <w:color w:val="111827"/>
                <w:sz w:val="11"/>
              </w:rPr>
              <w:t>$40.50</w:t>
            </w:r>
          </w:p>
        </w:tc>
        <w:tc>
          <w:tcPr>
            <w:tcW w:type="dxa" w:w="648"/>
            <w:vAlign w:val="center"/>
          </w:tcPr>
          <w:p>
            <w:pPr>
              <w:spacing w:after="0" w:before="0" w:line="240" w:lineRule="auto"/>
            </w:pPr>
            <w:r/>
            <w:r>
              <w:rPr>
                <w:rFonts w:ascii="Aptos" w:hAnsi="Aptos"/>
                <w:b w:val="0"/>
                <w:color w:val="111827"/>
                <w:sz w:val="11"/>
              </w:rPr>
              <w:t>$55.00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31</w:t>
            </w:r>
          </w:p>
        </w:tc>
        <w:tc>
          <w:tcPr>
            <w:tcW w:type="dxa" w:w="792"/>
            <w:vAlign w:val="center"/>
          </w:tcPr>
          <w:p>
            <w:pPr>
              <w:spacing w:after="0" w:before="0" w:line="240" w:lineRule="auto"/>
            </w:pPr>
            <w:r/>
            <w:r>
              <w:rPr>
                <w:rFonts w:ascii="Aptos" w:hAnsi="Aptos"/>
                <w:b w:val="0"/>
                <w:color w:val="111827"/>
                <w:sz w:val="11"/>
              </w:rPr>
              <w:t>$203.41</w:t>
            </w:r>
          </w:p>
        </w:tc>
        <w:tc>
          <w:tcPr>
            <w:tcW w:type="dxa" w:w="792"/>
            <w:vAlign w:val="center"/>
          </w:tcPr>
          <w:p>
            <w:pPr>
              <w:spacing w:after="0" w:before="0" w:line="240" w:lineRule="auto"/>
            </w:pPr>
            <w:r/>
            <w:r>
              <w:rPr>
                <w:rFonts w:ascii="Aptos" w:hAnsi="Aptos"/>
                <w:b w:val="0"/>
                <w:color w:val="111827"/>
                <w:sz w:val="11"/>
              </w:rPr>
              <w:t>$36.61</w:t>
            </w:r>
          </w:p>
        </w:tc>
      </w:tr>
      <w:tr>
        <w:tc>
          <w:tcPr>
            <w:tcW w:type="dxa" w:w="2088"/>
            <w:vAlign w:val="center"/>
            <w:shd w:fill="F5F7FA"/>
          </w:tcPr>
          <w:p>
            <w:pPr>
              <w:spacing w:after="0" w:before="0" w:line="240" w:lineRule="auto"/>
            </w:pPr>
            <w:r/>
            <w:r>
              <w:rPr>
                <w:rFonts w:ascii="Aptos" w:hAnsi="Aptos"/>
                <w:b/>
                <w:color w:val="111827"/>
                <w:sz w:val="11"/>
              </w:rPr>
              <w:t>Furniture product ($500)</w:t>
            </w:r>
          </w:p>
        </w:tc>
        <w:tc>
          <w:tcPr>
            <w:tcW w:type="dxa" w:w="1584"/>
            <w:vAlign w:val="center"/>
            <w:shd w:fill="F5F7FA"/>
          </w:tcPr>
          <w:p>
            <w:pPr>
              <w:spacing w:after="0" w:before="0" w:line="240" w:lineRule="auto"/>
            </w:pPr>
            <w:r/>
            <w:r>
              <w:rPr>
                <w:rFonts w:ascii="Aptos" w:hAnsi="Aptos"/>
                <w:b w:val="0"/>
                <w:color w:val="111827"/>
                <w:sz w:val="11"/>
              </w:rPr>
              <w:t>Lightly used</w:t>
            </w:r>
          </w:p>
        </w:tc>
        <w:tc>
          <w:tcPr>
            <w:tcW w:type="dxa" w:w="576"/>
            <w:vAlign w:val="center"/>
            <w:shd w:fill="F5F7FA"/>
          </w:tcPr>
          <w:p>
            <w:pPr>
              <w:spacing w:after="0" w:before="0" w:line="240" w:lineRule="auto"/>
            </w:pPr>
            <w:r/>
            <w:r>
              <w:rPr>
                <w:rFonts w:ascii="Aptos" w:hAnsi="Aptos"/>
                <w:b w:val="0"/>
                <w:color w:val="111827"/>
                <w:sz w:val="11"/>
              </w:rPr>
              <w:t>22.0%</w:t>
            </w:r>
          </w:p>
        </w:tc>
        <w:tc>
          <w:tcPr>
            <w:tcW w:type="dxa" w:w="1512"/>
            <w:vAlign w:val="center"/>
            <w:shd w:fill="F5F7FA"/>
          </w:tcPr>
          <w:p>
            <w:pPr>
              <w:spacing w:after="0" w:before="0" w:line="240" w:lineRule="auto"/>
            </w:pPr>
            <w:r/>
            <w:r>
              <w:rPr>
                <w:rFonts w:ascii="Aptos" w:hAnsi="Aptos"/>
                <w:b w:val="0"/>
                <w:color w:val="111827"/>
                <w:sz w:val="11"/>
              </w:rPr>
              <w:t>Open-box resale</w:t>
            </w:r>
          </w:p>
        </w:tc>
        <w:tc>
          <w:tcPr>
            <w:tcW w:type="dxa" w:w="864"/>
            <w:vAlign w:val="center"/>
            <w:shd w:fill="F5F7FA"/>
          </w:tcPr>
          <w:p>
            <w:pPr>
              <w:spacing w:after="0" w:before="0" w:line="240" w:lineRule="auto"/>
            </w:pPr>
            <w:r/>
            <w:r>
              <w:rPr>
                <w:rFonts w:ascii="Aptos" w:hAnsi="Aptos"/>
                <w:b w:val="0"/>
                <w:color w:val="111827"/>
                <w:sz w:val="11"/>
              </w:rPr>
              <w:t>$276.77</w:t>
            </w:r>
          </w:p>
        </w:tc>
        <w:tc>
          <w:tcPr>
            <w:tcW w:type="dxa" w:w="648"/>
            <w:vAlign w:val="center"/>
            <w:shd w:fill="F5F7FA"/>
          </w:tcPr>
          <w:p>
            <w:pPr>
              <w:spacing w:after="0" w:before="0" w:line="240" w:lineRule="auto"/>
            </w:pPr>
            <w:r/>
            <w:r>
              <w:rPr>
                <w:rFonts w:ascii="Aptos" w:hAnsi="Aptos"/>
                <w:b w:val="0"/>
                <w:color w:val="111827"/>
                <w:sz w:val="11"/>
              </w:rPr>
              <w:t>$30.00</w:t>
            </w:r>
          </w:p>
        </w:tc>
        <w:tc>
          <w:tcPr>
            <w:tcW w:type="dxa" w:w="576"/>
            <w:vAlign w:val="center"/>
            <w:shd w:fill="F5F7FA"/>
          </w:tcPr>
          <w:p>
            <w:pPr>
              <w:spacing w:after="0" w:before="0" w:line="240" w:lineRule="auto"/>
            </w:pPr>
            <w:r/>
            <w:r>
              <w:rPr>
                <w:rFonts w:ascii="Aptos" w:hAnsi="Aptos"/>
                <w:b w:val="0"/>
                <w:color w:val="111827"/>
                <w:sz w:val="11"/>
              </w:rPr>
              <w:t>$15.62</w:t>
            </w:r>
          </w:p>
        </w:tc>
        <w:tc>
          <w:tcPr>
            <w:tcW w:type="dxa" w:w="648"/>
            <w:vAlign w:val="center"/>
            <w:shd w:fill="F5F7FA"/>
          </w:tcPr>
          <w:p>
            <w:pPr>
              <w:spacing w:after="0" w:before="0" w:line="240" w:lineRule="auto"/>
            </w:pPr>
            <w:r/>
            <w:r>
              <w:rPr>
                <w:rFonts w:ascii="Aptos" w:hAnsi="Aptos"/>
                <w:b w:val="0"/>
                <w:color w:val="111827"/>
                <w:sz w:val="11"/>
              </w:rPr>
              <w:t>$33.21</w:t>
            </w:r>
          </w:p>
        </w:tc>
        <w:tc>
          <w:tcPr>
            <w:tcW w:type="dxa" w:w="648"/>
            <w:vAlign w:val="center"/>
            <w:shd w:fill="F5F7FA"/>
          </w:tcPr>
          <w:p>
            <w:pPr>
              <w:spacing w:after="0" w:before="0" w:line="240" w:lineRule="auto"/>
            </w:pPr>
            <w:r/>
            <w:r>
              <w:rPr>
                <w:rFonts w:ascii="Aptos" w:hAnsi="Aptos"/>
                <w:b w:val="0"/>
                <w:color w:val="111827"/>
                <w:sz w:val="11"/>
              </w:rPr>
              <w:t>$55.00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31</w:t>
            </w:r>
          </w:p>
        </w:tc>
        <w:tc>
          <w:tcPr>
            <w:tcW w:type="dxa" w:w="792"/>
            <w:vAlign w:val="center"/>
            <w:shd w:fill="F5F7FA"/>
          </w:tcPr>
          <w:p>
            <w:pPr>
              <w:spacing w:after="0" w:before="0" w:line="240" w:lineRule="auto"/>
            </w:pPr>
            <w:r/>
            <w:r>
              <w:rPr>
                <w:rFonts w:ascii="Aptos" w:hAnsi="Aptos"/>
                <w:b w:val="0"/>
                <w:color w:val="111827"/>
                <w:sz w:val="11"/>
              </w:rPr>
              <w:t>$141.55</w:t>
            </w:r>
          </w:p>
        </w:tc>
        <w:tc>
          <w:tcPr>
            <w:tcW w:type="dxa" w:w="792"/>
            <w:vAlign w:val="center"/>
            <w:shd w:fill="F5F7FA"/>
          </w:tcPr>
          <w:p>
            <w:pPr>
              <w:spacing w:after="0" w:before="0" w:line="240" w:lineRule="auto"/>
            </w:pPr>
            <w:r/>
            <w:r>
              <w:rPr>
                <w:rFonts w:ascii="Aptos" w:hAnsi="Aptos"/>
                <w:b w:val="0"/>
                <w:color w:val="111827"/>
                <w:sz w:val="11"/>
              </w:rPr>
              <w:t>$31.14</w:t>
            </w:r>
          </w:p>
        </w:tc>
      </w:tr>
      <w:tr>
        <w:tc>
          <w:tcPr>
            <w:tcW w:type="dxa" w:w="2088"/>
            <w:vAlign w:val="center"/>
          </w:tcPr>
          <w:p>
            <w:pPr>
              <w:spacing w:after="0" w:before="0" w:line="240" w:lineRule="auto"/>
            </w:pPr>
            <w:r/>
            <w:r>
              <w:rPr>
                <w:rFonts w:ascii="Aptos" w:hAnsi="Aptos"/>
                <w:b/>
                <w:color w:val="111827"/>
                <w:sz w:val="11"/>
              </w:rPr>
              <w:t>Furniture product ($500)</w:t>
            </w:r>
          </w:p>
        </w:tc>
        <w:tc>
          <w:tcPr>
            <w:tcW w:type="dxa" w:w="1584"/>
            <w:vAlign w:val="center"/>
          </w:tcPr>
          <w:p>
            <w:pPr>
              <w:spacing w:after="0" w:before="0" w:line="240" w:lineRule="auto"/>
            </w:pPr>
            <w:r/>
            <w:r>
              <w:rPr>
                <w:rFonts w:ascii="Aptos" w:hAnsi="Aptos"/>
                <w:b w:val="0"/>
                <w:color w:val="111827"/>
                <w:sz w:val="11"/>
              </w:rPr>
              <w:t>Damaged but repairable</w:t>
            </w:r>
          </w:p>
        </w:tc>
        <w:tc>
          <w:tcPr>
            <w:tcW w:type="dxa" w:w="576"/>
            <w:vAlign w:val="center"/>
          </w:tcPr>
          <w:p>
            <w:pPr>
              <w:spacing w:after="0" w:before="0" w:line="240" w:lineRule="auto"/>
            </w:pPr>
            <w:r/>
            <w:r>
              <w:rPr>
                <w:rFonts w:ascii="Aptos" w:hAnsi="Aptos"/>
                <w:b w:val="0"/>
                <w:color w:val="111827"/>
                <w:sz w:val="11"/>
              </w:rPr>
              <w:t>22.0%</w:t>
            </w:r>
          </w:p>
        </w:tc>
        <w:tc>
          <w:tcPr>
            <w:tcW w:type="dxa" w:w="1512"/>
            <w:vAlign w:val="center"/>
          </w:tcPr>
          <w:p>
            <w:pPr>
              <w:spacing w:after="0" w:before="0" w:line="240" w:lineRule="auto"/>
            </w:pPr>
            <w:r/>
            <w:r>
              <w:rPr>
                <w:rFonts w:ascii="Aptos" w:hAnsi="Aptos"/>
                <w:b w:val="0"/>
                <w:color w:val="111827"/>
                <w:sz w:val="11"/>
              </w:rPr>
              <w:t>Outlet/off-price</w:t>
            </w:r>
          </w:p>
        </w:tc>
        <w:tc>
          <w:tcPr>
            <w:tcW w:type="dxa" w:w="864"/>
            <w:vAlign w:val="center"/>
          </w:tcPr>
          <w:p>
            <w:pPr>
              <w:spacing w:after="0" w:before="0" w:line="240" w:lineRule="auto"/>
            </w:pPr>
            <w:r/>
            <w:r>
              <w:rPr>
                <w:rFonts w:ascii="Aptos" w:hAnsi="Aptos"/>
                <w:b w:val="0"/>
                <w:color w:val="111827"/>
                <w:sz w:val="11"/>
              </w:rPr>
              <w:t>$100.22</w:t>
            </w:r>
          </w:p>
        </w:tc>
        <w:tc>
          <w:tcPr>
            <w:tcW w:type="dxa" w:w="648"/>
            <w:vAlign w:val="center"/>
          </w:tcPr>
          <w:p>
            <w:pPr>
              <w:spacing w:after="0" w:before="0" w:line="240" w:lineRule="auto"/>
            </w:pPr>
            <w:r/>
            <w:r>
              <w:rPr>
                <w:rFonts w:ascii="Aptos" w:hAnsi="Aptos"/>
                <w:b w:val="0"/>
                <w:color w:val="111827"/>
                <w:sz w:val="11"/>
              </w:rPr>
              <w:t>$36.00</w:t>
            </w:r>
          </w:p>
        </w:tc>
        <w:tc>
          <w:tcPr>
            <w:tcW w:type="dxa" w:w="576"/>
            <w:vAlign w:val="center"/>
          </w:tcPr>
          <w:p>
            <w:pPr>
              <w:spacing w:after="0" w:before="0" w:line="240" w:lineRule="auto"/>
            </w:pPr>
            <w:r/>
            <w:r>
              <w:rPr>
                <w:rFonts w:ascii="Aptos" w:hAnsi="Aptos"/>
                <w:b w:val="0"/>
                <w:color w:val="111827"/>
                <w:sz w:val="11"/>
              </w:rPr>
              <w:t>$21.88</w:t>
            </w:r>
          </w:p>
        </w:tc>
        <w:tc>
          <w:tcPr>
            <w:tcW w:type="dxa" w:w="648"/>
            <w:vAlign w:val="center"/>
          </w:tcPr>
          <w:p>
            <w:pPr>
              <w:spacing w:after="0" w:before="0" w:line="240" w:lineRule="auto"/>
            </w:pPr>
            <w:r/>
            <w:r>
              <w:rPr>
                <w:rFonts w:ascii="Aptos" w:hAnsi="Aptos"/>
                <w:b w:val="0"/>
                <w:color w:val="111827"/>
                <w:sz w:val="11"/>
              </w:rPr>
              <w:t>$5.01</w:t>
            </w:r>
          </w:p>
        </w:tc>
        <w:tc>
          <w:tcPr>
            <w:tcW w:type="dxa" w:w="648"/>
            <w:vAlign w:val="center"/>
          </w:tcPr>
          <w:p>
            <w:pPr>
              <w:spacing w:after="0" w:before="0" w:line="240" w:lineRule="auto"/>
            </w:pPr>
            <w:r/>
            <w:r>
              <w:rPr>
                <w:rFonts w:ascii="Aptos" w:hAnsi="Aptos"/>
                <w:b w:val="0"/>
                <w:color w:val="111827"/>
                <w:sz w:val="11"/>
              </w:rPr>
              <w:t>$25.00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44</w:t>
            </w:r>
          </w:p>
        </w:tc>
        <w:tc>
          <w:tcPr>
            <w:tcW w:type="dxa" w:w="792"/>
            <w:vAlign w:val="center"/>
          </w:tcPr>
          <w:p>
            <w:pPr>
              <w:spacing w:after="0" w:before="0" w:line="240" w:lineRule="auto"/>
            </w:pPr>
            <w:r/>
            <w:r>
              <w:rPr>
                <w:rFonts w:ascii="Aptos" w:hAnsi="Aptos"/>
                <w:b w:val="0"/>
                <w:color w:val="111827"/>
                <w:sz w:val="11"/>
              </w:rPr>
              <w:t>$12.17</w:t>
            </w:r>
          </w:p>
        </w:tc>
        <w:tc>
          <w:tcPr>
            <w:tcW w:type="dxa" w:w="792"/>
            <w:vAlign w:val="center"/>
          </w:tcPr>
          <w:p>
            <w:pPr>
              <w:spacing w:after="0" w:before="0" w:line="240" w:lineRule="auto"/>
            </w:pPr>
            <w:r/>
            <w:r>
              <w:rPr>
                <w:rFonts w:ascii="Aptos" w:hAnsi="Aptos"/>
                <w:b w:val="0"/>
                <w:color w:val="111827"/>
                <w:sz w:val="11"/>
              </w:rPr>
              <w:t>$2.68</w:t>
            </w:r>
          </w:p>
        </w:tc>
      </w:tr>
      <w:tr>
        <w:tc>
          <w:tcPr>
            <w:tcW w:type="dxa" w:w="2088"/>
            <w:vAlign w:val="center"/>
            <w:shd w:fill="F5F7FA"/>
          </w:tcPr>
          <w:p>
            <w:pPr>
              <w:spacing w:after="0" w:before="0" w:line="240" w:lineRule="auto"/>
            </w:pPr>
            <w:r/>
            <w:r>
              <w:rPr>
                <w:rFonts w:ascii="Aptos" w:hAnsi="Aptos"/>
                <w:b/>
                <w:color w:val="111827"/>
                <w:sz w:val="11"/>
              </w:rPr>
              <w:t>Furniture product ($500)</w:t>
            </w:r>
          </w:p>
        </w:tc>
        <w:tc>
          <w:tcPr>
            <w:tcW w:type="dxa" w:w="1584"/>
            <w:vAlign w:val="center"/>
            <w:shd w:fill="F5F7FA"/>
          </w:tcPr>
          <w:p>
            <w:pPr>
              <w:spacing w:after="0" w:before="0" w:line="240" w:lineRule="auto"/>
            </w:pPr>
            <w:r/>
            <w:r>
              <w:rPr>
                <w:rFonts w:ascii="Aptos" w:hAnsi="Aptos"/>
                <w:b w:val="0"/>
                <w:color w:val="111827"/>
                <w:sz w:val="11"/>
              </w:rPr>
              <w:t>Incomplete</w:t>
            </w:r>
          </w:p>
        </w:tc>
        <w:tc>
          <w:tcPr>
            <w:tcW w:type="dxa" w:w="576"/>
            <w:vAlign w:val="center"/>
            <w:shd w:fill="F5F7FA"/>
          </w:tcPr>
          <w:p>
            <w:pPr>
              <w:spacing w:after="0" w:before="0" w:line="240" w:lineRule="auto"/>
            </w:pPr>
            <w:r/>
            <w:r>
              <w:rPr>
                <w:rFonts w:ascii="Aptos" w:hAnsi="Aptos"/>
                <w:b w:val="0"/>
                <w:color w:val="111827"/>
                <w:sz w:val="11"/>
              </w:rPr>
              <w:t>12.0%</w:t>
            </w:r>
          </w:p>
        </w:tc>
        <w:tc>
          <w:tcPr>
            <w:tcW w:type="dxa" w:w="1512"/>
            <w:vAlign w:val="center"/>
            <w:shd w:fill="F5F7FA"/>
          </w:tcPr>
          <w:p>
            <w:pPr>
              <w:spacing w:after="0" w:before="0" w:line="240" w:lineRule="auto"/>
            </w:pPr>
            <w:r/>
            <w:r>
              <w:rPr>
                <w:rFonts w:ascii="Aptos" w:hAnsi="Aptos"/>
                <w:b w:val="0"/>
                <w:color w:val="111827"/>
                <w:sz w:val="11"/>
              </w:rPr>
              <w:t>Outlet/off-price</w:t>
            </w:r>
          </w:p>
        </w:tc>
        <w:tc>
          <w:tcPr>
            <w:tcW w:type="dxa" w:w="864"/>
            <w:vAlign w:val="center"/>
            <w:shd w:fill="F5F7FA"/>
          </w:tcPr>
          <w:p>
            <w:pPr>
              <w:spacing w:after="0" w:before="0" w:line="240" w:lineRule="auto"/>
            </w:pPr>
            <w:r/>
            <w:r>
              <w:rPr>
                <w:rFonts w:ascii="Aptos" w:hAnsi="Aptos"/>
                <w:b w:val="0"/>
                <w:color w:val="111827"/>
                <w:sz w:val="11"/>
              </w:rPr>
              <w:t>$77.95</w:t>
            </w:r>
          </w:p>
        </w:tc>
        <w:tc>
          <w:tcPr>
            <w:tcW w:type="dxa" w:w="648"/>
            <w:vAlign w:val="center"/>
            <w:shd w:fill="F5F7FA"/>
          </w:tcPr>
          <w:p>
            <w:pPr>
              <w:spacing w:after="0" w:before="0" w:line="240" w:lineRule="auto"/>
            </w:pPr>
            <w:r/>
            <w:r>
              <w:rPr>
                <w:rFonts w:ascii="Aptos" w:hAnsi="Aptos"/>
                <w:b w:val="0"/>
                <w:color w:val="111827"/>
                <w:sz w:val="11"/>
              </w:rPr>
              <w:t>$30.00</w:t>
            </w:r>
          </w:p>
        </w:tc>
        <w:tc>
          <w:tcPr>
            <w:tcW w:type="dxa" w:w="576"/>
            <w:vAlign w:val="center"/>
            <w:shd w:fill="F5F7FA"/>
          </w:tcPr>
          <w:p>
            <w:pPr>
              <w:spacing w:after="0" w:before="0" w:line="240" w:lineRule="auto"/>
            </w:pPr>
            <w:r/>
            <w:r>
              <w:rPr>
                <w:rFonts w:ascii="Aptos" w:hAnsi="Aptos"/>
                <w:b w:val="0"/>
                <w:color w:val="111827"/>
                <w:sz w:val="11"/>
              </w:rPr>
              <w:t>$21.88</w:t>
            </w:r>
          </w:p>
        </w:tc>
        <w:tc>
          <w:tcPr>
            <w:tcW w:type="dxa" w:w="648"/>
            <w:vAlign w:val="center"/>
            <w:shd w:fill="F5F7FA"/>
          </w:tcPr>
          <w:p>
            <w:pPr>
              <w:spacing w:after="0" w:before="0" w:line="240" w:lineRule="auto"/>
            </w:pPr>
            <w:r/>
            <w:r>
              <w:rPr>
                <w:rFonts w:ascii="Aptos" w:hAnsi="Aptos"/>
                <w:b w:val="0"/>
                <w:color w:val="111827"/>
                <w:sz w:val="11"/>
              </w:rPr>
              <w:t>$3.90</w:t>
            </w:r>
          </w:p>
        </w:tc>
        <w:tc>
          <w:tcPr>
            <w:tcW w:type="dxa" w:w="648"/>
            <w:vAlign w:val="center"/>
            <w:shd w:fill="F5F7FA"/>
          </w:tcPr>
          <w:p>
            <w:pPr>
              <w:spacing w:after="0" w:before="0" w:line="240" w:lineRule="auto"/>
            </w:pPr>
            <w:r/>
            <w:r>
              <w:rPr>
                <w:rFonts w:ascii="Aptos" w:hAnsi="Aptos"/>
                <w:b w:val="0"/>
                <w:color w:val="111827"/>
                <w:sz w:val="11"/>
              </w:rPr>
              <w:t>$25.00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44</w:t>
            </w:r>
          </w:p>
        </w:tc>
        <w:tc>
          <w:tcPr>
            <w:tcW w:type="dxa" w:w="792"/>
            <w:vAlign w:val="center"/>
            <w:shd w:fill="F5F7FA"/>
          </w:tcPr>
          <w:p>
            <w:pPr>
              <w:spacing w:after="0" w:before="0" w:line="240" w:lineRule="auto"/>
            </w:pPr>
            <w:r/>
            <w:r>
              <w:rPr>
                <w:rFonts w:ascii="Aptos" w:hAnsi="Aptos"/>
                <w:b w:val="0"/>
                <w:color w:val="111827"/>
                <w:sz w:val="11"/>
              </w:rPr>
              <w:t>$-2.79</w:t>
            </w:r>
          </w:p>
        </w:tc>
        <w:tc>
          <w:tcPr>
            <w:tcW w:type="dxa" w:w="792"/>
            <w:vAlign w:val="center"/>
            <w:shd w:fill="F5F7FA"/>
          </w:tcPr>
          <w:p>
            <w:pPr>
              <w:spacing w:after="0" w:before="0" w:line="240" w:lineRule="auto"/>
            </w:pPr>
            <w:r/>
            <w:r>
              <w:rPr>
                <w:rFonts w:ascii="Aptos" w:hAnsi="Aptos"/>
                <w:b w:val="0"/>
                <w:color w:val="111827"/>
                <w:sz w:val="11"/>
              </w:rPr>
              <w:t>$-0.33</w:t>
            </w:r>
          </w:p>
        </w:tc>
      </w:tr>
      <w:tr>
        <w:tc>
          <w:tcPr>
            <w:tcW w:type="dxa" w:w="2088"/>
            <w:vAlign w:val="center"/>
          </w:tcPr>
          <w:p>
            <w:pPr>
              <w:spacing w:after="0" w:before="0" w:line="240" w:lineRule="auto"/>
            </w:pPr>
            <w:r/>
            <w:r>
              <w:rPr>
                <w:rFonts w:ascii="Aptos" w:hAnsi="Aptos"/>
                <w:b/>
                <w:color w:val="111827"/>
                <w:sz w:val="11"/>
              </w:rPr>
              <w:t>Furniture product ($500)</w:t>
            </w:r>
          </w:p>
        </w:tc>
        <w:tc>
          <w:tcPr>
            <w:tcW w:type="dxa" w:w="1584"/>
            <w:vAlign w:val="center"/>
          </w:tcPr>
          <w:p>
            <w:pPr>
              <w:spacing w:after="0" w:before="0" w:line="240" w:lineRule="auto"/>
            </w:pPr>
            <w:r/>
            <w:r>
              <w:rPr>
                <w:rFonts w:ascii="Aptos" w:hAnsi="Aptos"/>
                <w:b w:val="0"/>
                <w:color w:val="111827"/>
                <w:sz w:val="11"/>
              </w:rPr>
              <w:t>Counterfeit or substituted</w:t>
            </w:r>
          </w:p>
        </w:tc>
        <w:tc>
          <w:tcPr>
            <w:tcW w:type="dxa" w:w="576"/>
            <w:vAlign w:val="center"/>
          </w:tcPr>
          <w:p>
            <w:pPr>
              <w:spacing w:after="0" w:before="0" w:line="240" w:lineRule="auto"/>
            </w:pPr>
            <w:r/>
            <w:r>
              <w:rPr>
                <w:rFonts w:ascii="Aptos" w:hAnsi="Aptos"/>
                <w:b w:val="0"/>
                <w:color w:val="111827"/>
                <w:sz w:val="11"/>
              </w:rPr>
              <w:t>1.0%</w:t>
            </w:r>
          </w:p>
        </w:tc>
        <w:tc>
          <w:tcPr>
            <w:tcW w:type="dxa" w:w="1512"/>
            <w:vAlign w:val="center"/>
          </w:tcPr>
          <w:p>
            <w:pPr>
              <w:spacing w:after="0" w:before="0" w:line="240" w:lineRule="auto"/>
            </w:pPr>
            <w:r/>
            <w:r>
              <w:rPr>
                <w:rFonts w:ascii="Aptos" w:hAnsi="Aptos"/>
                <w:b w:val="0"/>
                <w:color w:val="111827"/>
                <w:sz w:val="11"/>
              </w:rPr>
              <w:t>Fraudulent/missing</w:t>
            </w:r>
          </w:p>
        </w:tc>
        <w:tc>
          <w:tcPr>
            <w:tcW w:type="dxa" w:w="864"/>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$10.00</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20</w:t>
            </w:r>
          </w:p>
        </w:tc>
        <w:tc>
          <w:tcPr>
            <w:tcW w:type="dxa" w:w="792"/>
            <w:vAlign w:val="center"/>
          </w:tcPr>
          <w:p>
            <w:pPr>
              <w:spacing w:after="0" w:before="0" w:line="240" w:lineRule="auto"/>
            </w:pPr>
            <w:r/>
            <w:r>
              <w:rPr>
                <w:rFonts w:ascii="Aptos" w:hAnsi="Aptos"/>
                <w:b w:val="0"/>
                <w:color w:val="111827"/>
                <w:sz w:val="11"/>
              </w:rPr>
              <w:t>$-9.94</w:t>
            </w:r>
          </w:p>
        </w:tc>
        <w:tc>
          <w:tcPr>
            <w:tcW w:type="dxa" w:w="792"/>
            <w:vAlign w:val="center"/>
          </w:tcPr>
          <w:p>
            <w:pPr>
              <w:spacing w:after="0" w:before="0" w:line="240" w:lineRule="auto"/>
            </w:pPr>
            <w:r/>
            <w:r>
              <w:rPr>
                <w:rFonts w:ascii="Aptos" w:hAnsi="Aptos"/>
                <w:b w:val="0"/>
                <w:color w:val="111827"/>
                <w:sz w:val="11"/>
              </w:rPr>
              <w:t>$-0.10</w:t>
            </w:r>
          </w:p>
        </w:tc>
      </w:tr>
      <w:tr>
        <w:tc>
          <w:tcPr>
            <w:tcW w:type="dxa" w:w="2088"/>
            <w:vAlign w:val="center"/>
            <w:shd w:fill="F5F7FA"/>
          </w:tcPr>
          <w:p>
            <w:pPr>
              <w:spacing w:after="0" w:before="0" w:line="240" w:lineRule="auto"/>
            </w:pPr>
            <w:r/>
            <w:r>
              <w:rPr>
                <w:rFonts w:ascii="Aptos" w:hAnsi="Aptos"/>
                <w:b/>
                <w:color w:val="111827"/>
                <w:sz w:val="11"/>
              </w:rPr>
              <w:t>Furniture product ($500)</w:t>
            </w:r>
          </w:p>
        </w:tc>
        <w:tc>
          <w:tcPr>
            <w:tcW w:type="dxa" w:w="1584"/>
            <w:vAlign w:val="center"/>
            <w:shd w:fill="F5F7FA"/>
          </w:tcPr>
          <w:p>
            <w:pPr>
              <w:spacing w:after="0" w:before="0" w:line="240" w:lineRule="auto"/>
            </w:pPr>
            <w:r/>
            <w:r>
              <w:rPr>
                <w:rFonts w:ascii="Aptos" w:hAnsi="Aptos"/>
                <w:b w:val="0"/>
                <w:color w:val="111827"/>
                <w:sz w:val="11"/>
              </w:rPr>
              <w:t>Unsellable</w:t>
            </w:r>
          </w:p>
        </w:tc>
        <w:tc>
          <w:tcPr>
            <w:tcW w:type="dxa" w:w="576"/>
            <w:vAlign w:val="center"/>
            <w:shd w:fill="F5F7FA"/>
          </w:tcPr>
          <w:p>
            <w:pPr>
              <w:spacing w:after="0" w:before="0" w:line="240" w:lineRule="auto"/>
            </w:pPr>
            <w:r/>
            <w:r>
              <w:rPr>
                <w:rFonts w:ascii="Aptos" w:hAnsi="Aptos"/>
                <w:b w:val="0"/>
                <w:color w:val="111827"/>
                <w:sz w:val="11"/>
              </w:rPr>
              <w:t>17.0%</w:t>
            </w:r>
          </w:p>
        </w:tc>
        <w:tc>
          <w:tcPr>
            <w:tcW w:type="dxa" w:w="1512"/>
            <w:vAlign w:val="center"/>
            <w:shd w:fill="F5F7FA"/>
          </w:tcPr>
          <w:p>
            <w:pPr>
              <w:spacing w:after="0" w:before="0" w:line="240" w:lineRule="auto"/>
            </w:pPr>
            <w:r/>
            <w:r>
              <w:rPr>
                <w:rFonts w:ascii="Aptos" w:hAnsi="Aptos"/>
                <w:b w:val="0"/>
                <w:color w:val="111827"/>
                <w:sz w:val="11"/>
              </w:rPr>
              <w:t>Donation</w:t>
            </w:r>
          </w:p>
        </w:tc>
        <w:tc>
          <w:tcPr>
            <w:tcW w:type="dxa" w:w="864"/>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$2.50</w:t>
            </w:r>
          </w:p>
        </w:tc>
        <w:tc>
          <w:tcPr>
            <w:tcW w:type="dxa" w:w="576"/>
            <w:vAlign w:val="center"/>
            <w:shd w:fill="F5F7FA"/>
          </w:tcPr>
          <w:p>
            <w:pPr>
              <w:spacing w:after="0" w:before="0" w:line="240" w:lineRule="auto"/>
            </w:pPr>
            <w:r/>
            <w:r>
              <w:rPr>
                <w:rFonts w:ascii="Aptos" w:hAnsi="Aptos"/>
                <w:b w:val="0"/>
                <w:color w:val="111827"/>
                <w:sz w:val="11"/>
              </w:rPr>
              <w:t>$15.00</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$30.00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30</w:t>
            </w:r>
          </w:p>
        </w:tc>
        <w:tc>
          <w:tcPr>
            <w:tcW w:type="dxa" w:w="792"/>
            <w:vAlign w:val="center"/>
            <w:shd w:fill="F5F7FA"/>
          </w:tcPr>
          <w:p>
            <w:pPr>
              <w:spacing w:after="0" w:before="0" w:line="240" w:lineRule="auto"/>
            </w:pPr>
            <w:r/>
            <w:r>
              <w:rPr>
                <w:rFonts w:ascii="Aptos" w:hAnsi="Aptos"/>
                <w:b w:val="0"/>
                <w:color w:val="111827"/>
                <w:sz w:val="11"/>
              </w:rPr>
              <w:t>$-47.06</w:t>
            </w:r>
          </w:p>
        </w:tc>
        <w:tc>
          <w:tcPr>
            <w:tcW w:type="dxa" w:w="792"/>
            <w:vAlign w:val="center"/>
            <w:shd w:fill="F5F7FA"/>
          </w:tcPr>
          <w:p>
            <w:pPr>
              <w:spacing w:after="0" w:before="0" w:line="240" w:lineRule="auto"/>
            </w:pPr>
            <w:r/>
            <w:r>
              <w:rPr>
                <w:rFonts w:ascii="Aptos" w:hAnsi="Aptos"/>
                <w:b w:val="0"/>
                <w:color w:val="111827"/>
                <w:sz w:val="11"/>
              </w:rPr>
              <w:t>$-8.00</w:t>
            </w:r>
          </w:p>
        </w:tc>
      </w:tr>
      <w:tr>
        <w:tc>
          <w:tcPr>
            <w:tcW w:type="dxa" w:w="2088"/>
            <w:vAlign w:val="center"/>
          </w:tcPr>
          <w:p>
            <w:pPr>
              <w:spacing w:after="0" w:before="0" w:line="240" w:lineRule="auto"/>
            </w:pPr>
            <w:r/>
            <w:r>
              <w:rPr>
                <w:rFonts w:ascii="Aptos" w:hAnsi="Aptos"/>
                <w:b/>
                <w:color w:val="111827"/>
                <w:sz w:val="11"/>
              </w:rPr>
              <w:t>Premium apparel/accessory ($500)</w:t>
            </w:r>
          </w:p>
        </w:tc>
        <w:tc>
          <w:tcPr>
            <w:tcW w:type="dxa" w:w="1584"/>
            <w:vAlign w:val="center"/>
          </w:tcPr>
          <w:p>
            <w:pPr>
              <w:spacing w:after="0" w:before="0" w:line="240" w:lineRule="auto"/>
            </w:pPr>
            <w:r/>
            <w:r>
              <w:rPr>
                <w:rFonts w:ascii="Aptos" w:hAnsi="Aptos"/>
                <w:b w:val="0"/>
                <w:color w:val="111827"/>
                <w:sz w:val="11"/>
              </w:rPr>
              <w:t>Unopened</w:t>
            </w:r>
          </w:p>
        </w:tc>
        <w:tc>
          <w:tcPr>
            <w:tcW w:type="dxa" w:w="576"/>
            <w:vAlign w:val="center"/>
          </w:tcPr>
          <w:p>
            <w:pPr>
              <w:spacing w:after="0" w:before="0" w:line="240" w:lineRule="auto"/>
            </w:pPr>
            <w:r/>
            <w:r>
              <w:rPr>
                <w:rFonts w:ascii="Aptos" w:hAnsi="Aptos"/>
                <w:b w:val="0"/>
                <w:color w:val="111827"/>
                <w:sz w:val="11"/>
              </w:rPr>
              <w:t>18.0%</w:t>
            </w:r>
          </w:p>
        </w:tc>
        <w:tc>
          <w:tcPr>
            <w:tcW w:type="dxa" w:w="1512"/>
            <w:vAlign w:val="center"/>
          </w:tcPr>
          <w:p>
            <w:pPr>
              <w:spacing w:after="0" w:before="0" w:line="240" w:lineRule="auto"/>
            </w:pPr>
            <w:r/>
            <w:r>
              <w:rPr>
                <w:rFonts w:ascii="Aptos" w:hAnsi="Aptos"/>
                <w:b w:val="0"/>
                <w:color w:val="111827"/>
                <w:sz w:val="11"/>
              </w:rPr>
              <w:t>Restock as new</w:t>
            </w:r>
          </w:p>
        </w:tc>
        <w:tc>
          <w:tcPr>
            <w:tcW w:type="dxa" w:w="864"/>
            <w:vAlign w:val="center"/>
          </w:tcPr>
          <w:p>
            <w:pPr>
              <w:spacing w:after="0" w:before="0" w:line="240" w:lineRule="auto"/>
            </w:pPr>
            <w:r/>
            <w:r>
              <w:rPr>
                <w:rFonts w:ascii="Aptos" w:hAnsi="Aptos"/>
                <w:b w:val="0"/>
                <w:color w:val="111827"/>
                <w:sz w:val="11"/>
              </w:rPr>
              <w:t>$497.49</w:t>
            </w:r>
          </w:p>
        </w:tc>
        <w:tc>
          <w:tcPr>
            <w:tcW w:type="dxa" w:w="648"/>
            <w:vAlign w:val="center"/>
          </w:tcPr>
          <w:p>
            <w:pPr>
              <w:spacing w:after="0" w:before="0" w:line="240" w:lineRule="auto"/>
            </w:pPr>
            <w:r/>
            <w:r>
              <w:rPr>
                <w:rFonts w:ascii="Aptos" w:hAnsi="Aptos"/>
                <w:b w:val="0"/>
                <w:color w:val="111827"/>
                <w:sz w:val="11"/>
              </w:rPr>
              <w:t>$2.00</w:t>
            </w:r>
          </w:p>
        </w:tc>
        <w:tc>
          <w:tcPr>
            <w:tcW w:type="dxa" w:w="576"/>
            <w:vAlign w:val="center"/>
          </w:tcPr>
          <w:p>
            <w:pPr>
              <w:spacing w:after="0" w:before="0" w:line="240" w:lineRule="auto"/>
            </w:pPr>
            <w:r/>
            <w:r>
              <w:rPr>
                <w:rFonts w:ascii="Aptos" w:hAnsi="Aptos"/>
                <w:b w:val="0"/>
                <w:color w:val="111827"/>
                <w:sz w:val="11"/>
              </w:rPr>
              <w:t>$0.25</w:t>
            </w:r>
          </w:p>
        </w:tc>
        <w:tc>
          <w:tcPr>
            <w:tcW w:type="dxa" w:w="648"/>
            <w:vAlign w:val="center"/>
          </w:tcPr>
          <w:p>
            <w:pPr>
              <w:spacing w:after="0" w:before="0" w:line="240" w:lineRule="auto"/>
            </w:pPr>
            <w:r/>
            <w:r>
              <w:rPr>
                <w:rFonts w:ascii="Aptos" w:hAnsi="Aptos"/>
                <w:b w:val="0"/>
                <w:color w:val="111827"/>
                <w:sz w:val="11"/>
              </w:rPr>
              <w:t>$13.93</w:t>
            </w:r>
          </w:p>
        </w:tc>
        <w:tc>
          <w:tcPr>
            <w:tcW w:type="dxa" w:w="648"/>
            <w:vAlign w:val="center"/>
          </w:tcPr>
          <w:p>
            <w:pPr>
              <w:spacing w:after="0" w:before="0" w:line="240" w:lineRule="auto"/>
            </w:pPr>
            <w:r/>
            <w:r>
              <w:rPr>
                <w:rFonts w:ascii="Aptos" w:hAnsi="Aptos"/>
                <w:b w:val="0"/>
                <w:color w:val="111827"/>
                <w:sz w:val="11"/>
              </w:rPr>
              <w:t>$12.00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10</w:t>
            </w:r>
          </w:p>
        </w:tc>
        <w:tc>
          <w:tcPr>
            <w:tcW w:type="dxa" w:w="792"/>
            <w:vAlign w:val="center"/>
          </w:tcPr>
          <w:p>
            <w:pPr>
              <w:spacing w:after="0" w:before="0" w:line="240" w:lineRule="auto"/>
            </w:pPr>
            <w:r/>
            <w:r>
              <w:rPr>
                <w:rFonts w:ascii="Aptos" w:hAnsi="Aptos"/>
                <w:b w:val="0"/>
                <w:color w:val="111827"/>
                <w:sz w:val="11"/>
              </w:rPr>
              <w:t>$467.85</w:t>
            </w:r>
          </w:p>
        </w:tc>
        <w:tc>
          <w:tcPr>
            <w:tcW w:type="dxa" w:w="792"/>
            <w:vAlign w:val="center"/>
          </w:tcPr>
          <w:p>
            <w:pPr>
              <w:spacing w:after="0" w:before="0" w:line="240" w:lineRule="auto"/>
            </w:pPr>
            <w:r/>
            <w:r>
              <w:rPr>
                <w:rFonts w:ascii="Aptos" w:hAnsi="Aptos"/>
                <w:b w:val="0"/>
                <w:color w:val="111827"/>
                <w:sz w:val="11"/>
              </w:rPr>
              <w:t>$84.21</w:t>
            </w:r>
          </w:p>
        </w:tc>
      </w:tr>
      <w:tr>
        <w:tc>
          <w:tcPr>
            <w:tcW w:type="dxa" w:w="2088"/>
            <w:vAlign w:val="center"/>
            <w:shd w:fill="F5F7FA"/>
          </w:tcPr>
          <w:p>
            <w:pPr>
              <w:spacing w:after="0" w:before="0" w:line="240" w:lineRule="auto"/>
            </w:pPr>
            <w:r/>
            <w:r>
              <w:rPr>
                <w:rFonts w:ascii="Aptos" w:hAnsi="Aptos"/>
                <w:b/>
                <w:color w:val="111827"/>
                <w:sz w:val="11"/>
              </w:rPr>
              <w:t>Premium apparel/accessory ($500)</w:t>
            </w:r>
          </w:p>
        </w:tc>
        <w:tc>
          <w:tcPr>
            <w:tcW w:type="dxa" w:w="1584"/>
            <w:vAlign w:val="center"/>
            <w:shd w:fill="F5F7FA"/>
          </w:tcPr>
          <w:p>
            <w:pPr>
              <w:spacing w:after="0" w:before="0" w:line="240" w:lineRule="auto"/>
            </w:pPr>
            <w:r/>
            <w:r>
              <w:rPr>
                <w:rFonts w:ascii="Aptos" w:hAnsi="Aptos"/>
                <w:b w:val="0"/>
                <w:color w:val="111827"/>
                <w:sz w:val="11"/>
              </w:rPr>
              <w:t>Opened but unused</w:t>
            </w:r>
          </w:p>
        </w:tc>
        <w:tc>
          <w:tcPr>
            <w:tcW w:type="dxa" w:w="576"/>
            <w:vAlign w:val="center"/>
            <w:shd w:fill="F5F7FA"/>
          </w:tcPr>
          <w:p>
            <w:pPr>
              <w:spacing w:after="0" w:before="0" w:line="240" w:lineRule="auto"/>
            </w:pPr>
            <w:r/>
            <w:r>
              <w:rPr>
                <w:rFonts w:ascii="Aptos" w:hAnsi="Aptos"/>
                <w:b w:val="0"/>
                <w:color w:val="111827"/>
                <w:sz w:val="11"/>
              </w:rPr>
              <w:t>24.0%</w:t>
            </w:r>
          </w:p>
        </w:tc>
        <w:tc>
          <w:tcPr>
            <w:tcW w:type="dxa" w:w="1512"/>
            <w:vAlign w:val="center"/>
            <w:shd w:fill="F5F7FA"/>
          </w:tcPr>
          <w:p>
            <w:pPr>
              <w:spacing w:after="0" w:before="0" w:line="240" w:lineRule="auto"/>
            </w:pPr>
            <w:r/>
            <w:r>
              <w:rPr>
                <w:rFonts w:ascii="Aptos" w:hAnsi="Aptos"/>
                <w:b w:val="0"/>
                <w:color w:val="111827"/>
                <w:sz w:val="11"/>
              </w:rPr>
              <w:t>Restock as new</w:t>
            </w:r>
          </w:p>
        </w:tc>
        <w:tc>
          <w:tcPr>
            <w:tcW w:type="dxa" w:w="864"/>
            <w:vAlign w:val="center"/>
            <w:shd w:fill="F5F7FA"/>
          </w:tcPr>
          <w:p>
            <w:pPr>
              <w:spacing w:after="0" w:before="0" w:line="240" w:lineRule="auto"/>
            </w:pPr>
            <w:r/>
            <w:r>
              <w:rPr>
                <w:rFonts w:ascii="Aptos" w:hAnsi="Aptos"/>
                <w:b w:val="0"/>
                <w:color w:val="111827"/>
                <w:sz w:val="11"/>
              </w:rPr>
              <w:t>$472.61</w:t>
            </w:r>
          </w:p>
        </w:tc>
        <w:tc>
          <w:tcPr>
            <w:tcW w:type="dxa" w:w="648"/>
            <w:vAlign w:val="center"/>
            <w:shd w:fill="F5F7FA"/>
          </w:tcPr>
          <w:p>
            <w:pPr>
              <w:spacing w:after="0" w:before="0" w:line="240" w:lineRule="auto"/>
            </w:pPr>
            <w:r/>
            <w:r>
              <w:rPr>
                <w:rFonts w:ascii="Aptos" w:hAnsi="Aptos"/>
                <w:b w:val="0"/>
                <w:color w:val="111827"/>
                <w:sz w:val="11"/>
              </w:rPr>
              <w:t>$4.00</w:t>
            </w:r>
          </w:p>
        </w:tc>
        <w:tc>
          <w:tcPr>
            <w:tcW w:type="dxa" w:w="576"/>
            <w:vAlign w:val="center"/>
            <w:shd w:fill="F5F7FA"/>
          </w:tcPr>
          <w:p>
            <w:pPr>
              <w:spacing w:after="0" w:before="0" w:line="240" w:lineRule="auto"/>
            </w:pPr>
            <w:r/>
            <w:r>
              <w:rPr>
                <w:rFonts w:ascii="Aptos" w:hAnsi="Aptos"/>
                <w:b w:val="0"/>
                <w:color w:val="111827"/>
                <w:sz w:val="11"/>
              </w:rPr>
              <w:t>$0.25</w:t>
            </w:r>
          </w:p>
        </w:tc>
        <w:tc>
          <w:tcPr>
            <w:tcW w:type="dxa" w:w="648"/>
            <w:vAlign w:val="center"/>
            <w:shd w:fill="F5F7FA"/>
          </w:tcPr>
          <w:p>
            <w:pPr>
              <w:spacing w:after="0" w:before="0" w:line="240" w:lineRule="auto"/>
            </w:pPr>
            <w:r/>
            <w:r>
              <w:rPr>
                <w:rFonts w:ascii="Aptos" w:hAnsi="Aptos"/>
                <w:b w:val="0"/>
                <w:color w:val="111827"/>
                <w:sz w:val="11"/>
              </w:rPr>
              <w:t>$13.23</w:t>
            </w:r>
          </w:p>
        </w:tc>
        <w:tc>
          <w:tcPr>
            <w:tcW w:type="dxa" w:w="648"/>
            <w:vAlign w:val="center"/>
            <w:shd w:fill="F5F7FA"/>
          </w:tcPr>
          <w:p>
            <w:pPr>
              <w:spacing w:after="0" w:before="0" w:line="240" w:lineRule="auto"/>
            </w:pPr>
            <w:r/>
            <w:r>
              <w:rPr>
                <w:rFonts w:ascii="Aptos" w:hAnsi="Aptos"/>
                <w:b w:val="0"/>
                <w:color w:val="111827"/>
                <w:sz w:val="11"/>
              </w:rPr>
              <w:t>$12.00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10</w:t>
            </w:r>
          </w:p>
        </w:tc>
        <w:tc>
          <w:tcPr>
            <w:tcW w:type="dxa" w:w="792"/>
            <w:vAlign w:val="center"/>
            <w:shd w:fill="F5F7FA"/>
          </w:tcPr>
          <w:p>
            <w:pPr>
              <w:spacing w:after="0" w:before="0" w:line="240" w:lineRule="auto"/>
            </w:pPr>
            <w:r/>
            <w:r>
              <w:rPr>
                <w:rFonts w:ascii="Aptos" w:hAnsi="Aptos"/>
                <w:b w:val="0"/>
                <w:color w:val="111827"/>
                <w:sz w:val="11"/>
              </w:rPr>
              <w:t>$441.76</w:t>
            </w:r>
          </w:p>
        </w:tc>
        <w:tc>
          <w:tcPr>
            <w:tcW w:type="dxa" w:w="792"/>
            <w:vAlign w:val="center"/>
            <w:shd w:fill="F5F7FA"/>
          </w:tcPr>
          <w:p>
            <w:pPr>
              <w:spacing w:after="0" w:before="0" w:line="240" w:lineRule="auto"/>
            </w:pPr>
            <w:r/>
            <w:r>
              <w:rPr>
                <w:rFonts w:ascii="Aptos" w:hAnsi="Aptos"/>
                <w:b w:val="0"/>
                <w:color w:val="111827"/>
                <w:sz w:val="11"/>
              </w:rPr>
              <w:t>$106.02</w:t>
            </w:r>
          </w:p>
        </w:tc>
      </w:tr>
      <w:tr>
        <w:tc>
          <w:tcPr>
            <w:tcW w:type="dxa" w:w="2088"/>
            <w:vAlign w:val="center"/>
          </w:tcPr>
          <w:p>
            <w:pPr>
              <w:spacing w:after="0" w:before="0" w:line="240" w:lineRule="auto"/>
            </w:pPr>
            <w:r/>
            <w:r>
              <w:rPr>
                <w:rFonts w:ascii="Aptos" w:hAnsi="Aptos"/>
                <w:b/>
                <w:color w:val="111827"/>
                <w:sz w:val="11"/>
              </w:rPr>
              <w:t>Premium apparel/accessory ($500)</w:t>
            </w:r>
          </w:p>
        </w:tc>
        <w:tc>
          <w:tcPr>
            <w:tcW w:type="dxa" w:w="1584"/>
            <w:vAlign w:val="center"/>
          </w:tcPr>
          <w:p>
            <w:pPr>
              <w:spacing w:after="0" w:before="0" w:line="240" w:lineRule="auto"/>
            </w:pPr>
            <w:r/>
            <w:r>
              <w:rPr>
                <w:rFonts w:ascii="Aptos" w:hAnsi="Aptos"/>
                <w:b w:val="0"/>
                <w:color w:val="111827"/>
                <w:sz w:val="11"/>
              </w:rPr>
              <w:t>Lightly used</w:t>
            </w:r>
          </w:p>
        </w:tc>
        <w:tc>
          <w:tcPr>
            <w:tcW w:type="dxa" w:w="576"/>
            <w:vAlign w:val="center"/>
          </w:tcPr>
          <w:p>
            <w:pPr>
              <w:spacing w:after="0" w:before="0" w:line="240" w:lineRule="auto"/>
            </w:pPr>
            <w:r/>
            <w:r>
              <w:rPr>
                <w:rFonts w:ascii="Aptos" w:hAnsi="Aptos"/>
                <w:b w:val="0"/>
                <w:color w:val="111827"/>
                <w:sz w:val="11"/>
              </w:rPr>
              <w:t>26.0%</w:t>
            </w:r>
          </w:p>
        </w:tc>
        <w:tc>
          <w:tcPr>
            <w:tcW w:type="dxa" w:w="1512"/>
            <w:vAlign w:val="center"/>
          </w:tcPr>
          <w:p>
            <w:pPr>
              <w:spacing w:after="0" w:before="0" w:line="240" w:lineRule="auto"/>
            </w:pPr>
            <w:r/>
            <w:r>
              <w:rPr>
                <w:rFonts w:ascii="Aptos" w:hAnsi="Aptos"/>
                <w:b w:val="0"/>
                <w:color w:val="111827"/>
                <w:sz w:val="11"/>
              </w:rPr>
              <w:t>Open-box resale</w:t>
            </w:r>
          </w:p>
        </w:tc>
        <w:tc>
          <w:tcPr>
            <w:tcW w:type="dxa" w:w="864"/>
            <w:vAlign w:val="center"/>
          </w:tcPr>
          <w:p>
            <w:pPr>
              <w:spacing w:after="0" w:before="0" w:line="240" w:lineRule="auto"/>
            </w:pPr>
            <w:r/>
            <w:r>
              <w:rPr>
                <w:rFonts w:ascii="Aptos" w:hAnsi="Aptos"/>
                <w:b w:val="0"/>
                <w:color w:val="111827"/>
                <w:sz w:val="11"/>
              </w:rPr>
              <w:t>$308.10</w:t>
            </w:r>
          </w:p>
        </w:tc>
        <w:tc>
          <w:tcPr>
            <w:tcW w:type="dxa" w:w="648"/>
            <w:vAlign w:val="center"/>
          </w:tcPr>
          <w:p>
            <w:pPr>
              <w:spacing w:after="0" w:before="0" w:line="240" w:lineRule="auto"/>
            </w:pPr>
            <w:r/>
            <w:r>
              <w:rPr>
                <w:rFonts w:ascii="Aptos" w:hAnsi="Aptos"/>
                <w:b w:val="0"/>
                <w:color w:val="111827"/>
                <w:sz w:val="11"/>
              </w:rPr>
              <w:t>$15.00</w:t>
            </w:r>
          </w:p>
        </w:tc>
        <w:tc>
          <w:tcPr>
            <w:tcW w:type="dxa" w:w="576"/>
            <w:vAlign w:val="center"/>
          </w:tcPr>
          <w:p>
            <w:pPr>
              <w:spacing w:after="0" w:before="0" w:line="240" w:lineRule="auto"/>
            </w:pPr>
            <w:r/>
            <w:r>
              <w:rPr>
                <w:rFonts w:ascii="Aptos" w:hAnsi="Aptos"/>
                <w:b w:val="0"/>
                <w:color w:val="111827"/>
                <w:sz w:val="11"/>
              </w:rPr>
              <w:t>$0.62</w:t>
            </w:r>
          </w:p>
        </w:tc>
        <w:tc>
          <w:tcPr>
            <w:tcW w:type="dxa" w:w="648"/>
            <w:vAlign w:val="center"/>
          </w:tcPr>
          <w:p>
            <w:pPr>
              <w:spacing w:after="0" w:before="0" w:line="240" w:lineRule="auto"/>
            </w:pPr>
            <w:r/>
            <w:r>
              <w:rPr>
                <w:rFonts w:ascii="Aptos" w:hAnsi="Aptos"/>
                <w:b w:val="0"/>
                <w:color w:val="111827"/>
                <w:sz w:val="11"/>
              </w:rPr>
              <w:t>$36.97</w:t>
            </w:r>
          </w:p>
        </w:tc>
        <w:tc>
          <w:tcPr>
            <w:tcW w:type="dxa" w:w="648"/>
            <w:vAlign w:val="center"/>
          </w:tcPr>
          <w:p>
            <w:pPr>
              <w:spacing w:after="0" w:before="0" w:line="240" w:lineRule="auto"/>
            </w:pPr>
            <w:r/>
            <w:r>
              <w:rPr>
                <w:rFonts w:ascii="Aptos" w:hAnsi="Aptos"/>
                <w:b w:val="0"/>
                <w:color w:val="111827"/>
                <w:sz w:val="11"/>
              </w:rPr>
              <w:t>$13.20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25</w:t>
            </w:r>
          </w:p>
        </w:tc>
        <w:tc>
          <w:tcPr>
            <w:tcW w:type="dxa" w:w="792"/>
            <w:vAlign w:val="center"/>
          </w:tcPr>
          <w:p>
            <w:pPr>
              <w:spacing w:after="0" w:before="0" w:line="240" w:lineRule="auto"/>
            </w:pPr>
            <w:r/>
            <w:r>
              <w:rPr>
                <w:rFonts w:ascii="Aptos" w:hAnsi="Aptos"/>
                <w:b w:val="0"/>
                <w:color w:val="111827"/>
                <w:sz w:val="11"/>
              </w:rPr>
              <w:t>$240.43</w:t>
            </w:r>
          </w:p>
        </w:tc>
        <w:tc>
          <w:tcPr>
            <w:tcW w:type="dxa" w:w="792"/>
            <w:vAlign w:val="center"/>
          </w:tcPr>
          <w:p>
            <w:pPr>
              <w:spacing w:after="0" w:before="0" w:line="240" w:lineRule="auto"/>
            </w:pPr>
            <w:r/>
            <w:r>
              <w:rPr>
                <w:rFonts w:ascii="Aptos" w:hAnsi="Aptos"/>
                <w:b w:val="0"/>
                <w:color w:val="111827"/>
                <w:sz w:val="11"/>
              </w:rPr>
              <w:t>$62.51</w:t>
            </w:r>
          </w:p>
        </w:tc>
      </w:tr>
      <w:tr>
        <w:tc>
          <w:tcPr>
            <w:tcW w:type="dxa" w:w="2088"/>
            <w:vAlign w:val="center"/>
            <w:shd w:fill="F5F7FA"/>
          </w:tcPr>
          <w:p>
            <w:pPr>
              <w:spacing w:after="0" w:before="0" w:line="240" w:lineRule="auto"/>
            </w:pPr>
            <w:r/>
            <w:r>
              <w:rPr>
                <w:rFonts w:ascii="Aptos" w:hAnsi="Aptos"/>
                <w:b/>
                <w:color w:val="111827"/>
                <w:sz w:val="11"/>
              </w:rPr>
              <w:t>Premium apparel/accessory ($500)</w:t>
            </w:r>
          </w:p>
        </w:tc>
        <w:tc>
          <w:tcPr>
            <w:tcW w:type="dxa" w:w="1584"/>
            <w:vAlign w:val="center"/>
            <w:shd w:fill="F5F7FA"/>
          </w:tcPr>
          <w:p>
            <w:pPr>
              <w:spacing w:after="0" w:before="0" w:line="240" w:lineRule="auto"/>
            </w:pPr>
            <w:r/>
            <w:r>
              <w:rPr>
                <w:rFonts w:ascii="Aptos" w:hAnsi="Aptos"/>
                <w:b w:val="0"/>
                <w:color w:val="111827"/>
                <w:sz w:val="11"/>
              </w:rPr>
              <w:t>Damaged but repairable</w:t>
            </w:r>
          </w:p>
        </w:tc>
        <w:tc>
          <w:tcPr>
            <w:tcW w:type="dxa" w:w="576"/>
            <w:vAlign w:val="center"/>
            <w:shd w:fill="F5F7FA"/>
          </w:tcPr>
          <w:p>
            <w:pPr>
              <w:spacing w:after="0" w:before="0" w:line="240" w:lineRule="auto"/>
            </w:pPr>
            <w:r/>
            <w:r>
              <w:rPr>
                <w:rFonts w:ascii="Aptos" w:hAnsi="Aptos"/>
                <w:b w:val="0"/>
                <w:color w:val="111827"/>
                <w:sz w:val="11"/>
              </w:rPr>
              <w:t>8.0%</w:t>
            </w:r>
          </w:p>
        </w:tc>
        <w:tc>
          <w:tcPr>
            <w:tcW w:type="dxa" w:w="1512"/>
            <w:vAlign w:val="center"/>
            <w:shd w:fill="F5F7FA"/>
          </w:tcPr>
          <w:p>
            <w:pPr>
              <w:spacing w:after="0" w:before="0" w:line="240" w:lineRule="auto"/>
            </w:pPr>
            <w:r/>
            <w:r>
              <w:rPr>
                <w:rFonts w:ascii="Aptos" w:hAnsi="Aptos"/>
                <w:b w:val="0"/>
                <w:color w:val="111827"/>
                <w:sz w:val="11"/>
              </w:rPr>
              <w:t>Refurbished resale</w:t>
            </w:r>
          </w:p>
        </w:tc>
        <w:tc>
          <w:tcPr>
            <w:tcW w:type="dxa" w:w="864"/>
            <w:vAlign w:val="center"/>
            <w:shd w:fill="F5F7FA"/>
          </w:tcPr>
          <w:p>
            <w:pPr>
              <w:spacing w:after="0" w:before="0" w:line="240" w:lineRule="auto"/>
            </w:pPr>
            <w:r/>
            <w:r>
              <w:rPr>
                <w:rFonts w:ascii="Aptos" w:hAnsi="Aptos"/>
                <w:b w:val="0"/>
                <w:color w:val="111827"/>
                <w:sz w:val="11"/>
              </w:rPr>
              <w:t>$190.02</w:t>
            </w:r>
          </w:p>
        </w:tc>
        <w:tc>
          <w:tcPr>
            <w:tcW w:type="dxa" w:w="648"/>
            <w:vAlign w:val="center"/>
            <w:shd w:fill="F5F7FA"/>
          </w:tcPr>
          <w:p>
            <w:pPr>
              <w:spacing w:after="0" w:before="0" w:line="240" w:lineRule="auto"/>
            </w:pPr>
            <w:r/>
            <w:r>
              <w:rPr>
                <w:rFonts w:ascii="Aptos" w:hAnsi="Aptos"/>
                <w:b w:val="0"/>
                <w:color w:val="111827"/>
                <w:sz w:val="11"/>
              </w:rPr>
              <w:t>$25.00</w:t>
            </w:r>
          </w:p>
        </w:tc>
        <w:tc>
          <w:tcPr>
            <w:tcW w:type="dxa" w:w="576"/>
            <w:vAlign w:val="center"/>
            <w:shd w:fill="F5F7FA"/>
          </w:tcPr>
          <w:p>
            <w:pPr>
              <w:spacing w:after="0" w:before="0" w:line="240" w:lineRule="auto"/>
            </w:pPr>
            <w:r/>
            <w:r>
              <w:rPr>
                <w:rFonts w:ascii="Aptos" w:hAnsi="Aptos"/>
                <w:b w:val="0"/>
                <w:color w:val="111827"/>
                <w:sz w:val="11"/>
              </w:rPr>
              <w:t>$1.12</w:t>
            </w:r>
          </w:p>
        </w:tc>
        <w:tc>
          <w:tcPr>
            <w:tcW w:type="dxa" w:w="648"/>
            <w:vAlign w:val="center"/>
            <w:shd w:fill="F5F7FA"/>
          </w:tcPr>
          <w:p>
            <w:pPr>
              <w:spacing w:after="0" w:before="0" w:line="240" w:lineRule="auto"/>
            </w:pPr>
            <w:r/>
            <w:r>
              <w:rPr>
                <w:rFonts w:ascii="Aptos" w:hAnsi="Aptos"/>
                <w:b w:val="0"/>
                <w:color w:val="111827"/>
                <w:sz w:val="11"/>
              </w:rPr>
              <w:t>$24.70</w:t>
            </w:r>
          </w:p>
        </w:tc>
        <w:tc>
          <w:tcPr>
            <w:tcW w:type="dxa" w:w="648"/>
            <w:vAlign w:val="center"/>
            <w:shd w:fill="F5F7FA"/>
          </w:tcPr>
          <w:p>
            <w:pPr>
              <w:spacing w:after="0" w:before="0" w:line="240" w:lineRule="auto"/>
            </w:pPr>
            <w:r/>
            <w:r>
              <w:rPr>
                <w:rFonts w:ascii="Aptos" w:hAnsi="Aptos"/>
                <w:b w:val="0"/>
                <w:color w:val="111827"/>
                <w:sz w:val="11"/>
              </w:rPr>
              <w:t>$21.20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45</w:t>
            </w:r>
          </w:p>
        </w:tc>
        <w:tc>
          <w:tcPr>
            <w:tcW w:type="dxa" w:w="792"/>
            <w:vAlign w:val="center"/>
            <w:shd w:fill="F5F7FA"/>
          </w:tcPr>
          <w:p>
            <w:pPr>
              <w:spacing w:after="0" w:before="0" w:line="240" w:lineRule="auto"/>
            </w:pPr>
            <w:r/>
            <w:r>
              <w:rPr>
                <w:rFonts w:ascii="Aptos" w:hAnsi="Aptos"/>
                <w:b w:val="0"/>
                <w:color w:val="111827"/>
                <w:sz w:val="11"/>
              </w:rPr>
              <w:t>$116.36</w:t>
            </w:r>
          </w:p>
        </w:tc>
        <w:tc>
          <w:tcPr>
            <w:tcW w:type="dxa" w:w="792"/>
            <w:vAlign w:val="center"/>
            <w:shd w:fill="F5F7FA"/>
          </w:tcPr>
          <w:p>
            <w:pPr>
              <w:spacing w:after="0" w:before="0" w:line="240" w:lineRule="auto"/>
            </w:pPr>
            <w:r/>
            <w:r>
              <w:rPr>
                <w:rFonts w:ascii="Aptos" w:hAnsi="Aptos"/>
                <w:b w:val="0"/>
                <w:color w:val="111827"/>
                <w:sz w:val="11"/>
              </w:rPr>
              <w:t>$9.31</w:t>
            </w:r>
          </w:p>
        </w:tc>
      </w:tr>
      <w:tr>
        <w:tc>
          <w:tcPr>
            <w:tcW w:type="dxa" w:w="2088"/>
            <w:vAlign w:val="center"/>
          </w:tcPr>
          <w:p>
            <w:pPr>
              <w:spacing w:after="0" w:before="0" w:line="240" w:lineRule="auto"/>
            </w:pPr>
            <w:r/>
            <w:r>
              <w:rPr>
                <w:rFonts w:ascii="Aptos" w:hAnsi="Aptos"/>
                <w:b/>
                <w:color w:val="111827"/>
                <w:sz w:val="11"/>
              </w:rPr>
              <w:t>Premium apparel/accessory ($500)</w:t>
            </w:r>
          </w:p>
        </w:tc>
        <w:tc>
          <w:tcPr>
            <w:tcW w:type="dxa" w:w="1584"/>
            <w:vAlign w:val="center"/>
          </w:tcPr>
          <w:p>
            <w:pPr>
              <w:spacing w:after="0" w:before="0" w:line="240" w:lineRule="auto"/>
            </w:pPr>
            <w:r/>
            <w:r>
              <w:rPr>
                <w:rFonts w:ascii="Aptos" w:hAnsi="Aptos"/>
                <w:b w:val="0"/>
                <w:color w:val="111827"/>
                <w:sz w:val="11"/>
              </w:rPr>
              <w:t>Incomplete</w:t>
            </w:r>
          </w:p>
        </w:tc>
        <w:tc>
          <w:tcPr>
            <w:tcW w:type="dxa" w:w="576"/>
            <w:vAlign w:val="center"/>
          </w:tcPr>
          <w:p>
            <w:pPr>
              <w:spacing w:after="0" w:before="0" w:line="240" w:lineRule="auto"/>
            </w:pPr>
            <w:r/>
            <w:r>
              <w:rPr>
                <w:rFonts w:ascii="Aptos" w:hAnsi="Aptos"/>
                <w:b w:val="0"/>
                <w:color w:val="111827"/>
                <w:sz w:val="11"/>
              </w:rPr>
              <w:t>8.0%</w:t>
            </w:r>
          </w:p>
        </w:tc>
        <w:tc>
          <w:tcPr>
            <w:tcW w:type="dxa" w:w="1512"/>
            <w:vAlign w:val="center"/>
          </w:tcPr>
          <w:p>
            <w:pPr>
              <w:spacing w:after="0" w:before="0" w:line="240" w:lineRule="auto"/>
            </w:pPr>
            <w:r/>
            <w:r>
              <w:rPr>
                <w:rFonts w:ascii="Aptos" w:hAnsi="Aptos"/>
                <w:b w:val="0"/>
                <w:color w:val="111827"/>
                <w:sz w:val="11"/>
              </w:rPr>
              <w:t>Outlet/off-price</w:t>
            </w:r>
          </w:p>
        </w:tc>
        <w:tc>
          <w:tcPr>
            <w:tcW w:type="dxa" w:w="864"/>
            <w:vAlign w:val="center"/>
          </w:tcPr>
          <w:p>
            <w:pPr>
              <w:spacing w:after="0" w:before="0" w:line="240" w:lineRule="auto"/>
            </w:pPr>
            <w:r/>
            <w:r>
              <w:rPr>
                <w:rFonts w:ascii="Aptos" w:hAnsi="Aptos"/>
                <w:b w:val="0"/>
                <w:color w:val="111827"/>
                <w:sz w:val="11"/>
              </w:rPr>
              <w:t>$106.60</w:t>
            </w:r>
          </w:p>
        </w:tc>
        <w:tc>
          <w:tcPr>
            <w:tcW w:type="dxa" w:w="648"/>
            <w:vAlign w:val="center"/>
          </w:tcPr>
          <w:p>
            <w:pPr>
              <w:spacing w:after="0" w:before="0" w:line="240" w:lineRule="auto"/>
            </w:pPr>
            <w:r/>
            <w:r>
              <w:rPr>
                <w:rFonts w:ascii="Aptos" w:hAnsi="Aptos"/>
                <w:b w:val="0"/>
                <w:color w:val="111827"/>
                <w:sz w:val="11"/>
              </w:rPr>
              <w:t>$12.00</w:t>
            </w:r>
          </w:p>
        </w:tc>
        <w:tc>
          <w:tcPr>
            <w:tcW w:type="dxa" w:w="576"/>
            <w:vAlign w:val="center"/>
          </w:tcPr>
          <w:p>
            <w:pPr>
              <w:spacing w:after="0" w:before="0" w:line="240" w:lineRule="auto"/>
            </w:pPr>
            <w:r/>
            <w:r>
              <w:rPr>
                <w:rFonts w:ascii="Aptos" w:hAnsi="Aptos"/>
                <w:b w:val="0"/>
                <w:color w:val="111827"/>
                <w:sz w:val="11"/>
              </w:rPr>
              <w:t>$0.88</w:t>
            </w:r>
          </w:p>
        </w:tc>
        <w:tc>
          <w:tcPr>
            <w:tcW w:type="dxa" w:w="648"/>
            <w:vAlign w:val="center"/>
          </w:tcPr>
          <w:p>
            <w:pPr>
              <w:spacing w:after="0" w:before="0" w:line="240" w:lineRule="auto"/>
            </w:pPr>
            <w:r/>
            <w:r>
              <w:rPr>
                <w:rFonts w:ascii="Aptos" w:hAnsi="Aptos"/>
                <w:b w:val="0"/>
                <w:color w:val="111827"/>
                <w:sz w:val="11"/>
              </w:rPr>
              <w:t>$5.33</w:t>
            </w:r>
          </w:p>
        </w:tc>
        <w:tc>
          <w:tcPr>
            <w:tcW w:type="dxa" w:w="648"/>
            <w:vAlign w:val="center"/>
          </w:tcPr>
          <w:p>
            <w:pPr>
              <w:spacing w:after="0" w:before="0" w:line="240" w:lineRule="auto"/>
            </w:pPr>
            <w:r/>
            <w:r>
              <w:rPr>
                <w:rFonts w:ascii="Aptos" w:hAnsi="Aptos"/>
                <w:b w:val="0"/>
                <w:color w:val="111827"/>
                <w:sz w:val="11"/>
              </w:rPr>
              <w:t>$3.00</w:t>
            </w:r>
          </w:p>
        </w:tc>
        <w:tc>
          <w:tcPr>
            <w:tcW w:type="dxa" w:w="576"/>
            <w:vAlign w:val="center"/>
          </w:tcPr>
          <w:p>
            <w:pPr>
              <w:spacing w:after="0" w:before="0" w:line="240" w:lineRule="auto"/>
            </w:pPr>
            <w:r/>
            <w:r>
              <w:rPr>
                <w:rFonts w:ascii="Aptos" w:hAnsi="Aptos"/>
                <w:b w:val="0"/>
                <w:color w:val="111827"/>
                <w:sz w:val="11"/>
              </w:rPr>
              <w:t>$0.00</w:t>
            </w:r>
          </w:p>
        </w:tc>
        <w:tc>
          <w:tcPr>
            <w:tcW w:type="dxa" w:w="576"/>
            <w:vAlign w:val="center"/>
          </w:tcPr>
          <w:p>
            <w:pPr>
              <w:spacing w:after="0" w:before="0" w:line="240" w:lineRule="auto"/>
            </w:pPr>
            <w:r/>
            <w:r>
              <w:rPr>
                <w:rFonts w:ascii="Aptos" w:hAnsi="Aptos"/>
                <w:b w:val="0"/>
                <w:color w:val="111827"/>
                <w:sz w:val="11"/>
              </w:rPr>
              <w:t>35</w:t>
            </w:r>
          </w:p>
        </w:tc>
        <w:tc>
          <w:tcPr>
            <w:tcW w:type="dxa" w:w="792"/>
            <w:vAlign w:val="center"/>
          </w:tcPr>
          <w:p>
            <w:pPr>
              <w:spacing w:after="0" w:before="0" w:line="240" w:lineRule="auto"/>
            </w:pPr>
            <w:r/>
            <w:r>
              <w:rPr>
                <w:rFonts w:ascii="Aptos" w:hAnsi="Aptos"/>
                <w:b w:val="0"/>
                <w:color w:val="111827"/>
                <w:sz w:val="11"/>
              </w:rPr>
              <w:t>$84.48</w:t>
            </w:r>
          </w:p>
        </w:tc>
        <w:tc>
          <w:tcPr>
            <w:tcW w:type="dxa" w:w="792"/>
            <w:vAlign w:val="center"/>
          </w:tcPr>
          <w:p>
            <w:pPr>
              <w:spacing w:after="0" w:before="0" w:line="240" w:lineRule="auto"/>
            </w:pPr>
            <w:r/>
            <w:r>
              <w:rPr>
                <w:rFonts w:ascii="Aptos" w:hAnsi="Aptos"/>
                <w:b w:val="0"/>
                <w:color w:val="111827"/>
                <w:sz w:val="11"/>
              </w:rPr>
              <w:t>$6.76</w:t>
            </w:r>
          </w:p>
        </w:tc>
      </w:tr>
      <w:tr>
        <w:tc>
          <w:tcPr>
            <w:tcW w:type="dxa" w:w="2088"/>
            <w:vAlign w:val="center"/>
            <w:shd w:fill="F5F7FA"/>
          </w:tcPr>
          <w:p>
            <w:pPr>
              <w:spacing w:after="0" w:before="0" w:line="240" w:lineRule="auto"/>
            </w:pPr>
            <w:r/>
            <w:r>
              <w:rPr>
                <w:rFonts w:ascii="Aptos" w:hAnsi="Aptos"/>
                <w:b/>
                <w:color w:val="111827"/>
                <w:sz w:val="11"/>
              </w:rPr>
              <w:t>Premium apparel/accessory ($500)</w:t>
            </w:r>
          </w:p>
        </w:tc>
        <w:tc>
          <w:tcPr>
            <w:tcW w:type="dxa" w:w="1584"/>
            <w:vAlign w:val="center"/>
            <w:shd w:fill="F5F7FA"/>
          </w:tcPr>
          <w:p>
            <w:pPr>
              <w:spacing w:after="0" w:before="0" w:line="240" w:lineRule="auto"/>
            </w:pPr>
            <w:r/>
            <w:r>
              <w:rPr>
                <w:rFonts w:ascii="Aptos" w:hAnsi="Aptos"/>
                <w:b w:val="0"/>
                <w:color w:val="111827"/>
                <w:sz w:val="11"/>
              </w:rPr>
              <w:t>Counterfeit or substituted</w:t>
            </w:r>
          </w:p>
        </w:tc>
        <w:tc>
          <w:tcPr>
            <w:tcW w:type="dxa" w:w="576"/>
            <w:vAlign w:val="center"/>
            <w:shd w:fill="F5F7FA"/>
          </w:tcPr>
          <w:p>
            <w:pPr>
              <w:spacing w:after="0" w:before="0" w:line="240" w:lineRule="auto"/>
            </w:pPr>
            <w:r/>
            <w:r>
              <w:rPr>
                <w:rFonts w:ascii="Aptos" w:hAnsi="Aptos"/>
                <w:b w:val="0"/>
                <w:color w:val="111827"/>
                <w:sz w:val="11"/>
              </w:rPr>
              <w:t>7.0%</w:t>
            </w:r>
          </w:p>
        </w:tc>
        <w:tc>
          <w:tcPr>
            <w:tcW w:type="dxa" w:w="1512"/>
            <w:vAlign w:val="center"/>
            <w:shd w:fill="F5F7FA"/>
          </w:tcPr>
          <w:p>
            <w:pPr>
              <w:spacing w:after="0" w:before="0" w:line="240" w:lineRule="auto"/>
            </w:pPr>
            <w:r/>
            <w:r>
              <w:rPr>
                <w:rFonts w:ascii="Aptos" w:hAnsi="Aptos"/>
                <w:b w:val="0"/>
                <w:color w:val="111827"/>
                <w:sz w:val="11"/>
              </w:rPr>
              <w:t>Fraudulent/missing</w:t>
            </w:r>
          </w:p>
        </w:tc>
        <w:tc>
          <w:tcPr>
            <w:tcW w:type="dxa" w:w="864"/>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$0.50</w:t>
            </w:r>
          </w:p>
        </w:tc>
        <w:tc>
          <w:tcPr>
            <w:tcW w:type="dxa" w:w="648"/>
            <w:vAlign w:val="center"/>
            <w:shd w:fill="F5F7FA"/>
          </w:tcPr>
          <w:p>
            <w:pPr>
              <w:spacing w:after="0" w:before="0" w:line="240" w:lineRule="auto"/>
            </w:pPr>
            <w:r/>
            <w:r>
              <w:rPr>
                <w:rFonts w:ascii="Aptos" w:hAnsi="Aptos"/>
                <w:b w:val="0"/>
                <w:color w:val="111827"/>
                <w:sz w:val="11"/>
              </w:rPr>
              <w:t>$0.00</w:t>
            </w:r>
          </w:p>
        </w:tc>
        <w:tc>
          <w:tcPr>
            <w:tcW w:type="dxa" w:w="648"/>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$0.00</w:t>
            </w:r>
          </w:p>
        </w:tc>
        <w:tc>
          <w:tcPr>
            <w:tcW w:type="dxa" w:w="576"/>
            <w:vAlign w:val="center"/>
            <w:shd w:fill="F5F7FA"/>
          </w:tcPr>
          <w:p>
            <w:pPr>
              <w:spacing w:after="0" w:before="0" w:line="240" w:lineRule="auto"/>
            </w:pPr>
            <w:r/>
            <w:r>
              <w:rPr>
                <w:rFonts w:ascii="Aptos" w:hAnsi="Aptos"/>
                <w:b w:val="0"/>
                <w:color w:val="111827"/>
                <w:sz w:val="11"/>
              </w:rPr>
              <w:t>20</w:t>
            </w:r>
          </w:p>
        </w:tc>
        <w:tc>
          <w:tcPr>
            <w:tcW w:type="dxa" w:w="792"/>
            <w:vAlign w:val="center"/>
            <w:shd w:fill="F5F7FA"/>
          </w:tcPr>
          <w:p>
            <w:pPr>
              <w:spacing w:after="0" w:before="0" w:line="240" w:lineRule="auto"/>
            </w:pPr>
            <w:r/>
            <w:r>
              <w:rPr>
                <w:rFonts w:ascii="Aptos" w:hAnsi="Aptos"/>
                <w:b w:val="0"/>
                <w:color w:val="111827"/>
                <w:sz w:val="11"/>
              </w:rPr>
              <w:t>$-0.50</w:t>
            </w:r>
          </w:p>
        </w:tc>
        <w:tc>
          <w:tcPr>
            <w:tcW w:type="dxa" w:w="792"/>
            <w:vAlign w:val="center"/>
            <w:shd w:fill="F5F7FA"/>
          </w:tcPr>
          <w:p>
            <w:pPr>
              <w:spacing w:after="0" w:before="0" w:line="240" w:lineRule="auto"/>
            </w:pPr>
            <w:r/>
            <w:r>
              <w:rPr>
                <w:rFonts w:ascii="Aptos" w:hAnsi="Aptos"/>
                <w:b w:val="0"/>
                <w:color w:val="111827"/>
                <w:sz w:val="11"/>
              </w:rPr>
              <w:t>$-0.03</w:t>
            </w:r>
          </w:p>
        </w:tc>
      </w:tr>
      <w:tr>
        <w:tc>
          <w:tcPr>
            <w:tcW w:type="dxa" w:w="2088"/>
            <w:vAlign w:val="center"/>
          </w:tcPr>
          <w:p>
            <w:pPr>
              <w:spacing w:after="0" w:before="0" w:line="240" w:lineRule="auto"/>
            </w:pPr>
            <w:r/>
            <w:r>
              <w:rPr>
                <w:rFonts w:ascii="Aptos" w:hAnsi="Aptos"/>
                <w:b/>
                <w:color w:val="111827"/>
                <w:sz w:val="11"/>
              </w:rPr>
              <w:t>Premium apparel/accessory ($500)</w:t>
            </w:r>
          </w:p>
        </w:tc>
        <w:tc>
          <w:tcPr>
            <w:tcW w:type="dxa" w:w="1584"/>
            <w:vAlign w:val="center"/>
          </w:tcPr>
          <w:p>
            <w:pPr>
              <w:spacing w:after="0" w:before="0" w:line="240" w:lineRule="auto"/>
            </w:pPr>
            <w:r/>
            <w:r>
              <w:rPr>
                <w:rFonts w:ascii="Aptos" w:hAnsi="Aptos"/>
                <w:b w:val="0"/>
                <w:color w:val="111827"/>
                <w:sz w:val="11"/>
              </w:rPr>
              <w:t>Unsellable</w:t>
            </w:r>
          </w:p>
        </w:tc>
        <w:tc>
          <w:tcPr>
            <w:tcW w:type="dxa" w:w="576"/>
            <w:vAlign w:val="center"/>
          </w:tcPr>
          <w:p>
            <w:pPr>
              <w:spacing w:after="0" w:before="0" w:line="240" w:lineRule="auto"/>
            </w:pPr>
            <w:r/>
            <w:r>
              <w:rPr>
                <w:rFonts w:ascii="Aptos" w:hAnsi="Aptos"/>
                <w:b w:val="0"/>
                <w:color w:val="111827"/>
                <w:sz w:val="11"/>
              </w:rPr>
              <w:t>9.0%</w:t>
            </w:r>
          </w:p>
        </w:tc>
        <w:tc>
          <w:tcPr>
            <w:tcW w:type="dxa" w:w="1512"/>
            <w:vAlign w:val="center"/>
          </w:tcPr>
          <w:p>
            <w:pPr>
              <w:spacing w:after="0" w:before="0" w:line="240" w:lineRule="auto"/>
            </w:pPr>
            <w:r/>
            <w:r>
              <w:rPr>
                <w:rFonts w:ascii="Aptos" w:hAnsi="Aptos"/>
                <w:b w:val="0"/>
                <w:color w:val="111827"/>
                <w:sz w:val="11"/>
              </w:rPr>
              <w:t>Recycling/scrap</w:t>
            </w:r>
          </w:p>
        </w:tc>
        <w:tc>
          <w:tcPr>
            <w:tcW w:type="dxa" w:w="864"/>
            <w:vAlign w:val="center"/>
          </w:tcPr>
          <w:p>
            <w:pPr>
              <w:spacing w:after="0" w:before="0" w:line="240" w:lineRule="auto"/>
            </w:pPr>
            <w:r/>
            <w:r>
              <w:rPr>
                <w:rFonts w:ascii="Aptos" w:hAnsi="Aptos"/>
                <w:b w:val="0"/>
                <w:color w:val="111827"/>
                <w:sz w:val="11"/>
              </w:rPr>
              <w:t>$9.83</w:t>
            </w:r>
          </w:p>
        </w:tc>
        <w:tc>
          <w:tcPr>
            <w:tcW w:type="dxa" w:w="648"/>
            <w:vAlign w:val="center"/>
          </w:tcPr>
          <w:p>
            <w:pPr>
              <w:spacing w:after="0" w:before="0" w:line="240" w:lineRule="auto"/>
            </w:pPr>
            <w:r/>
            <w:r>
              <w:rPr>
                <w:rFonts w:ascii="Aptos" w:hAnsi="Aptos"/>
                <w:b w:val="0"/>
                <w:color w:val="111827"/>
                <w:sz w:val="11"/>
              </w:rPr>
              <w:t>$1.00</w:t>
            </w:r>
          </w:p>
        </w:tc>
        <w:tc>
          <w:tcPr>
            <w:tcW w:type="dxa" w:w="576"/>
            <w:vAlign w:val="center"/>
          </w:tcPr>
          <w:p>
            <w:pPr>
              <w:spacing w:after="0" w:before="0" w:line="240" w:lineRule="auto"/>
            </w:pPr>
            <w:r/>
            <w:r>
              <w:rPr>
                <w:rFonts w:ascii="Aptos" w:hAnsi="Aptos"/>
                <w:b w:val="0"/>
                <w:color w:val="111827"/>
                <w:sz w:val="11"/>
              </w:rPr>
              <w:t>$0.88</w:t>
            </w:r>
          </w:p>
        </w:tc>
        <w:tc>
          <w:tcPr>
            <w:tcW w:type="dxa" w:w="648"/>
            <w:vAlign w:val="center"/>
          </w:tcPr>
          <w:p>
            <w:pPr>
              <w:spacing w:after="0" w:before="0" w:line="240" w:lineRule="auto"/>
            </w:pPr>
            <w:r/>
            <w:r>
              <w:rPr>
                <w:rFonts w:ascii="Aptos" w:hAnsi="Aptos"/>
                <w:b w:val="0"/>
                <w:color w:val="111827"/>
                <w:sz w:val="11"/>
              </w:rPr>
              <w:t>$0.00</w:t>
            </w:r>
          </w:p>
        </w:tc>
        <w:tc>
          <w:tcPr>
            <w:tcW w:type="dxa" w:w="648"/>
            <w:vAlign w:val="center"/>
          </w:tcPr>
          <w:p>
            <w:pPr>
              <w:spacing w:after="0" w:before="0" w:line="240" w:lineRule="auto"/>
            </w:pPr>
            <w:r/>
            <w:r>
              <w:rPr>
                <w:rFonts w:ascii="Aptos" w:hAnsi="Aptos"/>
                <w:b w:val="0"/>
                <w:color w:val="111827"/>
                <w:sz w:val="11"/>
              </w:rPr>
              <w:t>$2.40</w:t>
            </w:r>
          </w:p>
        </w:tc>
        <w:tc>
          <w:tcPr>
            <w:tcW w:type="dxa" w:w="576"/>
            <w:vAlign w:val="center"/>
          </w:tcPr>
          <w:p>
            <w:pPr>
              <w:spacing w:after="0" w:before="0" w:line="240" w:lineRule="auto"/>
            </w:pPr>
            <w:r/>
            <w:r>
              <w:rPr>
                <w:rFonts w:ascii="Aptos" w:hAnsi="Aptos"/>
                <w:b w:val="0"/>
                <w:color w:val="111827"/>
                <w:sz w:val="11"/>
              </w:rPr>
              <w:t>$1.00</w:t>
            </w:r>
          </w:p>
        </w:tc>
        <w:tc>
          <w:tcPr>
            <w:tcW w:type="dxa" w:w="576"/>
            <w:vAlign w:val="center"/>
          </w:tcPr>
          <w:p>
            <w:pPr>
              <w:spacing w:after="0" w:before="0" w:line="240" w:lineRule="auto"/>
            </w:pPr>
            <w:r/>
            <w:r>
              <w:rPr>
                <w:rFonts w:ascii="Aptos" w:hAnsi="Aptos"/>
                <w:b w:val="0"/>
                <w:color w:val="111827"/>
                <w:sz w:val="11"/>
              </w:rPr>
              <w:t>35</w:t>
            </w:r>
          </w:p>
        </w:tc>
        <w:tc>
          <w:tcPr>
            <w:tcW w:type="dxa" w:w="792"/>
            <w:vAlign w:val="center"/>
          </w:tcPr>
          <w:p>
            <w:pPr>
              <w:spacing w:after="0" w:before="0" w:line="240" w:lineRule="auto"/>
            </w:pPr>
            <w:r/>
            <w:r>
              <w:rPr>
                <w:rFonts w:ascii="Aptos" w:hAnsi="Aptos"/>
                <w:b w:val="0"/>
                <w:color w:val="111827"/>
                <w:sz w:val="11"/>
              </w:rPr>
              <w:t>$4.50</w:t>
            </w:r>
          </w:p>
        </w:tc>
        <w:tc>
          <w:tcPr>
            <w:tcW w:type="dxa" w:w="792"/>
            <w:vAlign w:val="center"/>
          </w:tcPr>
          <w:p>
            <w:pPr>
              <w:spacing w:after="0" w:before="0" w:line="240" w:lineRule="auto"/>
            </w:pPr>
            <w:r/>
            <w:r>
              <w:rPr>
                <w:rFonts w:ascii="Aptos" w:hAnsi="Aptos"/>
                <w:b w:val="0"/>
                <w:color w:val="111827"/>
                <w:sz w:val="11"/>
              </w:rPr>
              <w:t>$0.41</w:t>
            </w:r>
          </w:p>
        </w:tc>
      </w:tr>
    </w:tbl>
    <w:p>
      <w:pPr>
        <w:spacing w:after="0"/>
      </w:pPr>
    </w:p>
    <w:p>
      <w:pPr>
        <w:pStyle w:val="Caption"/>
        <w:jc w:val="left"/>
      </w:pPr>
      <w:r>
        <w:rPr>
          <w:b/>
        </w:rPr>
        <w:t>Appendix Table A2. Base condition engine</w:t>
      </w:r>
      <w:r>
        <w:rPr>
          <w:i/>
          <w:color w:val="6B7280"/>
        </w:rPr>
        <w:t xml:space="preserve">  Source: Full eligible-route matrix for low/base/high scenarios is in the spreadsheet.</w:t>
      </w:r>
    </w:p>
    <w:p>
      <w:pPr>
        <w:pStyle w:val="Heading2"/>
      </w:pPr>
      <w:r>
        <w:t>Logistics scenarios</w:t>
      </w:r>
    </w:p>
    <w:tbl>
      <w:tblPr>
        <w:tblStyle w:val="TableGrid"/>
        <w:tblW w:type="auto" w:w="0"/>
        <w:jc w:val="center"/>
        <w:tblLayout w:type="fixed"/>
        <w:tblLook w:firstColumn="1" w:firstRow="1" w:lastColumn="0" w:lastRow="0" w:noHBand="0" w:noVBand="1" w:val="04A0"/>
      </w:tblPr>
      <w:tblGrid>
        <w:gridCol w:w="1782"/>
        <w:gridCol w:w="1782"/>
        <w:gridCol w:w="1782"/>
        <w:gridCol w:w="1782"/>
        <w:gridCol w:w="1782"/>
        <w:gridCol w:w="1782"/>
        <w:gridCol w:w="1782"/>
        <w:gridCol w:w="1782"/>
      </w:tblGrid>
      <w:tr>
        <w:trPr>
          <w:tblHeader w:val="true"/>
        </w:trPr>
        <w:tc>
          <w:tcPr>
            <w:tcW w:type="dxa" w:w="2232"/>
            <w:vAlign w:val="center"/>
            <w:shd w:fill="17324D"/>
            <w:tcBorders>
              <w:bottom w:val="single" w:sz="8" w:color="FFFFFF"/>
            </w:tcBorders>
          </w:tcPr>
          <w:p>
            <w:pPr>
              <w:spacing w:after="0" w:before="0" w:line="240" w:lineRule="auto"/>
              <w:jc w:val="left"/>
            </w:pPr>
            <w:r/>
            <w:r>
              <w:rPr>
                <w:rFonts w:ascii="Aptos" w:hAnsi="Aptos"/>
                <w:b/>
                <w:color w:val="FFFFFF"/>
                <w:sz w:val="12"/>
              </w:rPr>
              <w:t>Product</w:t>
            </w:r>
          </w:p>
        </w:tc>
        <w:tc>
          <w:tcPr>
            <w:tcW w:type="dxa" w:w="2232"/>
            <w:vAlign w:val="center"/>
            <w:shd w:fill="17324D"/>
            <w:tcBorders>
              <w:bottom w:val="single" w:sz="8" w:color="FFFFFF"/>
            </w:tcBorders>
          </w:tcPr>
          <w:p>
            <w:pPr>
              <w:spacing w:after="0" w:before="0" w:line="240" w:lineRule="auto"/>
              <w:jc w:val="left"/>
            </w:pPr>
            <w:r/>
            <w:r>
              <w:rPr>
                <w:rFonts w:ascii="Aptos" w:hAnsi="Aptos"/>
                <w:b/>
                <w:color w:val="FFFFFF"/>
                <w:sz w:val="12"/>
              </w:rPr>
              <w:t>Logistics scenario</w:t>
            </w:r>
          </w:p>
        </w:tc>
        <w:tc>
          <w:tcPr>
            <w:tcW w:type="dxa" w:w="1080"/>
            <w:vAlign w:val="center"/>
            <w:shd w:fill="17324D"/>
            <w:tcBorders>
              <w:bottom w:val="single" w:sz="8" w:color="FFFFFF"/>
            </w:tcBorders>
          </w:tcPr>
          <w:p>
            <w:pPr>
              <w:spacing w:after="0" w:before="0" w:line="240" w:lineRule="auto"/>
              <w:jc w:val="left"/>
            </w:pPr>
            <w:r/>
            <w:r>
              <w:rPr>
                <w:rFonts w:ascii="Aptos" w:hAnsi="Aptos"/>
                <w:b/>
                <w:color w:val="FFFFFF"/>
                <w:sz w:val="12"/>
              </w:rPr>
              <w:t>Reverse freight</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2"/>
              </w:rPr>
              <w:t>E recovery</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2"/>
              </w:rPr>
              <w:t>Inspection</w:t>
            </w:r>
          </w:p>
        </w:tc>
        <w:tc>
          <w:tcPr>
            <w:tcW w:type="dxa" w:w="1080"/>
            <w:vAlign w:val="center"/>
            <w:shd w:fill="17324D"/>
            <w:tcBorders>
              <w:bottom w:val="single" w:sz="8" w:color="FFFFFF"/>
            </w:tcBorders>
          </w:tcPr>
          <w:p>
            <w:pPr>
              <w:spacing w:after="0" w:before="0" w:line="240" w:lineRule="auto"/>
              <w:jc w:val="left"/>
            </w:pPr>
            <w:r/>
            <w:r>
              <w:rPr>
                <w:rFonts w:ascii="Aptos" w:hAnsi="Aptos"/>
                <w:b/>
                <w:color w:val="FFFFFF"/>
                <w:sz w:val="12"/>
              </w:rPr>
              <w:t>Retrieve value</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2"/>
              </w:rPr>
              <w:t>Return tax</w:t>
            </w:r>
          </w:p>
        </w:tc>
        <w:tc>
          <w:tcPr>
            <w:tcW w:type="dxa" w:w="720"/>
            <w:vAlign w:val="center"/>
            <w:shd w:fill="17324D"/>
            <w:tcBorders>
              <w:bottom w:val="single" w:sz="8" w:color="FFFFFF"/>
            </w:tcBorders>
          </w:tcPr>
          <w:p>
            <w:pPr>
              <w:spacing w:after="0" w:before="0" w:line="240" w:lineRule="auto"/>
              <w:jc w:val="left"/>
            </w:pPr>
            <w:r/>
            <w:r>
              <w:rPr>
                <w:rFonts w:ascii="Aptos" w:hAnsi="Aptos"/>
                <w:b/>
                <w:color w:val="FFFFFF"/>
                <w:sz w:val="12"/>
              </w:rPr>
              <w:t>Retrieve?</w:t>
            </w:r>
          </w:p>
        </w:tc>
      </w:tr>
      <w:tr>
        <w:tc>
          <w:tcPr>
            <w:tcW w:type="dxa" w:w="2232"/>
            <w:vAlign w:val="center"/>
          </w:tcPr>
          <w:p>
            <w:pPr>
              <w:spacing w:after="0" w:before="0" w:line="240" w:lineRule="auto"/>
            </w:pPr>
            <w:r/>
            <w:r>
              <w:rPr>
                <w:rFonts w:ascii="Aptos" w:hAnsi="Aptos"/>
                <w:b/>
                <w:color w:val="111827"/>
                <w:sz w:val="12"/>
              </w:rPr>
              <w:t>Basic clothing item ($20)</w:t>
            </w:r>
          </w:p>
        </w:tc>
        <w:tc>
          <w:tcPr>
            <w:tcW w:type="dxa" w:w="2232"/>
            <w:vAlign w:val="center"/>
          </w:tcPr>
          <w:p>
            <w:pPr>
              <w:spacing w:after="0" w:before="0" w:line="240" w:lineRule="auto"/>
            </w:pPr>
            <w:r/>
            <w:r>
              <w:rPr>
                <w:rFonts w:ascii="Aptos" w:hAnsi="Aptos"/>
                <w:b w:val="0"/>
                <w:color w:val="111827"/>
                <w:sz w:val="12"/>
              </w:rPr>
              <w:t>Store return</w:t>
            </w:r>
          </w:p>
        </w:tc>
        <w:tc>
          <w:tcPr>
            <w:tcW w:type="dxa" w:w="1080"/>
            <w:vAlign w:val="center"/>
          </w:tcPr>
          <w:p>
            <w:pPr>
              <w:spacing w:after="0" w:before="0" w:line="240" w:lineRule="auto"/>
            </w:pPr>
            <w:r/>
            <w:r>
              <w:rPr>
                <w:rFonts w:ascii="Aptos" w:hAnsi="Aptos"/>
                <w:b w:val="0"/>
                <w:color w:val="111827"/>
                <w:sz w:val="12"/>
              </w:rPr>
              <w:t>$1.25</w:t>
            </w:r>
          </w:p>
        </w:tc>
        <w:tc>
          <w:tcPr>
            <w:tcW w:type="dxa" w:w="1008"/>
            <w:vAlign w:val="center"/>
          </w:tcPr>
          <w:p>
            <w:pPr>
              <w:spacing w:after="0" w:before="0" w:line="240" w:lineRule="auto"/>
            </w:pPr>
            <w:r/>
            <w:r>
              <w:rPr>
                <w:rFonts w:ascii="Aptos" w:hAnsi="Aptos"/>
                <w:b w:val="0"/>
                <w:color w:val="111827"/>
                <w:sz w:val="12"/>
              </w:rPr>
              <w:t>$6.90</w:t>
            </w:r>
          </w:p>
        </w:tc>
        <w:tc>
          <w:tcPr>
            <w:tcW w:type="dxa" w:w="936"/>
            <w:vAlign w:val="center"/>
          </w:tcPr>
          <w:p>
            <w:pPr>
              <w:spacing w:after="0" w:before="0" w:line="240" w:lineRule="auto"/>
            </w:pPr>
            <w:r/>
            <w:r>
              <w:rPr>
                <w:rFonts w:ascii="Aptos" w:hAnsi="Aptos"/>
                <w:b w:val="0"/>
                <w:color w:val="111827"/>
                <w:sz w:val="12"/>
              </w:rPr>
              <w:t>$1.17</w:t>
            </w:r>
          </w:p>
        </w:tc>
        <w:tc>
          <w:tcPr>
            <w:tcW w:type="dxa" w:w="1080"/>
            <w:vAlign w:val="center"/>
          </w:tcPr>
          <w:p>
            <w:pPr>
              <w:spacing w:after="0" w:before="0" w:line="240" w:lineRule="auto"/>
            </w:pPr>
            <w:r/>
            <w:r>
              <w:rPr>
                <w:rFonts w:ascii="Aptos" w:hAnsi="Aptos"/>
                <w:b w:val="0"/>
                <w:color w:val="111827"/>
                <w:sz w:val="12"/>
              </w:rPr>
              <w:t>$4.48</w:t>
            </w:r>
          </w:p>
        </w:tc>
        <w:tc>
          <w:tcPr>
            <w:tcW w:type="dxa" w:w="1008"/>
            <w:vAlign w:val="center"/>
          </w:tcPr>
          <w:p>
            <w:pPr>
              <w:spacing w:after="0" w:before="0" w:line="240" w:lineRule="auto"/>
            </w:pPr>
            <w:r/>
            <w:r>
              <w:rPr>
                <w:rFonts w:ascii="Aptos" w:hAnsi="Aptos"/>
                <w:b w:val="0"/>
                <w:color w:val="111827"/>
                <w:sz w:val="12"/>
              </w:rPr>
              <w:t>$15.60</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Basic clothing item ($20)</w:t>
            </w:r>
          </w:p>
        </w:tc>
        <w:tc>
          <w:tcPr>
            <w:tcW w:type="dxa" w:w="2232"/>
            <w:vAlign w:val="center"/>
            <w:shd w:fill="F5F7FA"/>
          </w:tcPr>
          <w:p>
            <w:pPr>
              <w:spacing w:after="0" w:before="0" w:line="240" w:lineRule="auto"/>
            </w:pPr>
            <w:r/>
            <w:r>
              <w:rPr>
                <w:rFonts w:ascii="Aptos" w:hAnsi="Aptos"/>
                <w:b w:val="0"/>
                <w:color w:val="111827"/>
                <w:sz w:val="12"/>
              </w:rPr>
              <w:t>Nearby drop-off + consolidation</w:t>
            </w:r>
          </w:p>
        </w:tc>
        <w:tc>
          <w:tcPr>
            <w:tcW w:type="dxa" w:w="1080"/>
            <w:vAlign w:val="center"/>
            <w:shd w:fill="F5F7FA"/>
          </w:tcPr>
          <w:p>
            <w:pPr>
              <w:spacing w:after="0" w:before="0" w:line="240" w:lineRule="auto"/>
            </w:pPr>
            <w:r/>
            <w:r>
              <w:rPr>
                <w:rFonts w:ascii="Aptos" w:hAnsi="Aptos"/>
                <w:b w:val="0"/>
                <w:color w:val="111827"/>
                <w:sz w:val="12"/>
              </w:rPr>
              <w:t>$3.00</w:t>
            </w:r>
          </w:p>
        </w:tc>
        <w:tc>
          <w:tcPr>
            <w:tcW w:type="dxa" w:w="1008"/>
            <w:vAlign w:val="center"/>
            <w:shd w:fill="F5F7FA"/>
          </w:tcPr>
          <w:p>
            <w:pPr>
              <w:spacing w:after="0" w:before="0" w:line="240" w:lineRule="auto"/>
            </w:pPr>
            <w:r/>
            <w:r>
              <w:rPr>
                <w:rFonts w:ascii="Aptos" w:hAnsi="Aptos"/>
                <w:b w:val="0"/>
                <w:color w:val="111827"/>
                <w:sz w:val="12"/>
              </w:rPr>
              <w:t>$6.90</w:t>
            </w:r>
          </w:p>
        </w:tc>
        <w:tc>
          <w:tcPr>
            <w:tcW w:type="dxa" w:w="936"/>
            <w:vAlign w:val="center"/>
            <w:shd w:fill="F5F7FA"/>
          </w:tcPr>
          <w:p>
            <w:pPr>
              <w:spacing w:after="0" w:before="0" w:line="240" w:lineRule="auto"/>
            </w:pPr>
            <w:r/>
            <w:r>
              <w:rPr>
                <w:rFonts w:ascii="Aptos" w:hAnsi="Aptos"/>
                <w:b w:val="0"/>
                <w:color w:val="111827"/>
                <w:sz w:val="12"/>
              </w:rPr>
              <w:t>$1.17</w:t>
            </w:r>
          </w:p>
        </w:tc>
        <w:tc>
          <w:tcPr>
            <w:tcW w:type="dxa" w:w="1080"/>
            <w:vAlign w:val="center"/>
            <w:shd w:fill="F5F7FA"/>
          </w:tcPr>
          <w:p>
            <w:pPr>
              <w:spacing w:after="0" w:before="0" w:line="240" w:lineRule="auto"/>
            </w:pPr>
            <w:r/>
            <w:r>
              <w:rPr>
                <w:rFonts w:ascii="Aptos" w:hAnsi="Aptos"/>
                <w:b w:val="0"/>
                <w:color w:val="111827"/>
                <w:sz w:val="12"/>
              </w:rPr>
              <w:t>$2.73</w:t>
            </w:r>
          </w:p>
        </w:tc>
        <w:tc>
          <w:tcPr>
            <w:tcW w:type="dxa" w:w="1008"/>
            <w:vAlign w:val="center"/>
            <w:shd w:fill="F5F7FA"/>
          </w:tcPr>
          <w:p>
            <w:pPr>
              <w:spacing w:after="0" w:before="0" w:line="240" w:lineRule="auto"/>
            </w:pPr>
            <w:r/>
            <w:r>
              <w:rPr>
                <w:rFonts w:ascii="Aptos" w:hAnsi="Aptos"/>
                <w:b w:val="0"/>
                <w:color w:val="111827"/>
                <w:sz w:val="12"/>
              </w:rPr>
              <w:t>$17.35</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Basic clothing item ($20)</w:t>
            </w:r>
          </w:p>
        </w:tc>
        <w:tc>
          <w:tcPr>
            <w:tcW w:type="dxa" w:w="2232"/>
            <w:vAlign w:val="center"/>
          </w:tcPr>
          <w:p>
            <w:pPr>
              <w:spacing w:after="0" w:before="0" w:line="240" w:lineRule="auto"/>
            </w:pPr>
            <w:r/>
            <w:r>
              <w:rPr>
                <w:rFonts w:ascii="Aptos" w:hAnsi="Aptos"/>
                <w:b w:val="0"/>
                <w:color w:val="111827"/>
                <w:sz w:val="12"/>
              </w:rPr>
              <w:t>Short-distance parcel</w:t>
            </w:r>
          </w:p>
        </w:tc>
        <w:tc>
          <w:tcPr>
            <w:tcW w:type="dxa" w:w="1080"/>
            <w:vAlign w:val="center"/>
          </w:tcPr>
          <w:p>
            <w:pPr>
              <w:spacing w:after="0" w:before="0" w:line="240" w:lineRule="auto"/>
            </w:pPr>
            <w:r/>
            <w:r>
              <w:rPr>
                <w:rFonts w:ascii="Aptos" w:hAnsi="Aptos"/>
                <w:b w:val="0"/>
                <w:color w:val="111827"/>
                <w:sz w:val="12"/>
              </w:rPr>
              <w:t>$5.75</w:t>
            </w:r>
          </w:p>
        </w:tc>
        <w:tc>
          <w:tcPr>
            <w:tcW w:type="dxa" w:w="1008"/>
            <w:vAlign w:val="center"/>
          </w:tcPr>
          <w:p>
            <w:pPr>
              <w:spacing w:after="0" w:before="0" w:line="240" w:lineRule="auto"/>
            </w:pPr>
            <w:r/>
            <w:r>
              <w:rPr>
                <w:rFonts w:ascii="Aptos" w:hAnsi="Aptos"/>
                <w:b w:val="0"/>
                <w:color w:val="111827"/>
                <w:sz w:val="12"/>
              </w:rPr>
              <w:t>$6.90</w:t>
            </w:r>
          </w:p>
        </w:tc>
        <w:tc>
          <w:tcPr>
            <w:tcW w:type="dxa" w:w="936"/>
            <w:vAlign w:val="center"/>
          </w:tcPr>
          <w:p>
            <w:pPr>
              <w:spacing w:after="0" w:before="0" w:line="240" w:lineRule="auto"/>
            </w:pPr>
            <w:r/>
            <w:r>
              <w:rPr>
                <w:rFonts w:ascii="Aptos" w:hAnsi="Aptos"/>
                <w:b w:val="0"/>
                <w:color w:val="111827"/>
                <w:sz w:val="12"/>
              </w:rPr>
              <w:t>$1.17</w:t>
            </w:r>
          </w:p>
        </w:tc>
        <w:tc>
          <w:tcPr>
            <w:tcW w:type="dxa" w:w="1080"/>
            <w:vAlign w:val="center"/>
          </w:tcPr>
          <w:p>
            <w:pPr>
              <w:spacing w:after="0" w:before="0" w:line="240" w:lineRule="auto"/>
            </w:pPr>
            <w:r/>
            <w:r>
              <w:rPr>
                <w:rFonts w:ascii="Aptos" w:hAnsi="Aptos"/>
                <w:b w:val="0"/>
                <w:color w:val="111827"/>
                <w:sz w:val="12"/>
              </w:rPr>
              <w:t>$-0.02</w:t>
            </w:r>
          </w:p>
        </w:tc>
        <w:tc>
          <w:tcPr>
            <w:tcW w:type="dxa" w:w="1008"/>
            <w:vAlign w:val="center"/>
          </w:tcPr>
          <w:p>
            <w:pPr>
              <w:spacing w:after="0" w:before="0" w:line="240" w:lineRule="auto"/>
            </w:pPr>
            <w:r/>
            <w:r>
              <w:rPr>
                <w:rFonts w:ascii="Aptos" w:hAnsi="Aptos"/>
                <w:b w:val="0"/>
                <w:color w:val="111827"/>
                <w:sz w:val="12"/>
              </w:rPr>
              <w:t>$20.10</w:t>
            </w:r>
          </w:p>
        </w:tc>
        <w:tc>
          <w:tcPr>
            <w:tcW w:type="dxa" w:w="720"/>
            <w:vAlign w:val="center"/>
          </w:tcPr>
          <w:p>
            <w:pPr>
              <w:spacing w:after="0" w:before="0" w:line="240" w:lineRule="auto"/>
            </w:pPr>
            <w:r/>
            <w:r>
              <w:rPr>
                <w:rFonts w:ascii="Aptos" w:hAnsi="Aptos"/>
                <w:b w:val="0"/>
                <w:color w:val="111827"/>
                <w:sz w:val="12"/>
              </w:rPr>
              <w:t>No</w:t>
            </w:r>
          </w:p>
        </w:tc>
      </w:tr>
      <w:tr>
        <w:tc>
          <w:tcPr>
            <w:tcW w:type="dxa" w:w="2232"/>
            <w:vAlign w:val="center"/>
            <w:shd w:fill="F5F7FA"/>
          </w:tcPr>
          <w:p>
            <w:pPr>
              <w:spacing w:after="0" w:before="0" w:line="240" w:lineRule="auto"/>
            </w:pPr>
            <w:r/>
            <w:r>
              <w:rPr>
                <w:rFonts w:ascii="Aptos" w:hAnsi="Aptos"/>
                <w:b/>
                <w:color w:val="111827"/>
                <w:sz w:val="12"/>
              </w:rPr>
              <w:t>Basic clothing item ($20)</w:t>
            </w:r>
          </w:p>
        </w:tc>
        <w:tc>
          <w:tcPr>
            <w:tcW w:type="dxa" w:w="2232"/>
            <w:vAlign w:val="center"/>
            <w:shd w:fill="F5F7FA"/>
          </w:tcPr>
          <w:p>
            <w:pPr>
              <w:spacing w:after="0" w:before="0" w:line="240" w:lineRule="auto"/>
            </w:pPr>
            <w:r/>
            <w:r>
              <w:rPr>
                <w:rFonts w:ascii="Aptos" w:hAnsi="Aptos"/>
                <w:b w:val="0"/>
                <w:color w:val="111827"/>
                <w:sz w:val="12"/>
              </w:rPr>
              <w:t>Long-distance parcel</w:t>
            </w:r>
          </w:p>
        </w:tc>
        <w:tc>
          <w:tcPr>
            <w:tcW w:type="dxa" w:w="1080"/>
            <w:vAlign w:val="center"/>
            <w:shd w:fill="F5F7FA"/>
          </w:tcPr>
          <w:p>
            <w:pPr>
              <w:spacing w:after="0" w:before="0" w:line="240" w:lineRule="auto"/>
            </w:pPr>
            <w:r/>
            <w:r>
              <w:rPr>
                <w:rFonts w:ascii="Aptos" w:hAnsi="Aptos"/>
                <w:b w:val="0"/>
                <w:color w:val="111827"/>
                <w:sz w:val="12"/>
              </w:rPr>
              <w:t>$8.50</w:t>
            </w:r>
          </w:p>
        </w:tc>
        <w:tc>
          <w:tcPr>
            <w:tcW w:type="dxa" w:w="1008"/>
            <w:vAlign w:val="center"/>
            <w:shd w:fill="F5F7FA"/>
          </w:tcPr>
          <w:p>
            <w:pPr>
              <w:spacing w:after="0" w:before="0" w:line="240" w:lineRule="auto"/>
            </w:pPr>
            <w:r/>
            <w:r>
              <w:rPr>
                <w:rFonts w:ascii="Aptos" w:hAnsi="Aptos"/>
                <w:b w:val="0"/>
                <w:color w:val="111827"/>
                <w:sz w:val="12"/>
              </w:rPr>
              <w:t>$6.90</w:t>
            </w:r>
          </w:p>
        </w:tc>
        <w:tc>
          <w:tcPr>
            <w:tcW w:type="dxa" w:w="936"/>
            <w:vAlign w:val="center"/>
            <w:shd w:fill="F5F7FA"/>
          </w:tcPr>
          <w:p>
            <w:pPr>
              <w:spacing w:after="0" w:before="0" w:line="240" w:lineRule="auto"/>
            </w:pPr>
            <w:r/>
            <w:r>
              <w:rPr>
                <w:rFonts w:ascii="Aptos" w:hAnsi="Aptos"/>
                <w:b w:val="0"/>
                <w:color w:val="111827"/>
                <w:sz w:val="12"/>
              </w:rPr>
              <w:t>$1.17</w:t>
            </w:r>
          </w:p>
        </w:tc>
        <w:tc>
          <w:tcPr>
            <w:tcW w:type="dxa" w:w="1080"/>
            <w:vAlign w:val="center"/>
            <w:shd w:fill="F5F7FA"/>
          </w:tcPr>
          <w:p>
            <w:pPr>
              <w:spacing w:after="0" w:before="0" w:line="240" w:lineRule="auto"/>
            </w:pPr>
            <w:r/>
            <w:r>
              <w:rPr>
                <w:rFonts w:ascii="Aptos" w:hAnsi="Aptos"/>
                <w:b w:val="0"/>
                <w:color w:val="111827"/>
                <w:sz w:val="12"/>
              </w:rPr>
              <w:t>$-2.77</w:t>
            </w:r>
          </w:p>
        </w:tc>
        <w:tc>
          <w:tcPr>
            <w:tcW w:type="dxa" w:w="1008"/>
            <w:vAlign w:val="center"/>
            <w:shd w:fill="F5F7FA"/>
          </w:tcPr>
          <w:p>
            <w:pPr>
              <w:spacing w:after="0" w:before="0" w:line="240" w:lineRule="auto"/>
            </w:pPr>
            <w:r/>
            <w:r>
              <w:rPr>
                <w:rFonts w:ascii="Aptos" w:hAnsi="Aptos"/>
                <w:b w:val="0"/>
                <w:color w:val="111827"/>
                <w:sz w:val="12"/>
              </w:rPr>
              <w:t>$22.85</w:t>
            </w:r>
          </w:p>
        </w:tc>
        <w:tc>
          <w:tcPr>
            <w:tcW w:type="dxa" w:w="720"/>
            <w:vAlign w:val="center"/>
            <w:shd w:fill="F5F7FA"/>
          </w:tcPr>
          <w:p>
            <w:pPr>
              <w:spacing w:after="0" w:before="0" w:line="240" w:lineRule="auto"/>
            </w:pPr>
            <w:r/>
            <w:r>
              <w:rPr>
                <w:rFonts w:ascii="Aptos" w:hAnsi="Aptos"/>
                <w:b w:val="0"/>
                <w:color w:val="111827"/>
                <w:sz w:val="12"/>
              </w:rPr>
              <w:t>No</w:t>
            </w:r>
          </w:p>
        </w:tc>
      </w:tr>
      <w:tr>
        <w:tc>
          <w:tcPr>
            <w:tcW w:type="dxa" w:w="2232"/>
            <w:vAlign w:val="center"/>
          </w:tcPr>
          <w:p>
            <w:pPr>
              <w:spacing w:after="0" w:before="0" w:line="240" w:lineRule="auto"/>
            </w:pPr>
            <w:r/>
            <w:r>
              <w:rPr>
                <w:rFonts w:ascii="Aptos" w:hAnsi="Aptos"/>
                <w:b/>
                <w:color w:val="111827"/>
                <w:sz w:val="12"/>
              </w:rPr>
              <w:t>Basic clothing item ($20)</w:t>
            </w:r>
          </w:p>
        </w:tc>
        <w:tc>
          <w:tcPr>
            <w:tcW w:type="dxa" w:w="2232"/>
            <w:vAlign w:val="center"/>
          </w:tcPr>
          <w:p>
            <w:pPr>
              <w:spacing w:after="0" w:before="0" w:line="240" w:lineRule="auto"/>
            </w:pPr>
            <w:r/>
            <w:r>
              <w:rPr>
                <w:rFonts w:ascii="Aptos" w:hAnsi="Aptos"/>
                <w:b w:val="0"/>
                <w:color w:val="111827"/>
                <w:sz w:val="12"/>
              </w:rPr>
              <w:t>Oversize shipment</w:t>
            </w:r>
          </w:p>
        </w:tc>
        <w:tc>
          <w:tcPr>
            <w:tcW w:type="dxa" w:w="1080"/>
            <w:vAlign w:val="center"/>
          </w:tcPr>
          <w:p>
            <w:pPr>
              <w:spacing w:after="0" w:before="0" w:line="240" w:lineRule="auto"/>
            </w:pPr>
            <w:r/>
            <w:r>
              <w:rPr>
                <w:rFonts w:ascii="Aptos" w:hAnsi="Aptos"/>
                <w:b w:val="0"/>
                <w:color w:val="111827"/>
                <w:sz w:val="12"/>
              </w:rPr>
              <w:t>$30.00</w:t>
            </w:r>
          </w:p>
        </w:tc>
        <w:tc>
          <w:tcPr>
            <w:tcW w:type="dxa" w:w="1008"/>
            <w:vAlign w:val="center"/>
          </w:tcPr>
          <w:p>
            <w:pPr>
              <w:spacing w:after="0" w:before="0" w:line="240" w:lineRule="auto"/>
            </w:pPr>
            <w:r/>
            <w:r>
              <w:rPr>
                <w:rFonts w:ascii="Aptos" w:hAnsi="Aptos"/>
                <w:b w:val="0"/>
                <w:color w:val="111827"/>
                <w:sz w:val="12"/>
              </w:rPr>
              <w:t>$6.90</w:t>
            </w:r>
          </w:p>
        </w:tc>
        <w:tc>
          <w:tcPr>
            <w:tcW w:type="dxa" w:w="936"/>
            <w:vAlign w:val="center"/>
          </w:tcPr>
          <w:p>
            <w:pPr>
              <w:spacing w:after="0" w:before="0" w:line="240" w:lineRule="auto"/>
            </w:pPr>
            <w:r/>
            <w:r>
              <w:rPr>
                <w:rFonts w:ascii="Aptos" w:hAnsi="Aptos"/>
                <w:b w:val="0"/>
                <w:color w:val="111827"/>
                <w:sz w:val="12"/>
              </w:rPr>
              <w:t>$1.17</w:t>
            </w:r>
          </w:p>
        </w:tc>
        <w:tc>
          <w:tcPr>
            <w:tcW w:type="dxa" w:w="1080"/>
            <w:vAlign w:val="center"/>
          </w:tcPr>
          <w:p>
            <w:pPr>
              <w:spacing w:after="0" w:before="0" w:line="240" w:lineRule="auto"/>
            </w:pPr>
            <w:r/>
            <w:r>
              <w:rPr>
                <w:rFonts w:ascii="Aptos" w:hAnsi="Aptos"/>
                <w:b w:val="0"/>
                <w:color w:val="111827"/>
                <w:sz w:val="12"/>
              </w:rPr>
              <w:t>$-24.27</w:t>
            </w:r>
          </w:p>
        </w:tc>
        <w:tc>
          <w:tcPr>
            <w:tcW w:type="dxa" w:w="1008"/>
            <w:vAlign w:val="center"/>
          </w:tcPr>
          <w:p>
            <w:pPr>
              <w:spacing w:after="0" w:before="0" w:line="240" w:lineRule="auto"/>
            </w:pPr>
            <w:r/>
            <w:r>
              <w:rPr>
                <w:rFonts w:ascii="Aptos" w:hAnsi="Aptos"/>
                <w:b w:val="0"/>
                <w:color w:val="111827"/>
                <w:sz w:val="12"/>
              </w:rPr>
              <w:t>$44.35</w:t>
            </w:r>
          </w:p>
        </w:tc>
        <w:tc>
          <w:tcPr>
            <w:tcW w:type="dxa" w:w="720"/>
            <w:vAlign w:val="center"/>
          </w:tcPr>
          <w:p>
            <w:pPr>
              <w:spacing w:after="0" w:before="0" w:line="240" w:lineRule="auto"/>
            </w:pPr>
            <w:r/>
            <w:r>
              <w:rPr>
                <w:rFonts w:ascii="Aptos" w:hAnsi="Aptos"/>
                <w:b w:val="0"/>
                <w:color w:val="111827"/>
                <w:sz w:val="12"/>
              </w:rPr>
              <w:t>No</w:t>
            </w:r>
          </w:p>
        </w:tc>
      </w:tr>
      <w:tr>
        <w:tc>
          <w:tcPr>
            <w:tcW w:type="dxa" w:w="2232"/>
            <w:vAlign w:val="center"/>
            <w:shd w:fill="F5F7FA"/>
          </w:tcPr>
          <w:p>
            <w:pPr>
              <w:spacing w:after="0" w:before="0" w:line="240" w:lineRule="auto"/>
            </w:pPr>
            <w:r/>
            <w:r>
              <w:rPr>
                <w:rFonts w:ascii="Aptos" w:hAnsi="Aptos"/>
                <w:b/>
                <w:color w:val="111827"/>
                <w:sz w:val="12"/>
              </w:rPr>
              <w:t>Basic clothing item ($20)</w:t>
            </w:r>
          </w:p>
        </w:tc>
        <w:tc>
          <w:tcPr>
            <w:tcW w:type="dxa" w:w="2232"/>
            <w:vAlign w:val="center"/>
            <w:shd w:fill="F5F7FA"/>
          </w:tcPr>
          <w:p>
            <w:pPr>
              <w:spacing w:after="0" w:before="0" w:line="240" w:lineRule="auto"/>
            </w:pPr>
            <w:r/>
            <w:r>
              <w:rPr>
                <w:rFonts w:ascii="Aptos" w:hAnsi="Aptos"/>
                <w:b w:val="0"/>
                <w:color w:val="111827"/>
                <w:sz w:val="12"/>
              </w:rPr>
              <w:t>Local pickup</w:t>
            </w:r>
          </w:p>
        </w:tc>
        <w:tc>
          <w:tcPr>
            <w:tcW w:type="dxa" w:w="1080"/>
            <w:vAlign w:val="center"/>
            <w:shd w:fill="F5F7FA"/>
          </w:tcPr>
          <w:p>
            <w:pPr>
              <w:spacing w:after="0" w:before="0" w:line="240" w:lineRule="auto"/>
            </w:pPr>
            <w:r/>
            <w:r>
              <w:rPr>
                <w:rFonts w:ascii="Aptos" w:hAnsi="Aptos"/>
                <w:b w:val="0"/>
                <w:color w:val="111827"/>
                <w:sz w:val="12"/>
              </w:rPr>
              <w:t>$25.00</w:t>
            </w:r>
          </w:p>
        </w:tc>
        <w:tc>
          <w:tcPr>
            <w:tcW w:type="dxa" w:w="1008"/>
            <w:vAlign w:val="center"/>
            <w:shd w:fill="F5F7FA"/>
          </w:tcPr>
          <w:p>
            <w:pPr>
              <w:spacing w:after="0" w:before="0" w:line="240" w:lineRule="auto"/>
            </w:pPr>
            <w:r/>
            <w:r>
              <w:rPr>
                <w:rFonts w:ascii="Aptos" w:hAnsi="Aptos"/>
                <w:b w:val="0"/>
                <w:color w:val="111827"/>
                <w:sz w:val="12"/>
              </w:rPr>
              <w:t>$6.90</w:t>
            </w:r>
          </w:p>
        </w:tc>
        <w:tc>
          <w:tcPr>
            <w:tcW w:type="dxa" w:w="936"/>
            <w:vAlign w:val="center"/>
            <w:shd w:fill="F5F7FA"/>
          </w:tcPr>
          <w:p>
            <w:pPr>
              <w:spacing w:after="0" w:before="0" w:line="240" w:lineRule="auto"/>
            </w:pPr>
            <w:r/>
            <w:r>
              <w:rPr>
                <w:rFonts w:ascii="Aptos" w:hAnsi="Aptos"/>
                <w:b w:val="0"/>
                <w:color w:val="111827"/>
                <w:sz w:val="12"/>
              </w:rPr>
              <w:t>$1.17</w:t>
            </w:r>
          </w:p>
        </w:tc>
        <w:tc>
          <w:tcPr>
            <w:tcW w:type="dxa" w:w="1080"/>
            <w:vAlign w:val="center"/>
            <w:shd w:fill="F5F7FA"/>
          </w:tcPr>
          <w:p>
            <w:pPr>
              <w:spacing w:after="0" w:before="0" w:line="240" w:lineRule="auto"/>
            </w:pPr>
            <w:r/>
            <w:r>
              <w:rPr>
                <w:rFonts w:ascii="Aptos" w:hAnsi="Aptos"/>
                <w:b w:val="0"/>
                <w:color w:val="111827"/>
                <w:sz w:val="12"/>
              </w:rPr>
              <w:t>$-19.27</w:t>
            </w:r>
          </w:p>
        </w:tc>
        <w:tc>
          <w:tcPr>
            <w:tcW w:type="dxa" w:w="1008"/>
            <w:vAlign w:val="center"/>
            <w:shd w:fill="F5F7FA"/>
          </w:tcPr>
          <w:p>
            <w:pPr>
              <w:spacing w:after="0" w:before="0" w:line="240" w:lineRule="auto"/>
            </w:pPr>
            <w:r/>
            <w:r>
              <w:rPr>
                <w:rFonts w:ascii="Aptos" w:hAnsi="Aptos"/>
                <w:b w:val="0"/>
                <w:color w:val="111827"/>
                <w:sz w:val="12"/>
              </w:rPr>
              <w:t>$39.35</w:t>
            </w:r>
          </w:p>
        </w:tc>
        <w:tc>
          <w:tcPr>
            <w:tcW w:type="dxa" w:w="720"/>
            <w:vAlign w:val="center"/>
            <w:shd w:fill="F5F7FA"/>
          </w:tcPr>
          <w:p>
            <w:pPr>
              <w:spacing w:after="0" w:before="0" w:line="240" w:lineRule="auto"/>
            </w:pPr>
            <w:r/>
            <w:r>
              <w:rPr>
                <w:rFonts w:ascii="Aptos" w:hAnsi="Aptos"/>
                <w:b w:val="0"/>
                <w:color w:val="111827"/>
                <w:sz w:val="12"/>
              </w:rPr>
              <w:t>No</w:t>
            </w:r>
          </w:p>
        </w:tc>
      </w:tr>
      <w:tr>
        <w:tc>
          <w:tcPr>
            <w:tcW w:type="dxa" w:w="2232"/>
            <w:vAlign w:val="center"/>
          </w:tcPr>
          <w:p>
            <w:pPr>
              <w:spacing w:after="0" w:before="0" w:line="240" w:lineRule="auto"/>
            </w:pPr>
            <w:r/>
            <w:r>
              <w:rPr>
                <w:rFonts w:ascii="Aptos" w:hAnsi="Aptos"/>
                <w:b/>
                <w:color w:val="111827"/>
                <w:sz w:val="12"/>
              </w:rPr>
              <w:t>Basic clothing item ($20)</w:t>
            </w:r>
          </w:p>
        </w:tc>
        <w:tc>
          <w:tcPr>
            <w:tcW w:type="dxa" w:w="2232"/>
            <w:vAlign w:val="center"/>
          </w:tcPr>
          <w:p>
            <w:pPr>
              <w:spacing w:after="0" w:before="0" w:line="240" w:lineRule="auto"/>
            </w:pPr>
            <w:r/>
            <w:r>
              <w:rPr>
                <w:rFonts w:ascii="Aptos" w:hAnsi="Aptos"/>
                <w:b w:val="0"/>
                <w:color w:val="111827"/>
                <w:sz w:val="12"/>
              </w:rPr>
              <w:t>Pallet liquidation</w:t>
            </w:r>
          </w:p>
        </w:tc>
        <w:tc>
          <w:tcPr>
            <w:tcW w:type="dxa" w:w="1080"/>
            <w:vAlign w:val="center"/>
          </w:tcPr>
          <w:p>
            <w:pPr>
              <w:spacing w:after="0" w:before="0" w:line="240" w:lineRule="auto"/>
            </w:pPr>
            <w:r/>
            <w:r>
              <w:rPr>
                <w:rFonts w:ascii="Aptos" w:hAnsi="Aptos"/>
                <w:b w:val="0"/>
                <w:color w:val="111827"/>
                <w:sz w:val="12"/>
              </w:rPr>
              <w:t>$0.75</w:t>
            </w:r>
          </w:p>
        </w:tc>
        <w:tc>
          <w:tcPr>
            <w:tcW w:type="dxa" w:w="1008"/>
            <w:vAlign w:val="center"/>
          </w:tcPr>
          <w:p>
            <w:pPr>
              <w:spacing w:after="0" w:before="0" w:line="240" w:lineRule="auto"/>
            </w:pPr>
            <w:r/>
            <w:r>
              <w:rPr>
                <w:rFonts w:ascii="Aptos" w:hAnsi="Aptos"/>
                <w:b w:val="0"/>
                <w:color w:val="111827"/>
                <w:sz w:val="12"/>
              </w:rPr>
              <w:t>$6.90</w:t>
            </w:r>
          </w:p>
        </w:tc>
        <w:tc>
          <w:tcPr>
            <w:tcW w:type="dxa" w:w="936"/>
            <w:vAlign w:val="center"/>
          </w:tcPr>
          <w:p>
            <w:pPr>
              <w:spacing w:after="0" w:before="0" w:line="240" w:lineRule="auto"/>
            </w:pPr>
            <w:r/>
            <w:r>
              <w:rPr>
                <w:rFonts w:ascii="Aptos" w:hAnsi="Aptos"/>
                <w:b w:val="0"/>
                <w:color w:val="111827"/>
                <w:sz w:val="12"/>
              </w:rPr>
              <w:t>$1.17</w:t>
            </w:r>
          </w:p>
        </w:tc>
        <w:tc>
          <w:tcPr>
            <w:tcW w:type="dxa" w:w="1080"/>
            <w:vAlign w:val="center"/>
          </w:tcPr>
          <w:p>
            <w:pPr>
              <w:spacing w:after="0" w:before="0" w:line="240" w:lineRule="auto"/>
            </w:pPr>
            <w:r/>
            <w:r>
              <w:rPr>
                <w:rFonts w:ascii="Aptos" w:hAnsi="Aptos"/>
                <w:b w:val="0"/>
                <w:color w:val="111827"/>
                <w:sz w:val="12"/>
              </w:rPr>
              <w:t>$4.98</w:t>
            </w:r>
          </w:p>
        </w:tc>
        <w:tc>
          <w:tcPr>
            <w:tcW w:type="dxa" w:w="1008"/>
            <w:vAlign w:val="center"/>
          </w:tcPr>
          <w:p>
            <w:pPr>
              <w:spacing w:after="0" w:before="0" w:line="240" w:lineRule="auto"/>
            </w:pPr>
            <w:r/>
            <w:r>
              <w:rPr>
                <w:rFonts w:ascii="Aptos" w:hAnsi="Aptos"/>
                <w:b w:val="0"/>
                <w:color w:val="111827"/>
                <w:sz w:val="12"/>
              </w:rPr>
              <w:t>$15.10</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Cosmetic/personal-care item ($20)</w:t>
            </w:r>
          </w:p>
        </w:tc>
        <w:tc>
          <w:tcPr>
            <w:tcW w:type="dxa" w:w="2232"/>
            <w:vAlign w:val="center"/>
            <w:shd w:fill="F5F7FA"/>
          </w:tcPr>
          <w:p>
            <w:pPr>
              <w:spacing w:after="0" w:before="0" w:line="240" w:lineRule="auto"/>
            </w:pPr>
            <w:r/>
            <w:r>
              <w:rPr>
                <w:rFonts w:ascii="Aptos" w:hAnsi="Aptos"/>
                <w:b w:val="0"/>
                <w:color w:val="111827"/>
                <w:sz w:val="12"/>
              </w:rPr>
              <w:t>Store return</w:t>
            </w:r>
          </w:p>
        </w:tc>
        <w:tc>
          <w:tcPr>
            <w:tcW w:type="dxa" w:w="1080"/>
            <w:vAlign w:val="center"/>
            <w:shd w:fill="F5F7FA"/>
          </w:tcPr>
          <w:p>
            <w:pPr>
              <w:spacing w:after="0" w:before="0" w:line="240" w:lineRule="auto"/>
            </w:pPr>
            <w:r/>
            <w:r>
              <w:rPr>
                <w:rFonts w:ascii="Aptos" w:hAnsi="Aptos"/>
                <w:b w:val="0"/>
                <w:color w:val="111827"/>
                <w:sz w:val="12"/>
              </w:rPr>
              <w:t>$1.00</w:t>
            </w:r>
          </w:p>
        </w:tc>
        <w:tc>
          <w:tcPr>
            <w:tcW w:type="dxa" w:w="1008"/>
            <w:vAlign w:val="center"/>
            <w:shd w:fill="F5F7FA"/>
          </w:tcPr>
          <w:p>
            <w:pPr>
              <w:spacing w:after="0" w:before="0" w:line="240" w:lineRule="auto"/>
            </w:pPr>
            <w:r/>
            <w:r>
              <w:rPr>
                <w:rFonts w:ascii="Aptos" w:hAnsi="Aptos"/>
                <w:b w:val="0"/>
                <w:color w:val="111827"/>
                <w:sz w:val="12"/>
              </w:rPr>
              <w:t>$3.64</w:t>
            </w:r>
          </w:p>
        </w:tc>
        <w:tc>
          <w:tcPr>
            <w:tcW w:type="dxa" w:w="936"/>
            <w:vAlign w:val="center"/>
            <w:shd w:fill="F5F7FA"/>
          </w:tcPr>
          <w:p>
            <w:pPr>
              <w:spacing w:after="0" w:before="0" w:line="240" w:lineRule="auto"/>
            </w:pPr>
            <w:r/>
            <w:r>
              <w:rPr>
                <w:rFonts w:ascii="Aptos" w:hAnsi="Aptos"/>
                <w:b w:val="0"/>
                <w:color w:val="111827"/>
                <w:sz w:val="12"/>
              </w:rPr>
              <w:t>$0.70</w:t>
            </w:r>
          </w:p>
        </w:tc>
        <w:tc>
          <w:tcPr>
            <w:tcW w:type="dxa" w:w="1080"/>
            <w:vAlign w:val="center"/>
            <w:shd w:fill="F5F7FA"/>
          </w:tcPr>
          <w:p>
            <w:pPr>
              <w:spacing w:after="0" w:before="0" w:line="240" w:lineRule="auto"/>
            </w:pPr>
            <w:r/>
            <w:r>
              <w:rPr>
                <w:rFonts w:ascii="Aptos" w:hAnsi="Aptos"/>
                <w:b w:val="0"/>
                <w:color w:val="111827"/>
                <w:sz w:val="12"/>
              </w:rPr>
              <w:t>$1.94</w:t>
            </w:r>
          </w:p>
        </w:tc>
        <w:tc>
          <w:tcPr>
            <w:tcW w:type="dxa" w:w="1008"/>
            <w:vAlign w:val="center"/>
            <w:shd w:fill="F5F7FA"/>
          </w:tcPr>
          <w:p>
            <w:pPr>
              <w:spacing w:after="0" w:before="0" w:line="240" w:lineRule="auto"/>
            </w:pPr>
            <w:r/>
            <w:r>
              <w:rPr>
                <w:rFonts w:ascii="Aptos" w:hAnsi="Aptos"/>
                <w:b w:val="0"/>
                <w:color w:val="111827"/>
                <w:sz w:val="12"/>
              </w:rPr>
              <w:t>$18.09</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Cosmetic/personal-care item ($20)</w:t>
            </w:r>
          </w:p>
        </w:tc>
        <w:tc>
          <w:tcPr>
            <w:tcW w:type="dxa" w:w="2232"/>
            <w:vAlign w:val="center"/>
          </w:tcPr>
          <w:p>
            <w:pPr>
              <w:spacing w:after="0" w:before="0" w:line="240" w:lineRule="auto"/>
            </w:pPr>
            <w:r/>
            <w:r>
              <w:rPr>
                <w:rFonts w:ascii="Aptos" w:hAnsi="Aptos"/>
                <w:b w:val="0"/>
                <w:color w:val="111827"/>
                <w:sz w:val="12"/>
              </w:rPr>
              <w:t>Nearby drop-off + consolidation</w:t>
            </w:r>
          </w:p>
        </w:tc>
        <w:tc>
          <w:tcPr>
            <w:tcW w:type="dxa" w:w="1080"/>
            <w:vAlign w:val="center"/>
          </w:tcPr>
          <w:p>
            <w:pPr>
              <w:spacing w:after="0" w:before="0" w:line="240" w:lineRule="auto"/>
            </w:pPr>
            <w:r/>
            <w:r>
              <w:rPr>
                <w:rFonts w:ascii="Aptos" w:hAnsi="Aptos"/>
                <w:b w:val="0"/>
                <w:color w:val="111827"/>
                <w:sz w:val="12"/>
              </w:rPr>
              <w:t>$2.75</w:t>
            </w:r>
          </w:p>
        </w:tc>
        <w:tc>
          <w:tcPr>
            <w:tcW w:type="dxa" w:w="1008"/>
            <w:vAlign w:val="center"/>
          </w:tcPr>
          <w:p>
            <w:pPr>
              <w:spacing w:after="0" w:before="0" w:line="240" w:lineRule="auto"/>
            </w:pPr>
            <w:r/>
            <w:r>
              <w:rPr>
                <w:rFonts w:ascii="Aptos" w:hAnsi="Aptos"/>
                <w:b w:val="0"/>
                <w:color w:val="111827"/>
                <w:sz w:val="12"/>
              </w:rPr>
              <w:t>$3.64</w:t>
            </w:r>
          </w:p>
        </w:tc>
        <w:tc>
          <w:tcPr>
            <w:tcW w:type="dxa" w:w="936"/>
            <w:vAlign w:val="center"/>
          </w:tcPr>
          <w:p>
            <w:pPr>
              <w:spacing w:after="0" w:before="0" w:line="240" w:lineRule="auto"/>
            </w:pPr>
            <w:r/>
            <w:r>
              <w:rPr>
                <w:rFonts w:ascii="Aptos" w:hAnsi="Aptos"/>
                <w:b w:val="0"/>
                <w:color w:val="111827"/>
                <w:sz w:val="12"/>
              </w:rPr>
              <w:t>$0.70</w:t>
            </w:r>
          </w:p>
        </w:tc>
        <w:tc>
          <w:tcPr>
            <w:tcW w:type="dxa" w:w="1080"/>
            <w:vAlign w:val="center"/>
          </w:tcPr>
          <w:p>
            <w:pPr>
              <w:spacing w:after="0" w:before="0" w:line="240" w:lineRule="auto"/>
            </w:pPr>
            <w:r/>
            <w:r>
              <w:rPr>
                <w:rFonts w:ascii="Aptos" w:hAnsi="Aptos"/>
                <w:b w:val="0"/>
                <w:color w:val="111827"/>
                <w:sz w:val="12"/>
              </w:rPr>
              <w:t>$0.19</w:t>
            </w:r>
          </w:p>
        </w:tc>
        <w:tc>
          <w:tcPr>
            <w:tcW w:type="dxa" w:w="1008"/>
            <w:vAlign w:val="center"/>
          </w:tcPr>
          <w:p>
            <w:pPr>
              <w:spacing w:after="0" w:before="0" w:line="240" w:lineRule="auto"/>
            </w:pPr>
            <w:r/>
            <w:r>
              <w:rPr>
                <w:rFonts w:ascii="Aptos" w:hAnsi="Aptos"/>
                <w:b w:val="0"/>
                <w:color w:val="111827"/>
                <w:sz w:val="12"/>
              </w:rPr>
              <w:t>$19.84</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Cosmetic/personal-care item ($20)</w:t>
            </w:r>
          </w:p>
        </w:tc>
        <w:tc>
          <w:tcPr>
            <w:tcW w:type="dxa" w:w="2232"/>
            <w:vAlign w:val="center"/>
            <w:shd w:fill="F5F7FA"/>
          </w:tcPr>
          <w:p>
            <w:pPr>
              <w:spacing w:after="0" w:before="0" w:line="240" w:lineRule="auto"/>
            </w:pPr>
            <w:r/>
            <w:r>
              <w:rPr>
                <w:rFonts w:ascii="Aptos" w:hAnsi="Aptos"/>
                <w:b w:val="0"/>
                <w:color w:val="111827"/>
                <w:sz w:val="12"/>
              </w:rPr>
              <w:t>Short-distance parcel</w:t>
            </w:r>
          </w:p>
        </w:tc>
        <w:tc>
          <w:tcPr>
            <w:tcW w:type="dxa" w:w="1080"/>
            <w:vAlign w:val="center"/>
            <w:shd w:fill="F5F7FA"/>
          </w:tcPr>
          <w:p>
            <w:pPr>
              <w:spacing w:after="0" w:before="0" w:line="240" w:lineRule="auto"/>
            </w:pPr>
            <w:r/>
            <w:r>
              <w:rPr>
                <w:rFonts w:ascii="Aptos" w:hAnsi="Aptos"/>
                <w:b w:val="0"/>
                <w:color w:val="111827"/>
                <w:sz w:val="12"/>
              </w:rPr>
              <w:t>$5.25</w:t>
            </w:r>
          </w:p>
        </w:tc>
        <w:tc>
          <w:tcPr>
            <w:tcW w:type="dxa" w:w="1008"/>
            <w:vAlign w:val="center"/>
            <w:shd w:fill="F5F7FA"/>
          </w:tcPr>
          <w:p>
            <w:pPr>
              <w:spacing w:after="0" w:before="0" w:line="240" w:lineRule="auto"/>
            </w:pPr>
            <w:r/>
            <w:r>
              <w:rPr>
                <w:rFonts w:ascii="Aptos" w:hAnsi="Aptos"/>
                <w:b w:val="0"/>
                <w:color w:val="111827"/>
                <w:sz w:val="12"/>
              </w:rPr>
              <w:t>$3.64</w:t>
            </w:r>
          </w:p>
        </w:tc>
        <w:tc>
          <w:tcPr>
            <w:tcW w:type="dxa" w:w="936"/>
            <w:vAlign w:val="center"/>
            <w:shd w:fill="F5F7FA"/>
          </w:tcPr>
          <w:p>
            <w:pPr>
              <w:spacing w:after="0" w:before="0" w:line="240" w:lineRule="auto"/>
            </w:pPr>
            <w:r/>
            <w:r>
              <w:rPr>
                <w:rFonts w:ascii="Aptos" w:hAnsi="Aptos"/>
                <w:b w:val="0"/>
                <w:color w:val="111827"/>
                <w:sz w:val="12"/>
              </w:rPr>
              <w:t>$0.70</w:t>
            </w:r>
          </w:p>
        </w:tc>
        <w:tc>
          <w:tcPr>
            <w:tcW w:type="dxa" w:w="1080"/>
            <w:vAlign w:val="center"/>
            <w:shd w:fill="F5F7FA"/>
          </w:tcPr>
          <w:p>
            <w:pPr>
              <w:spacing w:after="0" w:before="0" w:line="240" w:lineRule="auto"/>
            </w:pPr>
            <w:r/>
            <w:r>
              <w:rPr>
                <w:rFonts w:ascii="Aptos" w:hAnsi="Aptos"/>
                <w:b w:val="0"/>
                <w:color w:val="111827"/>
                <w:sz w:val="12"/>
              </w:rPr>
              <w:t>$-2.31</w:t>
            </w:r>
          </w:p>
        </w:tc>
        <w:tc>
          <w:tcPr>
            <w:tcW w:type="dxa" w:w="1008"/>
            <w:vAlign w:val="center"/>
            <w:shd w:fill="F5F7FA"/>
          </w:tcPr>
          <w:p>
            <w:pPr>
              <w:spacing w:after="0" w:before="0" w:line="240" w:lineRule="auto"/>
            </w:pPr>
            <w:r/>
            <w:r>
              <w:rPr>
                <w:rFonts w:ascii="Aptos" w:hAnsi="Aptos"/>
                <w:b w:val="0"/>
                <w:color w:val="111827"/>
                <w:sz w:val="12"/>
              </w:rPr>
              <w:t>$22.34</w:t>
            </w:r>
          </w:p>
        </w:tc>
        <w:tc>
          <w:tcPr>
            <w:tcW w:type="dxa" w:w="720"/>
            <w:vAlign w:val="center"/>
            <w:shd w:fill="F5F7FA"/>
          </w:tcPr>
          <w:p>
            <w:pPr>
              <w:spacing w:after="0" w:before="0" w:line="240" w:lineRule="auto"/>
            </w:pPr>
            <w:r/>
            <w:r>
              <w:rPr>
                <w:rFonts w:ascii="Aptos" w:hAnsi="Aptos"/>
                <w:b w:val="0"/>
                <w:color w:val="111827"/>
                <w:sz w:val="12"/>
              </w:rPr>
              <w:t>No</w:t>
            </w:r>
          </w:p>
        </w:tc>
      </w:tr>
      <w:tr>
        <w:tc>
          <w:tcPr>
            <w:tcW w:type="dxa" w:w="2232"/>
            <w:vAlign w:val="center"/>
          </w:tcPr>
          <w:p>
            <w:pPr>
              <w:spacing w:after="0" w:before="0" w:line="240" w:lineRule="auto"/>
            </w:pPr>
            <w:r/>
            <w:r>
              <w:rPr>
                <w:rFonts w:ascii="Aptos" w:hAnsi="Aptos"/>
                <w:b/>
                <w:color w:val="111827"/>
                <w:sz w:val="12"/>
              </w:rPr>
              <w:t>Cosmetic/personal-care item ($20)</w:t>
            </w:r>
          </w:p>
        </w:tc>
        <w:tc>
          <w:tcPr>
            <w:tcW w:type="dxa" w:w="2232"/>
            <w:vAlign w:val="center"/>
          </w:tcPr>
          <w:p>
            <w:pPr>
              <w:spacing w:after="0" w:before="0" w:line="240" w:lineRule="auto"/>
            </w:pPr>
            <w:r/>
            <w:r>
              <w:rPr>
                <w:rFonts w:ascii="Aptos" w:hAnsi="Aptos"/>
                <w:b w:val="0"/>
                <w:color w:val="111827"/>
                <w:sz w:val="12"/>
              </w:rPr>
              <w:t>Long-distance parcel</w:t>
            </w:r>
          </w:p>
        </w:tc>
        <w:tc>
          <w:tcPr>
            <w:tcW w:type="dxa" w:w="1080"/>
            <w:vAlign w:val="center"/>
          </w:tcPr>
          <w:p>
            <w:pPr>
              <w:spacing w:after="0" w:before="0" w:line="240" w:lineRule="auto"/>
            </w:pPr>
            <w:r/>
            <w:r>
              <w:rPr>
                <w:rFonts w:ascii="Aptos" w:hAnsi="Aptos"/>
                <w:b w:val="0"/>
                <w:color w:val="111827"/>
                <w:sz w:val="12"/>
              </w:rPr>
              <w:t>$7.75</w:t>
            </w:r>
          </w:p>
        </w:tc>
        <w:tc>
          <w:tcPr>
            <w:tcW w:type="dxa" w:w="1008"/>
            <w:vAlign w:val="center"/>
          </w:tcPr>
          <w:p>
            <w:pPr>
              <w:spacing w:after="0" w:before="0" w:line="240" w:lineRule="auto"/>
            </w:pPr>
            <w:r/>
            <w:r>
              <w:rPr>
                <w:rFonts w:ascii="Aptos" w:hAnsi="Aptos"/>
                <w:b w:val="0"/>
                <w:color w:val="111827"/>
                <w:sz w:val="12"/>
              </w:rPr>
              <w:t>$3.64</w:t>
            </w:r>
          </w:p>
        </w:tc>
        <w:tc>
          <w:tcPr>
            <w:tcW w:type="dxa" w:w="936"/>
            <w:vAlign w:val="center"/>
          </w:tcPr>
          <w:p>
            <w:pPr>
              <w:spacing w:after="0" w:before="0" w:line="240" w:lineRule="auto"/>
            </w:pPr>
            <w:r/>
            <w:r>
              <w:rPr>
                <w:rFonts w:ascii="Aptos" w:hAnsi="Aptos"/>
                <w:b w:val="0"/>
                <w:color w:val="111827"/>
                <w:sz w:val="12"/>
              </w:rPr>
              <w:t>$0.70</w:t>
            </w:r>
          </w:p>
        </w:tc>
        <w:tc>
          <w:tcPr>
            <w:tcW w:type="dxa" w:w="1080"/>
            <w:vAlign w:val="center"/>
          </w:tcPr>
          <w:p>
            <w:pPr>
              <w:spacing w:after="0" w:before="0" w:line="240" w:lineRule="auto"/>
            </w:pPr>
            <w:r/>
            <w:r>
              <w:rPr>
                <w:rFonts w:ascii="Aptos" w:hAnsi="Aptos"/>
                <w:b w:val="0"/>
                <w:color w:val="111827"/>
                <w:sz w:val="12"/>
              </w:rPr>
              <w:t>$-4.81</w:t>
            </w:r>
          </w:p>
        </w:tc>
        <w:tc>
          <w:tcPr>
            <w:tcW w:type="dxa" w:w="1008"/>
            <w:vAlign w:val="center"/>
          </w:tcPr>
          <w:p>
            <w:pPr>
              <w:spacing w:after="0" w:before="0" w:line="240" w:lineRule="auto"/>
            </w:pPr>
            <w:r/>
            <w:r>
              <w:rPr>
                <w:rFonts w:ascii="Aptos" w:hAnsi="Aptos"/>
                <w:b w:val="0"/>
                <w:color w:val="111827"/>
                <w:sz w:val="12"/>
              </w:rPr>
              <w:t>$24.84</w:t>
            </w:r>
          </w:p>
        </w:tc>
        <w:tc>
          <w:tcPr>
            <w:tcW w:type="dxa" w:w="720"/>
            <w:vAlign w:val="center"/>
          </w:tcPr>
          <w:p>
            <w:pPr>
              <w:spacing w:after="0" w:before="0" w:line="240" w:lineRule="auto"/>
            </w:pPr>
            <w:r/>
            <w:r>
              <w:rPr>
                <w:rFonts w:ascii="Aptos" w:hAnsi="Aptos"/>
                <w:b w:val="0"/>
                <w:color w:val="111827"/>
                <w:sz w:val="12"/>
              </w:rPr>
              <w:t>No</w:t>
            </w:r>
          </w:p>
        </w:tc>
      </w:tr>
      <w:tr>
        <w:tc>
          <w:tcPr>
            <w:tcW w:type="dxa" w:w="2232"/>
            <w:vAlign w:val="center"/>
            <w:shd w:fill="F5F7FA"/>
          </w:tcPr>
          <w:p>
            <w:pPr>
              <w:spacing w:after="0" w:before="0" w:line="240" w:lineRule="auto"/>
            </w:pPr>
            <w:r/>
            <w:r>
              <w:rPr>
                <w:rFonts w:ascii="Aptos" w:hAnsi="Aptos"/>
                <w:b/>
                <w:color w:val="111827"/>
                <w:sz w:val="12"/>
              </w:rPr>
              <w:t>Cosmetic/personal-care item ($20)</w:t>
            </w:r>
          </w:p>
        </w:tc>
        <w:tc>
          <w:tcPr>
            <w:tcW w:type="dxa" w:w="2232"/>
            <w:vAlign w:val="center"/>
            <w:shd w:fill="F5F7FA"/>
          </w:tcPr>
          <w:p>
            <w:pPr>
              <w:spacing w:after="0" w:before="0" w:line="240" w:lineRule="auto"/>
            </w:pPr>
            <w:r/>
            <w:r>
              <w:rPr>
                <w:rFonts w:ascii="Aptos" w:hAnsi="Aptos"/>
                <w:b w:val="0"/>
                <w:color w:val="111827"/>
                <w:sz w:val="12"/>
              </w:rPr>
              <w:t>Oversize shipment</w:t>
            </w:r>
          </w:p>
        </w:tc>
        <w:tc>
          <w:tcPr>
            <w:tcW w:type="dxa" w:w="1080"/>
            <w:vAlign w:val="center"/>
            <w:shd w:fill="F5F7FA"/>
          </w:tcPr>
          <w:p>
            <w:pPr>
              <w:spacing w:after="0" w:before="0" w:line="240" w:lineRule="auto"/>
            </w:pPr>
            <w:r/>
            <w:r>
              <w:rPr>
                <w:rFonts w:ascii="Aptos" w:hAnsi="Aptos"/>
                <w:b w:val="0"/>
                <w:color w:val="111827"/>
                <w:sz w:val="12"/>
              </w:rPr>
              <w:t>$25.00</w:t>
            </w:r>
          </w:p>
        </w:tc>
        <w:tc>
          <w:tcPr>
            <w:tcW w:type="dxa" w:w="1008"/>
            <w:vAlign w:val="center"/>
            <w:shd w:fill="F5F7FA"/>
          </w:tcPr>
          <w:p>
            <w:pPr>
              <w:spacing w:after="0" w:before="0" w:line="240" w:lineRule="auto"/>
            </w:pPr>
            <w:r/>
            <w:r>
              <w:rPr>
                <w:rFonts w:ascii="Aptos" w:hAnsi="Aptos"/>
                <w:b w:val="0"/>
                <w:color w:val="111827"/>
                <w:sz w:val="12"/>
              </w:rPr>
              <w:t>$3.64</w:t>
            </w:r>
          </w:p>
        </w:tc>
        <w:tc>
          <w:tcPr>
            <w:tcW w:type="dxa" w:w="936"/>
            <w:vAlign w:val="center"/>
            <w:shd w:fill="F5F7FA"/>
          </w:tcPr>
          <w:p>
            <w:pPr>
              <w:spacing w:after="0" w:before="0" w:line="240" w:lineRule="auto"/>
            </w:pPr>
            <w:r/>
            <w:r>
              <w:rPr>
                <w:rFonts w:ascii="Aptos" w:hAnsi="Aptos"/>
                <w:b w:val="0"/>
                <w:color w:val="111827"/>
                <w:sz w:val="12"/>
              </w:rPr>
              <w:t>$0.70</w:t>
            </w:r>
          </w:p>
        </w:tc>
        <w:tc>
          <w:tcPr>
            <w:tcW w:type="dxa" w:w="1080"/>
            <w:vAlign w:val="center"/>
            <w:shd w:fill="F5F7FA"/>
          </w:tcPr>
          <w:p>
            <w:pPr>
              <w:spacing w:after="0" w:before="0" w:line="240" w:lineRule="auto"/>
            </w:pPr>
            <w:r/>
            <w:r>
              <w:rPr>
                <w:rFonts w:ascii="Aptos" w:hAnsi="Aptos"/>
                <w:b w:val="0"/>
                <w:color w:val="111827"/>
                <w:sz w:val="12"/>
              </w:rPr>
              <w:t>$-22.06</w:t>
            </w:r>
          </w:p>
        </w:tc>
        <w:tc>
          <w:tcPr>
            <w:tcW w:type="dxa" w:w="1008"/>
            <w:vAlign w:val="center"/>
            <w:shd w:fill="F5F7FA"/>
          </w:tcPr>
          <w:p>
            <w:pPr>
              <w:spacing w:after="0" w:before="0" w:line="240" w:lineRule="auto"/>
            </w:pPr>
            <w:r/>
            <w:r>
              <w:rPr>
                <w:rFonts w:ascii="Aptos" w:hAnsi="Aptos"/>
                <w:b w:val="0"/>
                <w:color w:val="111827"/>
                <w:sz w:val="12"/>
              </w:rPr>
              <w:t>$42.09</w:t>
            </w:r>
          </w:p>
        </w:tc>
        <w:tc>
          <w:tcPr>
            <w:tcW w:type="dxa" w:w="720"/>
            <w:vAlign w:val="center"/>
            <w:shd w:fill="F5F7FA"/>
          </w:tcPr>
          <w:p>
            <w:pPr>
              <w:spacing w:after="0" w:before="0" w:line="240" w:lineRule="auto"/>
            </w:pPr>
            <w:r/>
            <w:r>
              <w:rPr>
                <w:rFonts w:ascii="Aptos" w:hAnsi="Aptos"/>
                <w:b w:val="0"/>
                <w:color w:val="111827"/>
                <w:sz w:val="12"/>
              </w:rPr>
              <w:t>No</w:t>
            </w:r>
          </w:p>
        </w:tc>
      </w:tr>
      <w:tr>
        <w:tc>
          <w:tcPr>
            <w:tcW w:type="dxa" w:w="2232"/>
            <w:vAlign w:val="center"/>
          </w:tcPr>
          <w:p>
            <w:pPr>
              <w:spacing w:after="0" w:before="0" w:line="240" w:lineRule="auto"/>
            </w:pPr>
            <w:r/>
            <w:r>
              <w:rPr>
                <w:rFonts w:ascii="Aptos" w:hAnsi="Aptos"/>
                <w:b/>
                <w:color w:val="111827"/>
                <w:sz w:val="12"/>
              </w:rPr>
              <w:t>Cosmetic/personal-care item ($20)</w:t>
            </w:r>
          </w:p>
        </w:tc>
        <w:tc>
          <w:tcPr>
            <w:tcW w:type="dxa" w:w="2232"/>
            <w:vAlign w:val="center"/>
          </w:tcPr>
          <w:p>
            <w:pPr>
              <w:spacing w:after="0" w:before="0" w:line="240" w:lineRule="auto"/>
            </w:pPr>
            <w:r/>
            <w:r>
              <w:rPr>
                <w:rFonts w:ascii="Aptos" w:hAnsi="Aptos"/>
                <w:b w:val="0"/>
                <w:color w:val="111827"/>
                <w:sz w:val="12"/>
              </w:rPr>
              <w:t>Local pickup</w:t>
            </w:r>
          </w:p>
        </w:tc>
        <w:tc>
          <w:tcPr>
            <w:tcW w:type="dxa" w:w="1080"/>
            <w:vAlign w:val="center"/>
          </w:tcPr>
          <w:p>
            <w:pPr>
              <w:spacing w:after="0" w:before="0" w:line="240" w:lineRule="auto"/>
            </w:pPr>
            <w:r/>
            <w:r>
              <w:rPr>
                <w:rFonts w:ascii="Aptos" w:hAnsi="Aptos"/>
                <w:b w:val="0"/>
                <w:color w:val="111827"/>
                <w:sz w:val="12"/>
              </w:rPr>
              <w:t>$20.00</w:t>
            </w:r>
          </w:p>
        </w:tc>
        <w:tc>
          <w:tcPr>
            <w:tcW w:type="dxa" w:w="1008"/>
            <w:vAlign w:val="center"/>
          </w:tcPr>
          <w:p>
            <w:pPr>
              <w:spacing w:after="0" w:before="0" w:line="240" w:lineRule="auto"/>
            </w:pPr>
            <w:r/>
            <w:r>
              <w:rPr>
                <w:rFonts w:ascii="Aptos" w:hAnsi="Aptos"/>
                <w:b w:val="0"/>
                <w:color w:val="111827"/>
                <w:sz w:val="12"/>
              </w:rPr>
              <w:t>$3.64</w:t>
            </w:r>
          </w:p>
        </w:tc>
        <w:tc>
          <w:tcPr>
            <w:tcW w:type="dxa" w:w="936"/>
            <w:vAlign w:val="center"/>
          </w:tcPr>
          <w:p>
            <w:pPr>
              <w:spacing w:after="0" w:before="0" w:line="240" w:lineRule="auto"/>
            </w:pPr>
            <w:r/>
            <w:r>
              <w:rPr>
                <w:rFonts w:ascii="Aptos" w:hAnsi="Aptos"/>
                <w:b w:val="0"/>
                <w:color w:val="111827"/>
                <w:sz w:val="12"/>
              </w:rPr>
              <w:t>$0.70</w:t>
            </w:r>
          </w:p>
        </w:tc>
        <w:tc>
          <w:tcPr>
            <w:tcW w:type="dxa" w:w="1080"/>
            <w:vAlign w:val="center"/>
          </w:tcPr>
          <w:p>
            <w:pPr>
              <w:spacing w:after="0" w:before="0" w:line="240" w:lineRule="auto"/>
            </w:pPr>
            <w:r/>
            <w:r>
              <w:rPr>
                <w:rFonts w:ascii="Aptos" w:hAnsi="Aptos"/>
                <w:b w:val="0"/>
                <w:color w:val="111827"/>
                <w:sz w:val="12"/>
              </w:rPr>
              <w:t>$-17.06</w:t>
            </w:r>
          </w:p>
        </w:tc>
        <w:tc>
          <w:tcPr>
            <w:tcW w:type="dxa" w:w="1008"/>
            <w:vAlign w:val="center"/>
          </w:tcPr>
          <w:p>
            <w:pPr>
              <w:spacing w:after="0" w:before="0" w:line="240" w:lineRule="auto"/>
            </w:pPr>
            <w:r/>
            <w:r>
              <w:rPr>
                <w:rFonts w:ascii="Aptos" w:hAnsi="Aptos"/>
                <w:b w:val="0"/>
                <w:color w:val="111827"/>
                <w:sz w:val="12"/>
              </w:rPr>
              <w:t>$37.09</w:t>
            </w:r>
          </w:p>
        </w:tc>
        <w:tc>
          <w:tcPr>
            <w:tcW w:type="dxa" w:w="720"/>
            <w:vAlign w:val="center"/>
          </w:tcPr>
          <w:p>
            <w:pPr>
              <w:spacing w:after="0" w:before="0" w:line="240" w:lineRule="auto"/>
            </w:pPr>
            <w:r/>
            <w:r>
              <w:rPr>
                <w:rFonts w:ascii="Aptos" w:hAnsi="Aptos"/>
                <w:b w:val="0"/>
                <w:color w:val="111827"/>
                <w:sz w:val="12"/>
              </w:rPr>
              <w:t>No</w:t>
            </w:r>
          </w:p>
        </w:tc>
      </w:tr>
      <w:tr>
        <w:tc>
          <w:tcPr>
            <w:tcW w:type="dxa" w:w="2232"/>
            <w:vAlign w:val="center"/>
            <w:shd w:fill="F5F7FA"/>
          </w:tcPr>
          <w:p>
            <w:pPr>
              <w:spacing w:after="0" w:before="0" w:line="240" w:lineRule="auto"/>
            </w:pPr>
            <w:r/>
            <w:r>
              <w:rPr>
                <w:rFonts w:ascii="Aptos" w:hAnsi="Aptos"/>
                <w:b/>
                <w:color w:val="111827"/>
                <w:sz w:val="12"/>
              </w:rPr>
              <w:t>Cosmetic/personal-care item ($20)</w:t>
            </w:r>
          </w:p>
        </w:tc>
        <w:tc>
          <w:tcPr>
            <w:tcW w:type="dxa" w:w="2232"/>
            <w:vAlign w:val="center"/>
            <w:shd w:fill="F5F7FA"/>
          </w:tcPr>
          <w:p>
            <w:pPr>
              <w:spacing w:after="0" w:before="0" w:line="240" w:lineRule="auto"/>
            </w:pPr>
            <w:r/>
            <w:r>
              <w:rPr>
                <w:rFonts w:ascii="Aptos" w:hAnsi="Aptos"/>
                <w:b w:val="0"/>
                <w:color w:val="111827"/>
                <w:sz w:val="12"/>
              </w:rPr>
              <w:t>Pallet liquidation</w:t>
            </w:r>
          </w:p>
        </w:tc>
        <w:tc>
          <w:tcPr>
            <w:tcW w:type="dxa" w:w="1080"/>
            <w:vAlign w:val="center"/>
            <w:shd w:fill="F5F7FA"/>
          </w:tcPr>
          <w:p>
            <w:pPr>
              <w:spacing w:after="0" w:before="0" w:line="240" w:lineRule="auto"/>
            </w:pPr>
            <w:r/>
            <w:r>
              <w:rPr>
                <w:rFonts w:ascii="Aptos" w:hAnsi="Aptos"/>
                <w:b w:val="0"/>
                <w:color w:val="111827"/>
                <w:sz w:val="12"/>
              </w:rPr>
              <w:t>$0.50</w:t>
            </w:r>
          </w:p>
        </w:tc>
        <w:tc>
          <w:tcPr>
            <w:tcW w:type="dxa" w:w="1008"/>
            <w:vAlign w:val="center"/>
            <w:shd w:fill="F5F7FA"/>
          </w:tcPr>
          <w:p>
            <w:pPr>
              <w:spacing w:after="0" w:before="0" w:line="240" w:lineRule="auto"/>
            </w:pPr>
            <w:r/>
            <w:r>
              <w:rPr>
                <w:rFonts w:ascii="Aptos" w:hAnsi="Aptos"/>
                <w:b w:val="0"/>
                <w:color w:val="111827"/>
                <w:sz w:val="12"/>
              </w:rPr>
              <w:t>$3.64</w:t>
            </w:r>
          </w:p>
        </w:tc>
        <w:tc>
          <w:tcPr>
            <w:tcW w:type="dxa" w:w="936"/>
            <w:vAlign w:val="center"/>
            <w:shd w:fill="F5F7FA"/>
          </w:tcPr>
          <w:p>
            <w:pPr>
              <w:spacing w:after="0" w:before="0" w:line="240" w:lineRule="auto"/>
            </w:pPr>
            <w:r/>
            <w:r>
              <w:rPr>
                <w:rFonts w:ascii="Aptos" w:hAnsi="Aptos"/>
                <w:b w:val="0"/>
                <w:color w:val="111827"/>
                <w:sz w:val="12"/>
              </w:rPr>
              <w:t>$0.70</w:t>
            </w:r>
          </w:p>
        </w:tc>
        <w:tc>
          <w:tcPr>
            <w:tcW w:type="dxa" w:w="1080"/>
            <w:vAlign w:val="center"/>
            <w:shd w:fill="F5F7FA"/>
          </w:tcPr>
          <w:p>
            <w:pPr>
              <w:spacing w:after="0" w:before="0" w:line="240" w:lineRule="auto"/>
            </w:pPr>
            <w:r/>
            <w:r>
              <w:rPr>
                <w:rFonts w:ascii="Aptos" w:hAnsi="Aptos"/>
                <w:b w:val="0"/>
                <w:color w:val="111827"/>
                <w:sz w:val="12"/>
              </w:rPr>
              <w:t>$2.44</w:t>
            </w:r>
          </w:p>
        </w:tc>
        <w:tc>
          <w:tcPr>
            <w:tcW w:type="dxa" w:w="1008"/>
            <w:vAlign w:val="center"/>
            <w:shd w:fill="F5F7FA"/>
          </w:tcPr>
          <w:p>
            <w:pPr>
              <w:spacing w:after="0" w:before="0" w:line="240" w:lineRule="auto"/>
            </w:pPr>
            <w:r/>
            <w:r>
              <w:rPr>
                <w:rFonts w:ascii="Aptos" w:hAnsi="Aptos"/>
                <w:b w:val="0"/>
                <w:color w:val="111827"/>
                <w:sz w:val="12"/>
              </w:rPr>
              <w:t>$17.59</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Small household product ($20)</w:t>
            </w:r>
          </w:p>
        </w:tc>
        <w:tc>
          <w:tcPr>
            <w:tcW w:type="dxa" w:w="2232"/>
            <w:vAlign w:val="center"/>
          </w:tcPr>
          <w:p>
            <w:pPr>
              <w:spacing w:after="0" w:before="0" w:line="240" w:lineRule="auto"/>
            </w:pPr>
            <w:r/>
            <w:r>
              <w:rPr>
                <w:rFonts w:ascii="Aptos" w:hAnsi="Aptos"/>
                <w:b w:val="0"/>
                <w:color w:val="111827"/>
                <w:sz w:val="12"/>
              </w:rPr>
              <w:t>Store return</w:t>
            </w:r>
          </w:p>
        </w:tc>
        <w:tc>
          <w:tcPr>
            <w:tcW w:type="dxa" w:w="1080"/>
            <w:vAlign w:val="center"/>
          </w:tcPr>
          <w:p>
            <w:pPr>
              <w:spacing w:after="0" w:before="0" w:line="240" w:lineRule="auto"/>
            </w:pPr>
            <w:r/>
            <w:r>
              <w:rPr>
                <w:rFonts w:ascii="Aptos" w:hAnsi="Aptos"/>
                <w:b w:val="0"/>
                <w:color w:val="111827"/>
                <w:sz w:val="12"/>
              </w:rPr>
              <w:t>$1.50</w:t>
            </w:r>
          </w:p>
        </w:tc>
        <w:tc>
          <w:tcPr>
            <w:tcW w:type="dxa" w:w="1008"/>
            <w:vAlign w:val="center"/>
          </w:tcPr>
          <w:p>
            <w:pPr>
              <w:spacing w:after="0" w:before="0" w:line="240" w:lineRule="auto"/>
            </w:pPr>
            <w:r/>
            <w:r>
              <w:rPr>
                <w:rFonts w:ascii="Aptos" w:hAnsi="Aptos"/>
                <w:b w:val="0"/>
                <w:color w:val="111827"/>
                <w:sz w:val="12"/>
              </w:rPr>
              <w:t>$3.42</w:t>
            </w:r>
          </w:p>
        </w:tc>
        <w:tc>
          <w:tcPr>
            <w:tcW w:type="dxa" w:w="936"/>
            <w:vAlign w:val="center"/>
          </w:tcPr>
          <w:p>
            <w:pPr>
              <w:spacing w:after="0" w:before="0" w:line="240" w:lineRule="auto"/>
            </w:pPr>
            <w:r/>
            <w:r>
              <w:rPr>
                <w:rFonts w:ascii="Aptos" w:hAnsi="Aptos"/>
                <w:b w:val="0"/>
                <w:color w:val="111827"/>
                <w:sz w:val="12"/>
              </w:rPr>
              <w:t>$0.93</w:t>
            </w:r>
          </w:p>
        </w:tc>
        <w:tc>
          <w:tcPr>
            <w:tcW w:type="dxa" w:w="1080"/>
            <w:vAlign w:val="center"/>
          </w:tcPr>
          <w:p>
            <w:pPr>
              <w:spacing w:after="0" w:before="0" w:line="240" w:lineRule="auto"/>
            </w:pPr>
            <w:r/>
            <w:r>
              <w:rPr>
                <w:rFonts w:ascii="Aptos" w:hAnsi="Aptos"/>
                <w:b w:val="0"/>
                <w:color w:val="111827"/>
                <w:sz w:val="12"/>
              </w:rPr>
              <w:t>$0.99</w:t>
            </w:r>
          </w:p>
        </w:tc>
        <w:tc>
          <w:tcPr>
            <w:tcW w:type="dxa" w:w="1008"/>
            <w:vAlign w:val="center"/>
          </w:tcPr>
          <w:p>
            <w:pPr>
              <w:spacing w:after="0" w:before="0" w:line="240" w:lineRule="auto"/>
            </w:pPr>
            <w:r/>
            <w:r>
              <w:rPr>
                <w:rFonts w:ascii="Aptos" w:hAnsi="Aptos"/>
                <w:b w:val="0"/>
                <w:color w:val="111827"/>
                <w:sz w:val="12"/>
              </w:rPr>
              <w:t>$19.05</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Small household product ($20)</w:t>
            </w:r>
          </w:p>
        </w:tc>
        <w:tc>
          <w:tcPr>
            <w:tcW w:type="dxa" w:w="2232"/>
            <w:vAlign w:val="center"/>
            <w:shd w:fill="F5F7FA"/>
          </w:tcPr>
          <w:p>
            <w:pPr>
              <w:spacing w:after="0" w:before="0" w:line="240" w:lineRule="auto"/>
            </w:pPr>
            <w:r/>
            <w:r>
              <w:rPr>
                <w:rFonts w:ascii="Aptos" w:hAnsi="Aptos"/>
                <w:b w:val="0"/>
                <w:color w:val="111827"/>
                <w:sz w:val="12"/>
              </w:rPr>
              <w:t>Nearby drop-off + consolidation</w:t>
            </w:r>
          </w:p>
        </w:tc>
        <w:tc>
          <w:tcPr>
            <w:tcW w:type="dxa" w:w="1080"/>
            <w:vAlign w:val="center"/>
            <w:shd w:fill="F5F7FA"/>
          </w:tcPr>
          <w:p>
            <w:pPr>
              <w:spacing w:after="0" w:before="0" w:line="240" w:lineRule="auto"/>
            </w:pPr>
            <w:r/>
            <w:r>
              <w:rPr>
                <w:rFonts w:ascii="Aptos" w:hAnsi="Aptos"/>
                <w:b w:val="0"/>
                <w:color w:val="111827"/>
                <w:sz w:val="12"/>
              </w:rPr>
              <w:t>$3.50</w:t>
            </w:r>
          </w:p>
        </w:tc>
        <w:tc>
          <w:tcPr>
            <w:tcW w:type="dxa" w:w="1008"/>
            <w:vAlign w:val="center"/>
            <w:shd w:fill="F5F7FA"/>
          </w:tcPr>
          <w:p>
            <w:pPr>
              <w:spacing w:after="0" w:before="0" w:line="240" w:lineRule="auto"/>
            </w:pPr>
            <w:r/>
            <w:r>
              <w:rPr>
                <w:rFonts w:ascii="Aptos" w:hAnsi="Aptos"/>
                <w:b w:val="0"/>
                <w:color w:val="111827"/>
                <w:sz w:val="12"/>
              </w:rPr>
              <w:t>$3.42</w:t>
            </w:r>
          </w:p>
        </w:tc>
        <w:tc>
          <w:tcPr>
            <w:tcW w:type="dxa" w:w="936"/>
            <w:vAlign w:val="center"/>
            <w:shd w:fill="F5F7FA"/>
          </w:tcPr>
          <w:p>
            <w:pPr>
              <w:spacing w:after="0" w:before="0" w:line="240" w:lineRule="auto"/>
            </w:pPr>
            <w:r/>
            <w:r>
              <w:rPr>
                <w:rFonts w:ascii="Aptos" w:hAnsi="Aptos"/>
                <w:b w:val="0"/>
                <w:color w:val="111827"/>
                <w:sz w:val="12"/>
              </w:rPr>
              <w:t>$0.93</w:t>
            </w:r>
          </w:p>
        </w:tc>
        <w:tc>
          <w:tcPr>
            <w:tcW w:type="dxa" w:w="1080"/>
            <w:vAlign w:val="center"/>
            <w:shd w:fill="F5F7FA"/>
          </w:tcPr>
          <w:p>
            <w:pPr>
              <w:spacing w:after="0" w:before="0" w:line="240" w:lineRule="auto"/>
            </w:pPr>
            <w:r/>
            <w:r>
              <w:rPr>
                <w:rFonts w:ascii="Aptos" w:hAnsi="Aptos"/>
                <w:b w:val="0"/>
                <w:color w:val="111827"/>
                <w:sz w:val="12"/>
              </w:rPr>
              <w:t>$-1.01</w:t>
            </w:r>
          </w:p>
        </w:tc>
        <w:tc>
          <w:tcPr>
            <w:tcW w:type="dxa" w:w="1008"/>
            <w:vAlign w:val="center"/>
            <w:shd w:fill="F5F7FA"/>
          </w:tcPr>
          <w:p>
            <w:pPr>
              <w:spacing w:after="0" w:before="0" w:line="240" w:lineRule="auto"/>
            </w:pPr>
            <w:r/>
            <w:r>
              <w:rPr>
                <w:rFonts w:ascii="Aptos" w:hAnsi="Aptos"/>
                <w:b w:val="0"/>
                <w:color w:val="111827"/>
                <w:sz w:val="12"/>
              </w:rPr>
              <w:t>$21.05</w:t>
            </w:r>
          </w:p>
        </w:tc>
        <w:tc>
          <w:tcPr>
            <w:tcW w:type="dxa" w:w="720"/>
            <w:vAlign w:val="center"/>
            <w:shd w:fill="F5F7FA"/>
          </w:tcPr>
          <w:p>
            <w:pPr>
              <w:spacing w:after="0" w:before="0" w:line="240" w:lineRule="auto"/>
            </w:pPr>
            <w:r/>
            <w:r>
              <w:rPr>
                <w:rFonts w:ascii="Aptos" w:hAnsi="Aptos"/>
                <w:b w:val="0"/>
                <w:color w:val="111827"/>
                <w:sz w:val="12"/>
              </w:rPr>
              <w:t>No</w:t>
            </w:r>
          </w:p>
        </w:tc>
      </w:tr>
      <w:tr>
        <w:tc>
          <w:tcPr>
            <w:tcW w:type="dxa" w:w="2232"/>
            <w:vAlign w:val="center"/>
          </w:tcPr>
          <w:p>
            <w:pPr>
              <w:spacing w:after="0" w:before="0" w:line="240" w:lineRule="auto"/>
            </w:pPr>
            <w:r/>
            <w:r>
              <w:rPr>
                <w:rFonts w:ascii="Aptos" w:hAnsi="Aptos"/>
                <w:b/>
                <w:color w:val="111827"/>
                <w:sz w:val="12"/>
              </w:rPr>
              <w:t>Small household product ($20)</w:t>
            </w:r>
          </w:p>
        </w:tc>
        <w:tc>
          <w:tcPr>
            <w:tcW w:type="dxa" w:w="2232"/>
            <w:vAlign w:val="center"/>
          </w:tcPr>
          <w:p>
            <w:pPr>
              <w:spacing w:after="0" w:before="0" w:line="240" w:lineRule="auto"/>
            </w:pPr>
            <w:r/>
            <w:r>
              <w:rPr>
                <w:rFonts w:ascii="Aptos" w:hAnsi="Aptos"/>
                <w:b w:val="0"/>
                <w:color w:val="111827"/>
                <w:sz w:val="12"/>
              </w:rPr>
              <w:t>Short-distance parcel</w:t>
            </w:r>
          </w:p>
        </w:tc>
        <w:tc>
          <w:tcPr>
            <w:tcW w:type="dxa" w:w="1080"/>
            <w:vAlign w:val="center"/>
          </w:tcPr>
          <w:p>
            <w:pPr>
              <w:spacing w:after="0" w:before="0" w:line="240" w:lineRule="auto"/>
            </w:pPr>
            <w:r/>
            <w:r>
              <w:rPr>
                <w:rFonts w:ascii="Aptos" w:hAnsi="Aptos"/>
                <w:b w:val="0"/>
                <w:color w:val="111827"/>
                <w:sz w:val="12"/>
              </w:rPr>
              <w:t>$7.25</w:t>
            </w:r>
          </w:p>
        </w:tc>
        <w:tc>
          <w:tcPr>
            <w:tcW w:type="dxa" w:w="1008"/>
            <w:vAlign w:val="center"/>
          </w:tcPr>
          <w:p>
            <w:pPr>
              <w:spacing w:after="0" w:before="0" w:line="240" w:lineRule="auto"/>
            </w:pPr>
            <w:r/>
            <w:r>
              <w:rPr>
                <w:rFonts w:ascii="Aptos" w:hAnsi="Aptos"/>
                <w:b w:val="0"/>
                <w:color w:val="111827"/>
                <w:sz w:val="12"/>
              </w:rPr>
              <w:t>$3.42</w:t>
            </w:r>
          </w:p>
        </w:tc>
        <w:tc>
          <w:tcPr>
            <w:tcW w:type="dxa" w:w="936"/>
            <w:vAlign w:val="center"/>
          </w:tcPr>
          <w:p>
            <w:pPr>
              <w:spacing w:after="0" w:before="0" w:line="240" w:lineRule="auto"/>
            </w:pPr>
            <w:r/>
            <w:r>
              <w:rPr>
                <w:rFonts w:ascii="Aptos" w:hAnsi="Aptos"/>
                <w:b w:val="0"/>
                <w:color w:val="111827"/>
                <w:sz w:val="12"/>
              </w:rPr>
              <w:t>$0.93</w:t>
            </w:r>
          </w:p>
        </w:tc>
        <w:tc>
          <w:tcPr>
            <w:tcW w:type="dxa" w:w="1080"/>
            <w:vAlign w:val="center"/>
          </w:tcPr>
          <w:p>
            <w:pPr>
              <w:spacing w:after="0" w:before="0" w:line="240" w:lineRule="auto"/>
            </w:pPr>
            <w:r/>
            <w:r>
              <w:rPr>
                <w:rFonts w:ascii="Aptos" w:hAnsi="Aptos"/>
                <w:b w:val="0"/>
                <w:color w:val="111827"/>
                <w:sz w:val="12"/>
              </w:rPr>
              <w:t>$-4.76</w:t>
            </w:r>
          </w:p>
        </w:tc>
        <w:tc>
          <w:tcPr>
            <w:tcW w:type="dxa" w:w="1008"/>
            <w:vAlign w:val="center"/>
          </w:tcPr>
          <w:p>
            <w:pPr>
              <w:spacing w:after="0" w:before="0" w:line="240" w:lineRule="auto"/>
            </w:pPr>
            <w:r/>
            <w:r>
              <w:rPr>
                <w:rFonts w:ascii="Aptos" w:hAnsi="Aptos"/>
                <w:b w:val="0"/>
                <w:color w:val="111827"/>
                <w:sz w:val="12"/>
              </w:rPr>
              <w:t>$24.80</w:t>
            </w:r>
          </w:p>
        </w:tc>
        <w:tc>
          <w:tcPr>
            <w:tcW w:type="dxa" w:w="720"/>
            <w:vAlign w:val="center"/>
          </w:tcPr>
          <w:p>
            <w:pPr>
              <w:spacing w:after="0" w:before="0" w:line="240" w:lineRule="auto"/>
            </w:pPr>
            <w:r/>
            <w:r>
              <w:rPr>
                <w:rFonts w:ascii="Aptos" w:hAnsi="Aptos"/>
                <w:b w:val="0"/>
                <w:color w:val="111827"/>
                <w:sz w:val="12"/>
              </w:rPr>
              <w:t>No</w:t>
            </w:r>
          </w:p>
        </w:tc>
      </w:tr>
      <w:tr>
        <w:tc>
          <w:tcPr>
            <w:tcW w:type="dxa" w:w="2232"/>
            <w:vAlign w:val="center"/>
            <w:shd w:fill="F5F7FA"/>
          </w:tcPr>
          <w:p>
            <w:pPr>
              <w:spacing w:after="0" w:before="0" w:line="240" w:lineRule="auto"/>
            </w:pPr>
            <w:r/>
            <w:r>
              <w:rPr>
                <w:rFonts w:ascii="Aptos" w:hAnsi="Aptos"/>
                <w:b/>
                <w:color w:val="111827"/>
                <w:sz w:val="12"/>
              </w:rPr>
              <w:t>Small household product ($20)</w:t>
            </w:r>
          </w:p>
        </w:tc>
        <w:tc>
          <w:tcPr>
            <w:tcW w:type="dxa" w:w="2232"/>
            <w:vAlign w:val="center"/>
            <w:shd w:fill="F5F7FA"/>
          </w:tcPr>
          <w:p>
            <w:pPr>
              <w:spacing w:after="0" w:before="0" w:line="240" w:lineRule="auto"/>
            </w:pPr>
            <w:r/>
            <w:r>
              <w:rPr>
                <w:rFonts w:ascii="Aptos" w:hAnsi="Aptos"/>
                <w:b w:val="0"/>
                <w:color w:val="111827"/>
                <w:sz w:val="12"/>
              </w:rPr>
              <w:t>Long-distance parcel</w:t>
            </w:r>
          </w:p>
        </w:tc>
        <w:tc>
          <w:tcPr>
            <w:tcW w:type="dxa" w:w="1080"/>
            <w:vAlign w:val="center"/>
            <w:shd w:fill="F5F7FA"/>
          </w:tcPr>
          <w:p>
            <w:pPr>
              <w:spacing w:after="0" w:before="0" w:line="240" w:lineRule="auto"/>
            </w:pPr>
            <w:r/>
            <w:r>
              <w:rPr>
                <w:rFonts w:ascii="Aptos" w:hAnsi="Aptos"/>
                <w:b w:val="0"/>
                <w:color w:val="111827"/>
                <w:sz w:val="12"/>
              </w:rPr>
              <w:t>$11.50</w:t>
            </w:r>
          </w:p>
        </w:tc>
        <w:tc>
          <w:tcPr>
            <w:tcW w:type="dxa" w:w="1008"/>
            <w:vAlign w:val="center"/>
            <w:shd w:fill="F5F7FA"/>
          </w:tcPr>
          <w:p>
            <w:pPr>
              <w:spacing w:after="0" w:before="0" w:line="240" w:lineRule="auto"/>
            </w:pPr>
            <w:r/>
            <w:r>
              <w:rPr>
                <w:rFonts w:ascii="Aptos" w:hAnsi="Aptos"/>
                <w:b w:val="0"/>
                <w:color w:val="111827"/>
                <w:sz w:val="12"/>
              </w:rPr>
              <w:t>$3.42</w:t>
            </w:r>
          </w:p>
        </w:tc>
        <w:tc>
          <w:tcPr>
            <w:tcW w:type="dxa" w:w="936"/>
            <w:vAlign w:val="center"/>
            <w:shd w:fill="F5F7FA"/>
          </w:tcPr>
          <w:p>
            <w:pPr>
              <w:spacing w:after="0" w:before="0" w:line="240" w:lineRule="auto"/>
            </w:pPr>
            <w:r/>
            <w:r>
              <w:rPr>
                <w:rFonts w:ascii="Aptos" w:hAnsi="Aptos"/>
                <w:b w:val="0"/>
                <w:color w:val="111827"/>
                <w:sz w:val="12"/>
              </w:rPr>
              <w:t>$0.93</w:t>
            </w:r>
          </w:p>
        </w:tc>
        <w:tc>
          <w:tcPr>
            <w:tcW w:type="dxa" w:w="1080"/>
            <w:vAlign w:val="center"/>
            <w:shd w:fill="F5F7FA"/>
          </w:tcPr>
          <w:p>
            <w:pPr>
              <w:spacing w:after="0" w:before="0" w:line="240" w:lineRule="auto"/>
            </w:pPr>
            <w:r/>
            <w:r>
              <w:rPr>
                <w:rFonts w:ascii="Aptos" w:hAnsi="Aptos"/>
                <w:b w:val="0"/>
                <w:color w:val="111827"/>
                <w:sz w:val="12"/>
              </w:rPr>
              <w:t>$-9.01</w:t>
            </w:r>
          </w:p>
        </w:tc>
        <w:tc>
          <w:tcPr>
            <w:tcW w:type="dxa" w:w="1008"/>
            <w:vAlign w:val="center"/>
            <w:shd w:fill="F5F7FA"/>
          </w:tcPr>
          <w:p>
            <w:pPr>
              <w:spacing w:after="0" w:before="0" w:line="240" w:lineRule="auto"/>
            </w:pPr>
            <w:r/>
            <w:r>
              <w:rPr>
                <w:rFonts w:ascii="Aptos" w:hAnsi="Aptos"/>
                <w:b w:val="0"/>
                <w:color w:val="111827"/>
                <w:sz w:val="12"/>
              </w:rPr>
              <w:t>$29.05</w:t>
            </w:r>
          </w:p>
        </w:tc>
        <w:tc>
          <w:tcPr>
            <w:tcW w:type="dxa" w:w="720"/>
            <w:vAlign w:val="center"/>
            <w:shd w:fill="F5F7FA"/>
          </w:tcPr>
          <w:p>
            <w:pPr>
              <w:spacing w:after="0" w:before="0" w:line="240" w:lineRule="auto"/>
            </w:pPr>
            <w:r/>
            <w:r>
              <w:rPr>
                <w:rFonts w:ascii="Aptos" w:hAnsi="Aptos"/>
                <w:b w:val="0"/>
                <w:color w:val="111827"/>
                <w:sz w:val="12"/>
              </w:rPr>
              <w:t>No</w:t>
            </w:r>
          </w:p>
        </w:tc>
      </w:tr>
      <w:tr>
        <w:tc>
          <w:tcPr>
            <w:tcW w:type="dxa" w:w="2232"/>
            <w:vAlign w:val="center"/>
          </w:tcPr>
          <w:p>
            <w:pPr>
              <w:spacing w:after="0" w:before="0" w:line="240" w:lineRule="auto"/>
            </w:pPr>
            <w:r/>
            <w:r>
              <w:rPr>
                <w:rFonts w:ascii="Aptos" w:hAnsi="Aptos"/>
                <w:b/>
                <w:color w:val="111827"/>
                <w:sz w:val="12"/>
              </w:rPr>
              <w:t>Small household product ($20)</w:t>
            </w:r>
          </w:p>
        </w:tc>
        <w:tc>
          <w:tcPr>
            <w:tcW w:type="dxa" w:w="2232"/>
            <w:vAlign w:val="center"/>
          </w:tcPr>
          <w:p>
            <w:pPr>
              <w:spacing w:after="0" w:before="0" w:line="240" w:lineRule="auto"/>
            </w:pPr>
            <w:r/>
            <w:r>
              <w:rPr>
                <w:rFonts w:ascii="Aptos" w:hAnsi="Aptos"/>
                <w:b w:val="0"/>
                <w:color w:val="111827"/>
                <w:sz w:val="12"/>
              </w:rPr>
              <w:t>Oversize shipment</w:t>
            </w:r>
          </w:p>
        </w:tc>
        <w:tc>
          <w:tcPr>
            <w:tcW w:type="dxa" w:w="1080"/>
            <w:vAlign w:val="center"/>
          </w:tcPr>
          <w:p>
            <w:pPr>
              <w:spacing w:after="0" w:before="0" w:line="240" w:lineRule="auto"/>
            </w:pPr>
            <w:r/>
            <w:r>
              <w:rPr>
                <w:rFonts w:ascii="Aptos" w:hAnsi="Aptos"/>
                <w:b w:val="0"/>
                <w:color w:val="111827"/>
                <w:sz w:val="12"/>
              </w:rPr>
              <w:t>$32.00</w:t>
            </w:r>
          </w:p>
        </w:tc>
        <w:tc>
          <w:tcPr>
            <w:tcW w:type="dxa" w:w="1008"/>
            <w:vAlign w:val="center"/>
          </w:tcPr>
          <w:p>
            <w:pPr>
              <w:spacing w:after="0" w:before="0" w:line="240" w:lineRule="auto"/>
            </w:pPr>
            <w:r/>
            <w:r>
              <w:rPr>
                <w:rFonts w:ascii="Aptos" w:hAnsi="Aptos"/>
                <w:b w:val="0"/>
                <w:color w:val="111827"/>
                <w:sz w:val="12"/>
              </w:rPr>
              <w:t>$3.42</w:t>
            </w:r>
          </w:p>
        </w:tc>
        <w:tc>
          <w:tcPr>
            <w:tcW w:type="dxa" w:w="936"/>
            <w:vAlign w:val="center"/>
          </w:tcPr>
          <w:p>
            <w:pPr>
              <w:spacing w:after="0" w:before="0" w:line="240" w:lineRule="auto"/>
            </w:pPr>
            <w:r/>
            <w:r>
              <w:rPr>
                <w:rFonts w:ascii="Aptos" w:hAnsi="Aptos"/>
                <w:b w:val="0"/>
                <w:color w:val="111827"/>
                <w:sz w:val="12"/>
              </w:rPr>
              <w:t>$0.93</w:t>
            </w:r>
          </w:p>
        </w:tc>
        <w:tc>
          <w:tcPr>
            <w:tcW w:type="dxa" w:w="1080"/>
            <w:vAlign w:val="center"/>
          </w:tcPr>
          <w:p>
            <w:pPr>
              <w:spacing w:after="0" w:before="0" w:line="240" w:lineRule="auto"/>
            </w:pPr>
            <w:r/>
            <w:r>
              <w:rPr>
                <w:rFonts w:ascii="Aptos" w:hAnsi="Aptos"/>
                <w:b w:val="0"/>
                <w:color w:val="111827"/>
                <w:sz w:val="12"/>
              </w:rPr>
              <w:t>$-29.51</w:t>
            </w:r>
          </w:p>
        </w:tc>
        <w:tc>
          <w:tcPr>
            <w:tcW w:type="dxa" w:w="1008"/>
            <w:vAlign w:val="center"/>
          </w:tcPr>
          <w:p>
            <w:pPr>
              <w:spacing w:after="0" w:before="0" w:line="240" w:lineRule="auto"/>
            </w:pPr>
            <w:r/>
            <w:r>
              <w:rPr>
                <w:rFonts w:ascii="Aptos" w:hAnsi="Aptos"/>
                <w:b w:val="0"/>
                <w:color w:val="111827"/>
                <w:sz w:val="12"/>
              </w:rPr>
              <w:t>$49.55</w:t>
            </w:r>
          </w:p>
        </w:tc>
        <w:tc>
          <w:tcPr>
            <w:tcW w:type="dxa" w:w="720"/>
            <w:vAlign w:val="center"/>
          </w:tcPr>
          <w:p>
            <w:pPr>
              <w:spacing w:after="0" w:before="0" w:line="240" w:lineRule="auto"/>
            </w:pPr>
            <w:r/>
            <w:r>
              <w:rPr>
                <w:rFonts w:ascii="Aptos" w:hAnsi="Aptos"/>
                <w:b w:val="0"/>
                <w:color w:val="111827"/>
                <w:sz w:val="12"/>
              </w:rPr>
              <w:t>No</w:t>
            </w:r>
          </w:p>
        </w:tc>
      </w:tr>
      <w:tr>
        <w:tc>
          <w:tcPr>
            <w:tcW w:type="dxa" w:w="2232"/>
            <w:vAlign w:val="center"/>
            <w:shd w:fill="F5F7FA"/>
          </w:tcPr>
          <w:p>
            <w:pPr>
              <w:spacing w:after="0" w:before="0" w:line="240" w:lineRule="auto"/>
            </w:pPr>
            <w:r/>
            <w:r>
              <w:rPr>
                <w:rFonts w:ascii="Aptos" w:hAnsi="Aptos"/>
                <w:b/>
                <w:color w:val="111827"/>
                <w:sz w:val="12"/>
              </w:rPr>
              <w:t>Small household product ($20)</w:t>
            </w:r>
          </w:p>
        </w:tc>
        <w:tc>
          <w:tcPr>
            <w:tcW w:type="dxa" w:w="2232"/>
            <w:vAlign w:val="center"/>
            <w:shd w:fill="F5F7FA"/>
          </w:tcPr>
          <w:p>
            <w:pPr>
              <w:spacing w:after="0" w:before="0" w:line="240" w:lineRule="auto"/>
            </w:pPr>
            <w:r/>
            <w:r>
              <w:rPr>
                <w:rFonts w:ascii="Aptos" w:hAnsi="Aptos"/>
                <w:b w:val="0"/>
                <w:color w:val="111827"/>
                <w:sz w:val="12"/>
              </w:rPr>
              <w:t>Local pickup</w:t>
            </w:r>
          </w:p>
        </w:tc>
        <w:tc>
          <w:tcPr>
            <w:tcW w:type="dxa" w:w="1080"/>
            <w:vAlign w:val="center"/>
            <w:shd w:fill="F5F7FA"/>
          </w:tcPr>
          <w:p>
            <w:pPr>
              <w:spacing w:after="0" w:before="0" w:line="240" w:lineRule="auto"/>
            </w:pPr>
            <w:r/>
            <w:r>
              <w:rPr>
                <w:rFonts w:ascii="Aptos" w:hAnsi="Aptos"/>
                <w:b w:val="0"/>
                <w:color w:val="111827"/>
                <w:sz w:val="12"/>
              </w:rPr>
              <w:t>$30.00</w:t>
            </w:r>
          </w:p>
        </w:tc>
        <w:tc>
          <w:tcPr>
            <w:tcW w:type="dxa" w:w="1008"/>
            <w:vAlign w:val="center"/>
            <w:shd w:fill="F5F7FA"/>
          </w:tcPr>
          <w:p>
            <w:pPr>
              <w:spacing w:after="0" w:before="0" w:line="240" w:lineRule="auto"/>
            </w:pPr>
            <w:r/>
            <w:r>
              <w:rPr>
                <w:rFonts w:ascii="Aptos" w:hAnsi="Aptos"/>
                <w:b w:val="0"/>
                <w:color w:val="111827"/>
                <w:sz w:val="12"/>
              </w:rPr>
              <w:t>$3.42</w:t>
            </w:r>
          </w:p>
        </w:tc>
        <w:tc>
          <w:tcPr>
            <w:tcW w:type="dxa" w:w="936"/>
            <w:vAlign w:val="center"/>
            <w:shd w:fill="F5F7FA"/>
          </w:tcPr>
          <w:p>
            <w:pPr>
              <w:spacing w:after="0" w:before="0" w:line="240" w:lineRule="auto"/>
            </w:pPr>
            <w:r/>
            <w:r>
              <w:rPr>
                <w:rFonts w:ascii="Aptos" w:hAnsi="Aptos"/>
                <w:b w:val="0"/>
                <w:color w:val="111827"/>
                <w:sz w:val="12"/>
              </w:rPr>
              <w:t>$0.93</w:t>
            </w:r>
          </w:p>
        </w:tc>
        <w:tc>
          <w:tcPr>
            <w:tcW w:type="dxa" w:w="1080"/>
            <w:vAlign w:val="center"/>
            <w:shd w:fill="F5F7FA"/>
          </w:tcPr>
          <w:p>
            <w:pPr>
              <w:spacing w:after="0" w:before="0" w:line="240" w:lineRule="auto"/>
            </w:pPr>
            <w:r/>
            <w:r>
              <w:rPr>
                <w:rFonts w:ascii="Aptos" w:hAnsi="Aptos"/>
                <w:b w:val="0"/>
                <w:color w:val="111827"/>
                <w:sz w:val="12"/>
              </w:rPr>
              <w:t>$-27.51</w:t>
            </w:r>
          </w:p>
        </w:tc>
        <w:tc>
          <w:tcPr>
            <w:tcW w:type="dxa" w:w="1008"/>
            <w:vAlign w:val="center"/>
            <w:shd w:fill="F5F7FA"/>
          </w:tcPr>
          <w:p>
            <w:pPr>
              <w:spacing w:after="0" w:before="0" w:line="240" w:lineRule="auto"/>
            </w:pPr>
            <w:r/>
            <w:r>
              <w:rPr>
                <w:rFonts w:ascii="Aptos" w:hAnsi="Aptos"/>
                <w:b w:val="0"/>
                <w:color w:val="111827"/>
                <w:sz w:val="12"/>
              </w:rPr>
              <w:t>$47.55</w:t>
            </w:r>
          </w:p>
        </w:tc>
        <w:tc>
          <w:tcPr>
            <w:tcW w:type="dxa" w:w="720"/>
            <w:vAlign w:val="center"/>
            <w:shd w:fill="F5F7FA"/>
          </w:tcPr>
          <w:p>
            <w:pPr>
              <w:spacing w:after="0" w:before="0" w:line="240" w:lineRule="auto"/>
            </w:pPr>
            <w:r/>
            <w:r>
              <w:rPr>
                <w:rFonts w:ascii="Aptos" w:hAnsi="Aptos"/>
                <w:b w:val="0"/>
                <w:color w:val="111827"/>
                <w:sz w:val="12"/>
              </w:rPr>
              <w:t>No</w:t>
            </w:r>
          </w:p>
        </w:tc>
      </w:tr>
      <w:tr>
        <w:tc>
          <w:tcPr>
            <w:tcW w:type="dxa" w:w="2232"/>
            <w:vAlign w:val="center"/>
          </w:tcPr>
          <w:p>
            <w:pPr>
              <w:spacing w:after="0" w:before="0" w:line="240" w:lineRule="auto"/>
            </w:pPr>
            <w:r/>
            <w:r>
              <w:rPr>
                <w:rFonts w:ascii="Aptos" w:hAnsi="Aptos"/>
                <w:b/>
                <w:color w:val="111827"/>
                <w:sz w:val="12"/>
              </w:rPr>
              <w:t>Small household product ($20)</w:t>
            </w:r>
          </w:p>
        </w:tc>
        <w:tc>
          <w:tcPr>
            <w:tcW w:type="dxa" w:w="2232"/>
            <w:vAlign w:val="center"/>
          </w:tcPr>
          <w:p>
            <w:pPr>
              <w:spacing w:after="0" w:before="0" w:line="240" w:lineRule="auto"/>
            </w:pPr>
            <w:r/>
            <w:r>
              <w:rPr>
                <w:rFonts w:ascii="Aptos" w:hAnsi="Aptos"/>
                <w:b w:val="0"/>
                <w:color w:val="111827"/>
                <w:sz w:val="12"/>
              </w:rPr>
              <w:t>Pallet liquidation</w:t>
            </w:r>
          </w:p>
        </w:tc>
        <w:tc>
          <w:tcPr>
            <w:tcW w:type="dxa" w:w="1080"/>
            <w:vAlign w:val="center"/>
          </w:tcPr>
          <w:p>
            <w:pPr>
              <w:spacing w:after="0" w:before="0" w:line="240" w:lineRule="auto"/>
            </w:pPr>
            <w:r/>
            <w:r>
              <w:rPr>
                <w:rFonts w:ascii="Aptos" w:hAnsi="Aptos"/>
                <w:b w:val="0"/>
                <w:color w:val="111827"/>
                <w:sz w:val="12"/>
              </w:rPr>
              <w:t>$1.00</w:t>
            </w:r>
          </w:p>
        </w:tc>
        <w:tc>
          <w:tcPr>
            <w:tcW w:type="dxa" w:w="1008"/>
            <w:vAlign w:val="center"/>
          </w:tcPr>
          <w:p>
            <w:pPr>
              <w:spacing w:after="0" w:before="0" w:line="240" w:lineRule="auto"/>
            </w:pPr>
            <w:r/>
            <w:r>
              <w:rPr>
                <w:rFonts w:ascii="Aptos" w:hAnsi="Aptos"/>
                <w:b w:val="0"/>
                <w:color w:val="111827"/>
                <w:sz w:val="12"/>
              </w:rPr>
              <w:t>$3.42</w:t>
            </w:r>
          </w:p>
        </w:tc>
        <w:tc>
          <w:tcPr>
            <w:tcW w:type="dxa" w:w="936"/>
            <w:vAlign w:val="center"/>
          </w:tcPr>
          <w:p>
            <w:pPr>
              <w:spacing w:after="0" w:before="0" w:line="240" w:lineRule="auto"/>
            </w:pPr>
            <w:r/>
            <w:r>
              <w:rPr>
                <w:rFonts w:ascii="Aptos" w:hAnsi="Aptos"/>
                <w:b w:val="0"/>
                <w:color w:val="111827"/>
                <w:sz w:val="12"/>
              </w:rPr>
              <w:t>$0.93</w:t>
            </w:r>
          </w:p>
        </w:tc>
        <w:tc>
          <w:tcPr>
            <w:tcW w:type="dxa" w:w="1080"/>
            <w:vAlign w:val="center"/>
          </w:tcPr>
          <w:p>
            <w:pPr>
              <w:spacing w:after="0" w:before="0" w:line="240" w:lineRule="auto"/>
            </w:pPr>
            <w:r/>
            <w:r>
              <w:rPr>
                <w:rFonts w:ascii="Aptos" w:hAnsi="Aptos"/>
                <w:b w:val="0"/>
                <w:color w:val="111827"/>
                <w:sz w:val="12"/>
              </w:rPr>
              <w:t>$1.49</w:t>
            </w:r>
          </w:p>
        </w:tc>
        <w:tc>
          <w:tcPr>
            <w:tcW w:type="dxa" w:w="1008"/>
            <w:vAlign w:val="center"/>
          </w:tcPr>
          <w:p>
            <w:pPr>
              <w:spacing w:after="0" w:before="0" w:line="240" w:lineRule="auto"/>
            </w:pPr>
            <w:r/>
            <w:r>
              <w:rPr>
                <w:rFonts w:ascii="Aptos" w:hAnsi="Aptos"/>
                <w:b w:val="0"/>
                <w:color w:val="111827"/>
                <w:sz w:val="12"/>
              </w:rPr>
              <w:t>$18.55</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Footwear/premium apparel ($100)</w:t>
            </w:r>
          </w:p>
        </w:tc>
        <w:tc>
          <w:tcPr>
            <w:tcW w:type="dxa" w:w="2232"/>
            <w:vAlign w:val="center"/>
            <w:shd w:fill="F5F7FA"/>
          </w:tcPr>
          <w:p>
            <w:pPr>
              <w:spacing w:after="0" w:before="0" w:line="240" w:lineRule="auto"/>
            </w:pPr>
            <w:r/>
            <w:r>
              <w:rPr>
                <w:rFonts w:ascii="Aptos" w:hAnsi="Aptos"/>
                <w:b w:val="0"/>
                <w:color w:val="111827"/>
                <w:sz w:val="12"/>
              </w:rPr>
              <w:t>Store return</w:t>
            </w:r>
          </w:p>
        </w:tc>
        <w:tc>
          <w:tcPr>
            <w:tcW w:type="dxa" w:w="1080"/>
            <w:vAlign w:val="center"/>
            <w:shd w:fill="F5F7FA"/>
          </w:tcPr>
          <w:p>
            <w:pPr>
              <w:spacing w:after="0" w:before="0" w:line="240" w:lineRule="auto"/>
            </w:pPr>
            <w:r/>
            <w:r>
              <w:rPr>
                <w:rFonts w:ascii="Aptos" w:hAnsi="Aptos"/>
                <w:b w:val="0"/>
                <w:color w:val="111827"/>
                <w:sz w:val="12"/>
              </w:rPr>
              <w:t>$1.75</w:t>
            </w:r>
          </w:p>
        </w:tc>
        <w:tc>
          <w:tcPr>
            <w:tcW w:type="dxa" w:w="1008"/>
            <w:vAlign w:val="center"/>
            <w:shd w:fill="F5F7FA"/>
          </w:tcPr>
          <w:p>
            <w:pPr>
              <w:spacing w:after="0" w:before="0" w:line="240" w:lineRule="auto"/>
            </w:pPr>
            <w:r/>
            <w:r>
              <w:rPr>
                <w:rFonts w:ascii="Aptos" w:hAnsi="Aptos"/>
                <w:b w:val="0"/>
                <w:color w:val="111827"/>
                <w:sz w:val="12"/>
              </w:rPr>
              <w:t>$49.07</w:t>
            </w:r>
          </w:p>
        </w:tc>
        <w:tc>
          <w:tcPr>
            <w:tcW w:type="dxa" w:w="936"/>
            <w:vAlign w:val="center"/>
            <w:shd w:fill="F5F7FA"/>
          </w:tcPr>
          <w:p>
            <w:pPr>
              <w:spacing w:after="0" w:before="0" w:line="240" w:lineRule="auto"/>
            </w:pPr>
            <w:r/>
            <w:r>
              <w:rPr>
                <w:rFonts w:ascii="Aptos" w:hAnsi="Aptos"/>
                <w:b w:val="0"/>
                <w:color w:val="111827"/>
                <w:sz w:val="12"/>
              </w:rPr>
              <w:t>$1.87</w:t>
            </w:r>
          </w:p>
        </w:tc>
        <w:tc>
          <w:tcPr>
            <w:tcW w:type="dxa" w:w="1080"/>
            <w:vAlign w:val="center"/>
            <w:shd w:fill="F5F7FA"/>
          </w:tcPr>
          <w:p>
            <w:pPr>
              <w:spacing w:after="0" w:before="0" w:line="240" w:lineRule="auto"/>
            </w:pPr>
            <w:r/>
            <w:r>
              <w:rPr>
                <w:rFonts w:ascii="Aptos" w:hAnsi="Aptos"/>
                <w:b w:val="0"/>
                <w:color w:val="111827"/>
                <w:sz w:val="12"/>
              </w:rPr>
              <w:t>$45.45</w:t>
            </w:r>
          </w:p>
        </w:tc>
        <w:tc>
          <w:tcPr>
            <w:tcW w:type="dxa" w:w="1008"/>
            <w:vAlign w:val="center"/>
            <w:shd w:fill="F5F7FA"/>
          </w:tcPr>
          <w:p>
            <w:pPr>
              <w:spacing w:after="0" w:before="0" w:line="240" w:lineRule="auto"/>
            </w:pPr>
            <w:r/>
            <w:r>
              <w:rPr>
                <w:rFonts w:ascii="Aptos" w:hAnsi="Aptos"/>
                <w:b w:val="0"/>
                <w:color w:val="111827"/>
                <w:sz w:val="12"/>
              </w:rPr>
              <w:t>$54.91</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Footwear/premium apparel ($100)</w:t>
            </w:r>
          </w:p>
        </w:tc>
        <w:tc>
          <w:tcPr>
            <w:tcW w:type="dxa" w:w="2232"/>
            <w:vAlign w:val="center"/>
          </w:tcPr>
          <w:p>
            <w:pPr>
              <w:spacing w:after="0" w:before="0" w:line="240" w:lineRule="auto"/>
            </w:pPr>
            <w:r/>
            <w:r>
              <w:rPr>
                <w:rFonts w:ascii="Aptos" w:hAnsi="Aptos"/>
                <w:b w:val="0"/>
                <w:color w:val="111827"/>
                <w:sz w:val="12"/>
              </w:rPr>
              <w:t>Nearby drop-off + consolidation</w:t>
            </w:r>
          </w:p>
        </w:tc>
        <w:tc>
          <w:tcPr>
            <w:tcW w:type="dxa" w:w="1080"/>
            <w:vAlign w:val="center"/>
          </w:tcPr>
          <w:p>
            <w:pPr>
              <w:spacing w:after="0" w:before="0" w:line="240" w:lineRule="auto"/>
            </w:pPr>
            <w:r/>
            <w:r>
              <w:rPr>
                <w:rFonts w:ascii="Aptos" w:hAnsi="Aptos"/>
                <w:b w:val="0"/>
                <w:color w:val="111827"/>
                <w:sz w:val="12"/>
              </w:rPr>
              <w:t>$4.00</w:t>
            </w:r>
          </w:p>
        </w:tc>
        <w:tc>
          <w:tcPr>
            <w:tcW w:type="dxa" w:w="1008"/>
            <w:vAlign w:val="center"/>
          </w:tcPr>
          <w:p>
            <w:pPr>
              <w:spacing w:after="0" w:before="0" w:line="240" w:lineRule="auto"/>
            </w:pPr>
            <w:r/>
            <w:r>
              <w:rPr>
                <w:rFonts w:ascii="Aptos" w:hAnsi="Aptos"/>
                <w:b w:val="0"/>
                <w:color w:val="111827"/>
                <w:sz w:val="12"/>
              </w:rPr>
              <w:t>$49.07</w:t>
            </w:r>
          </w:p>
        </w:tc>
        <w:tc>
          <w:tcPr>
            <w:tcW w:type="dxa" w:w="936"/>
            <w:vAlign w:val="center"/>
          </w:tcPr>
          <w:p>
            <w:pPr>
              <w:spacing w:after="0" w:before="0" w:line="240" w:lineRule="auto"/>
            </w:pPr>
            <w:r/>
            <w:r>
              <w:rPr>
                <w:rFonts w:ascii="Aptos" w:hAnsi="Aptos"/>
                <w:b w:val="0"/>
                <w:color w:val="111827"/>
                <w:sz w:val="12"/>
              </w:rPr>
              <w:t>$1.87</w:t>
            </w:r>
          </w:p>
        </w:tc>
        <w:tc>
          <w:tcPr>
            <w:tcW w:type="dxa" w:w="1080"/>
            <w:vAlign w:val="center"/>
          </w:tcPr>
          <w:p>
            <w:pPr>
              <w:spacing w:after="0" w:before="0" w:line="240" w:lineRule="auto"/>
            </w:pPr>
            <w:r/>
            <w:r>
              <w:rPr>
                <w:rFonts w:ascii="Aptos" w:hAnsi="Aptos"/>
                <w:b w:val="0"/>
                <w:color w:val="111827"/>
                <w:sz w:val="12"/>
              </w:rPr>
              <w:t>$43.20</w:t>
            </w:r>
          </w:p>
        </w:tc>
        <w:tc>
          <w:tcPr>
            <w:tcW w:type="dxa" w:w="1008"/>
            <w:vAlign w:val="center"/>
          </w:tcPr>
          <w:p>
            <w:pPr>
              <w:spacing w:after="0" w:before="0" w:line="240" w:lineRule="auto"/>
            </w:pPr>
            <w:r/>
            <w:r>
              <w:rPr>
                <w:rFonts w:ascii="Aptos" w:hAnsi="Aptos"/>
                <w:b w:val="0"/>
                <w:color w:val="111827"/>
                <w:sz w:val="12"/>
              </w:rPr>
              <w:t>$57.16</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Footwear/premium apparel ($100)</w:t>
            </w:r>
          </w:p>
        </w:tc>
        <w:tc>
          <w:tcPr>
            <w:tcW w:type="dxa" w:w="2232"/>
            <w:vAlign w:val="center"/>
            <w:shd w:fill="F5F7FA"/>
          </w:tcPr>
          <w:p>
            <w:pPr>
              <w:spacing w:after="0" w:before="0" w:line="240" w:lineRule="auto"/>
            </w:pPr>
            <w:r/>
            <w:r>
              <w:rPr>
                <w:rFonts w:ascii="Aptos" w:hAnsi="Aptos"/>
                <w:b w:val="0"/>
                <w:color w:val="111827"/>
                <w:sz w:val="12"/>
              </w:rPr>
              <w:t>Short-distance parcel</w:t>
            </w:r>
          </w:p>
        </w:tc>
        <w:tc>
          <w:tcPr>
            <w:tcW w:type="dxa" w:w="1080"/>
            <w:vAlign w:val="center"/>
            <w:shd w:fill="F5F7FA"/>
          </w:tcPr>
          <w:p>
            <w:pPr>
              <w:spacing w:after="0" w:before="0" w:line="240" w:lineRule="auto"/>
            </w:pPr>
            <w:r/>
            <w:r>
              <w:rPr>
                <w:rFonts w:ascii="Aptos" w:hAnsi="Aptos"/>
                <w:b w:val="0"/>
                <w:color w:val="111827"/>
                <w:sz w:val="12"/>
              </w:rPr>
              <w:t>$7.50</w:t>
            </w:r>
          </w:p>
        </w:tc>
        <w:tc>
          <w:tcPr>
            <w:tcW w:type="dxa" w:w="1008"/>
            <w:vAlign w:val="center"/>
            <w:shd w:fill="F5F7FA"/>
          </w:tcPr>
          <w:p>
            <w:pPr>
              <w:spacing w:after="0" w:before="0" w:line="240" w:lineRule="auto"/>
            </w:pPr>
            <w:r/>
            <w:r>
              <w:rPr>
                <w:rFonts w:ascii="Aptos" w:hAnsi="Aptos"/>
                <w:b w:val="0"/>
                <w:color w:val="111827"/>
                <w:sz w:val="12"/>
              </w:rPr>
              <w:t>$49.07</w:t>
            </w:r>
          </w:p>
        </w:tc>
        <w:tc>
          <w:tcPr>
            <w:tcW w:type="dxa" w:w="936"/>
            <w:vAlign w:val="center"/>
            <w:shd w:fill="F5F7FA"/>
          </w:tcPr>
          <w:p>
            <w:pPr>
              <w:spacing w:after="0" w:before="0" w:line="240" w:lineRule="auto"/>
            </w:pPr>
            <w:r/>
            <w:r>
              <w:rPr>
                <w:rFonts w:ascii="Aptos" w:hAnsi="Aptos"/>
                <w:b w:val="0"/>
                <w:color w:val="111827"/>
                <w:sz w:val="12"/>
              </w:rPr>
              <w:t>$1.87</w:t>
            </w:r>
          </w:p>
        </w:tc>
        <w:tc>
          <w:tcPr>
            <w:tcW w:type="dxa" w:w="1080"/>
            <w:vAlign w:val="center"/>
            <w:shd w:fill="F5F7FA"/>
          </w:tcPr>
          <w:p>
            <w:pPr>
              <w:spacing w:after="0" w:before="0" w:line="240" w:lineRule="auto"/>
            </w:pPr>
            <w:r/>
            <w:r>
              <w:rPr>
                <w:rFonts w:ascii="Aptos" w:hAnsi="Aptos"/>
                <w:b w:val="0"/>
                <w:color w:val="111827"/>
                <w:sz w:val="12"/>
              </w:rPr>
              <w:t>$39.70</w:t>
            </w:r>
          </w:p>
        </w:tc>
        <w:tc>
          <w:tcPr>
            <w:tcW w:type="dxa" w:w="1008"/>
            <w:vAlign w:val="center"/>
            <w:shd w:fill="F5F7FA"/>
          </w:tcPr>
          <w:p>
            <w:pPr>
              <w:spacing w:after="0" w:before="0" w:line="240" w:lineRule="auto"/>
            </w:pPr>
            <w:r/>
            <w:r>
              <w:rPr>
                <w:rFonts w:ascii="Aptos" w:hAnsi="Aptos"/>
                <w:b w:val="0"/>
                <w:color w:val="111827"/>
                <w:sz w:val="12"/>
              </w:rPr>
              <w:t>$60.66</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Footwear/premium apparel ($100)</w:t>
            </w:r>
          </w:p>
        </w:tc>
        <w:tc>
          <w:tcPr>
            <w:tcW w:type="dxa" w:w="2232"/>
            <w:vAlign w:val="center"/>
          </w:tcPr>
          <w:p>
            <w:pPr>
              <w:spacing w:after="0" w:before="0" w:line="240" w:lineRule="auto"/>
            </w:pPr>
            <w:r/>
            <w:r>
              <w:rPr>
                <w:rFonts w:ascii="Aptos" w:hAnsi="Aptos"/>
                <w:b w:val="0"/>
                <w:color w:val="111827"/>
                <w:sz w:val="12"/>
              </w:rPr>
              <w:t>Long-distance parcel</w:t>
            </w:r>
          </w:p>
        </w:tc>
        <w:tc>
          <w:tcPr>
            <w:tcW w:type="dxa" w:w="1080"/>
            <w:vAlign w:val="center"/>
          </w:tcPr>
          <w:p>
            <w:pPr>
              <w:spacing w:after="0" w:before="0" w:line="240" w:lineRule="auto"/>
            </w:pPr>
            <w:r/>
            <w:r>
              <w:rPr>
                <w:rFonts w:ascii="Aptos" w:hAnsi="Aptos"/>
                <w:b w:val="0"/>
                <w:color w:val="111827"/>
                <w:sz w:val="12"/>
              </w:rPr>
              <w:t>$11.00</w:t>
            </w:r>
          </w:p>
        </w:tc>
        <w:tc>
          <w:tcPr>
            <w:tcW w:type="dxa" w:w="1008"/>
            <w:vAlign w:val="center"/>
          </w:tcPr>
          <w:p>
            <w:pPr>
              <w:spacing w:after="0" w:before="0" w:line="240" w:lineRule="auto"/>
            </w:pPr>
            <w:r/>
            <w:r>
              <w:rPr>
                <w:rFonts w:ascii="Aptos" w:hAnsi="Aptos"/>
                <w:b w:val="0"/>
                <w:color w:val="111827"/>
                <w:sz w:val="12"/>
              </w:rPr>
              <w:t>$49.07</w:t>
            </w:r>
          </w:p>
        </w:tc>
        <w:tc>
          <w:tcPr>
            <w:tcW w:type="dxa" w:w="936"/>
            <w:vAlign w:val="center"/>
          </w:tcPr>
          <w:p>
            <w:pPr>
              <w:spacing w:after="0" w:before="0" w:line="240" w:lineRule="auto"/>
            </w:pPr>
            <w:r/>
            <w:r>
              <w:rPr>
                <w:rFonts w:ascii="Aptos" w:hAnsi="Aptos"/>
                <w:b w:val="0"/>
                <w:color w:val="111827"/>
                <w:sz w:val="12"/>
              </w:rPr>
              <w:t>$1.87</w:t>
            </w:r>
          </w:p>
        </w:tc>
        <w:tc>
          <w:tcPr>
            <w:tcW w:type="dxa" w:w="1080"/>
            <w:vAlign w:val="center"/>
          </w:tcPr>
          <w:p>
            <w:pPr>
              <w:spacing w:after="0" w:before="0" w:line="240" w:lineRule="auto"/>
            </w:pPr>
            <w:r/>
            <w:r>
              <w:rPr>
                <w:rFonts w:ascii="Aptos" w:hAnsi="Aptos"/>
                <w:b w:val="0"/>
                <w:color w:val="111827"/>
                <w:sz w:val="12"/>
              </w:rPr>
              <w:t>$36.20</w:t>
            </w:r>
          </w:p>
        </w:tc>
        <w:tc>
          <w:tcPr>
            <w:tcW w:type="dxa" w:w="1008"/>
            <w:vAlign w:val="center"/>
          </w:tcPr>
          <w:p>
            <w:pPr>
              <w:spacing w:after="0" w:before="0" w:line="240" w:lineRule="auto"/>
            </w:pPr>
            <w:r/>
            <w:r>
              <w:rPr>
                <w:rFonts w:ascii="Aptos" w:hAnsi="Aptos"/>
                <w:b w:val="0"/>
                <w:color w:val="111827"/>
                <w:sz w:val="12"/>
              </w:rPr>
              <w:t>$64.16</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Footwear/premium apparel ($100)</w:t>
            </w:r>
          </w:p>
        </w:tc>
        <w:tc>
          <w:tcPr>
            <w:tcW w:type="dxa" w:w="2232"/>
            <w:vAlign w:val="center"/>
            <w:shd w:fill="F5F7FA"/>
          </w:tcPr>
          <w:p>
            <w:pPr>
              <w:spacing w:after="0" w:before="0" w:line="240" w:lineRule="auto"/>
            </w:pPr>
            <w:r/>
            <w:r>
              <w:rPr>
                <w:rFonts w:ascii="Aptos" w:hAnsi="Aptos"/>
                <w:b w:val="0"/>
                <w:color w:val="111827"/>
                <w:sz w:val="12"/>
              </w:rPr>
              <w:t>Oversize shipment</w:t>
            </w:r>
          </w:p>
        </w:tc>
        <w:tc>
          <w:tcPr>
            <w:tcW w:type="dxa" w:w="1080"/>
            <w:vAlign w:val="center"/>
            <w:shd w:fill="F5F7FA"/>
          </w:tcPr>
          <w:p>
            <w:pPr>
              <w:spacing w:after="0" w:before="0" w:line="240" w:lineRule="auto"/>
            </w:pPr>
            <w:r/>
            <w:r>
              <w:rPr>
                <w:rFonts w:ascii="Aptos" w:hAnsi="Aptos"/>
                <w:b w:val="0"/>
                <w:color w:val="111827"/>
                <w:sz w:val="12"/>
              </w:rPr>
              <w:t>$35.00</w:t>
            </w:r>
          </w:p>
        </w:tc>
        <w:tc>
          <w:tcPr>
            <w:tcW w:type="dxa" w:w="1008"/>
            <w:vAlign w:val="center"/>
            <w:shd w:fill="F5F7FA"/>
          </w:tcPr>
          <w:p>
            <w:pPr>
              <w:spacing w:after="0" w:before="0" w:line="240" w:lineRule="auto"/>
            </w:pPr>
            <w:r/>
            <w:r>
              <w:rPr>
                <w:rFonts w:ascii="Aptos" w:hAnsi="Aptos"/>
                <w:b w:val="0"/>
                <w:color w:val="111827"/>
                <w:sz w:val="12"/>
              </w:rPr>
              <w:t>$49.07</w:t>
            </w:r>
          </w:p>
        </w:tc>
        <w:tc>
          <w:tcPr>
            <w:tcW w:type="dxa" w:w="936"/>
            <w:vAlign w:val="center"/>
            <w:shd w:fill="F5F7FA"/>
          </w:tcPr>
          <w:p>
            <w:pPr>
              <w:spacing w:after="0" w:before="0" w:line="240" w:lineRule="auto"/>
            </w:pPr>
            <w:r/>
            <w:r>
              <w:rPr>
                <w:rFonts w:ascii="Aptos" w:hAnsi="Aptos"/>
                <w:b w:val="0"/>
                <w:color w:val="111827"/>
                <w:sz w:val="12"/>
              </w:rPr>
              <w:t>$1.87</w:t>
            </w:r>
          </w:p>
        </w:tc>
        <w:tc>
          <w:tcPr>
            <w:tcW w:type="dxa" w:w="1080"/>
            <w:vAlign w:val="center"/>
            <w:shd w:fill="F5F7FA"/>
          </w:tcPr>
          <w:p>
            <w:pPr>
              <w:spacing w:after="0" w:before="0" w:line="240" w:lineRule="auto"/>
            </w:pPr>
            <w:r/>
            <w:r>
              <w:rPr>
                <w:rFonts w:ascii="Aptos" w:hAnsi="Aptos"/>
                <w:b w:val="0"/>
                <w:color w:val="111827"/>
                <w:sz w:val="12"/>
              </w:rPr>
              <w:t>$12.20</w:t>
            </w:r>
          </w:p>
        </w:tc>
        <w:tc>
          <w:tcPr>
            <w:tcW w:type="dxa" w:w="1008"/>
            <w:vAlign w:val="center"/>
            <w:shd w:fill="F5F7FA"/>
          </w:tcPr>
          <w:p>
            <w:pPr>
              <w:spacing w:after="0" w:before="0" w:line="240" w:lineRule="auto"/>
            </w:pPr>
            <w:r/>
            <w:r>
              <w:rPr>
                <w:rFonts w:ascii="Aptos" w:hAnsi="Aptos"/>
                <w:b w:val="0"/>
                <w:color w:val="111827"/>
                <w:sz w:val="12"/>
              </w:rPr>
              <w:t>$88.16</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Footwear/premium apparel ($100)</w:t>
            </w:r>
          </w:p>
        </w:tc>
        <w:tc>
          <w:tcPr>
            <w:tcW w:type="dxa" w:w="2232"/>
            <w:vAlign w:val="center"/>
          </w:tcPr>
          <w:p>
            <w:pPr>
              <w:spacing w:after="0" w:before="0" w:line="240" w:lineRule="auto"/>
            </w:pPr>
            <w:r/>
            <w:r>
              <w:rPr>
                <w:rFonts w:ascii="Aptos" w:hAnsi="Aptos"/>
                <w:b w:val="0"/>
                <w:color w:val="111827"/>
                <w:sz w:val="12"/>
              </w:rPr>
              <w:t>Local pickup</w:t>
            </w:r>
          </w:p>
        </w:tc>
        <w:tc>
          <w:tcPr>
            <w:tcW w:type="dxa" w:w="1080"/>
            <w:vAlign w:val="center"/>
          </w:tcPr>
          <w:p>
            <w:pPr>
              <w:spacing w:after="0" w:before="0" w:line="240" w:lineRule="auto"/>
            </w:pPr>
            <w:r/>
            <w:r>
              <w:rPr>
                <w:rFonts w:ascii="Aptos" w:hAnsi="Aptos"/>
                <w:b w:val="0"/>
                <w:color w:val="111827"/>
                <w:sz w:val="12"/>
              </w:rPr>
              <w:t>$30.00</w:t>
            </w:r>
          </w:p>
        </w:tc>
        <w:tc>
          <w:tcPr>
            <w:tcW w:type="dxa" w:w="1008"/>
            <w:vAlign w:val="center"/>
          </w:tcPr>
          <w:p>
            <w:pPr>
              <w:spacing w:after="0" w:before="0" w:line="240" w:lineRule="auto"/>
            </w:pPr>
            <w:r/>
            <w:r>
              <w:rPr>
                <w:rFonts w:ascii="Aptos" w:hAnsi="Aptos"/>
                <w:b w:val="0"/>
                <w:color w:val="111827"/>
                <w:sz w:val="12"/>
              </w:rPr>
              <w:t>$49.07</w:t>
            </w:r>
          </w:p>
        </w:tc>
        <w:tc>
          <w:tcPr>
            <w:tcW w:type="dxa" w:w="936"/>
            <w:vAlign w:val="center"/>
          </w:tcPr>
          <w:p>
            <w:pPr>
              <w:spacing w:after="0" w:before="0" w:line="240" w:lineRule="auto"/>
            </w:pPr>
            <w:r/>
            <w:r>
              <w:rPr>
                <w:rFonts w:ascii="Aptos" w:hAnsi="Aptos"/>
                <w:b w:val="0"/>
                <w:color w:val="111827"/>
                <w:sz w:val="12"/>
              </w:rPr>
              <w:t>$1.87</w:t>
            </w:r>
          </w:p>
        </w:tc>
        <w:tc>
          <w:tcPr>
            <w:tcW w:type="dxa" w:w="1080"/>
            <w:vAlign w:val="center"/>
          </w:tcPr>
          <w:p>
            <w:pPr>
              <w:spacing w:after="0" w:before="0" w:line="240" w:lineRule="auto"/>
            </w:pPr>
            <w:r/>
            <w:r>
              <w:rPr>
                <w:rFonts w:ascii="Aptos" w:hAnsi="Aptos"/>
                <w:b w:val="0"/>
                <w:color w:val="111827"/>
                <w:sz w:val="12"/>
              </w:rPr>
              <w:t>$17.20</w:t>
            </w:r>
          </w:p>
        </w:tc>
        <w:tc>
          <w:tcPr>
            <w:tcW w:type="dxa" w:w="1008"/>
            <w:vAlign w:val="center"/>
          </w:tcPr>
          <w:p>
            <w:pPr>
              <w:spacing w:after="0" w:before="0" w:line="240" w:lineRule="auto"/>
            </w:pPr>
            <w:r/>
            <w:r>
              <w:rPr>
                <w:rFonts w:ascii="Aptos" w:hAnsi="Aptos"/>
                <w:b w:val="0"/>
                <w:color w:val="111827"/>
                <w:sz w:val="12"/>
              </w:rPr>
              <w:t>$83.16</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Footwear/premium apparel ($100)</w:t>
            </w:r>
          </w:p>
        </w:tc>
        <w:tc>
          <w:tcPr>
            <w:tcW w:type="dxa" w:w="2232"/>
            <w:vAlign w:val="center"/>
            <w:shd w:fill="F5F7FA"/>
          </w:tcPr>
          <w:p>
            <w:pPr>
              <w:spacing w:after="0" w:before="0" w:line="240" w:lineRule="auto"/>
            </w:pPr>
            <w:r/>
            <w:r>
              <w:rPr>
                <w:rFonts w:ascii="Aptos" w:hAnsi="Aptos"/>
                <w:b w:val="0"/>
                <w:color w:val="111827"/>
                <w:sz w:val="12"/>
              </w:rPr>
              <w:t>Pallet liquidation</w:t>
            </w:r>
          </w:p>
        </w:tc>
        <w:tc>
          <w:tcPr>
            <w:tcW w:type="dxa" w:w="1080"/>
            <w:vAlign w:val="center"/>
            <w:shd w:fill="F5F7FA"/>
          </w:tcPr>
          <w:p>
            <w:pPr>
              <w:spacing w:after="0" w:before="0" w:line="240" w:lineRule="auto"/>
            </w:pPr>
            <w:r/>
            <w:r>
              <w:rPr>
                <w:rFonts w:ascii="Aptos" w:hAnsi="Aptos"/>
                <w:b w:val="0"/>
                <w:color w:val="111827"/>
                <w:sz w:val="12"/>
              </w:rPr>
              <w:t>$1.25</w:t>
            </w:r>
          </w:p>
        </w:tc>
        <w:tc>
          <w:tcPr>
            <w:tcW w:type="dxa" w:w="1008"/>
            <w:vAlign w:val="center"/>
            <w:shd w:fill="F5F7FA"/>
          </w:tcPr>
          <w:p>
            <w:pPr>
              <w:spacing w:after="0" w:before="0" w:line="240" w:lineRule="auto"/>
            </w:pPr>
            <w:r/>
            <w:r>
              <w:rPr>
                <w:rFonts w:ascii="Aptos" w:hAnsi="Aptos"/>
                <w:b w:val="0"/>
                <w:color w:val="111827"/>
                <w:sz w:val="12"/>
              </w:rPr>
              <w:t>$49.07</w:t>
            </w:r>
          </w:p>
        </w:tc>
        <w:tc>
          <w:tcPr>
            <w:tcW w:type="dxa" w:w="936"/>
            <w:vAlign w:val="center"/>
            <w:shd w:fill="F5F7FA"/>
          </w:tcPr>
          <w:p>
            <w:pPr>
              <w:spacing w:after="0" w:before="0" w:line="240" w:lineRule="auto"/>
            </w:pPr>
            <w:r/>
            <w:r>
              <w:rPr>
                <w:rFonts w:ascii="Aptos" w:hAnsi="Aptos"/>
                <w:b w:val="0"/>
                <w:color w:val="111827"/>
                <w:sz w:val="12"/>
              </w:rPr>
              <w:t>$1.87</w:t>
            </w:r>
          </w:p>
        </w:tc>
        <w:tc>
          <w:tcPr>
            <w:tcW w:type="dxa" w:w="1080"/>
            <w:vAlign w:val="center"/>
            <w:shd w:fill="F5F7FA"/>
          </w:tcPr>
          <w:p>
            <w:pPr>
              <w:spacing w:after="0" w:before="0" w:line="240" w:lineRule="auto"/>
            </w:pPr>
            <w:r/>
            <w:r>
              <w:rPr>
                <w:rFonts w:ascii="Aptos" w:hAnsi="Aptos"/>
                <w:b w:val="0"/>
                <w:color w:val="111827"/>
                <w:sz w:val="12"/>
              </w:rPr>
              <w:t>$45.95</w:t>
            </w:r>
          </w:p>
        </w:tc>
        <w:tc>
          <w:tcPr>
            <w:tcW w:type="dxa" w:w="1008"/>
            <w:vAlign w:val="center"/>
            <w:shd w:fill="F5F7FA"/>
          </w:tcPr>
          <w:p>
            <w:pPr>
              <w:spacing w:after="0" w:before="0" w:line="240" w:lineRule="auto"/>
            </w:pPr>
            <w:r/>
            <w:r>
              <w:rPr>
                <w:rFonts w:ascii="Aptos" w:hAnsi="Aptos"/>
                <w:b w:val="0"/>
                <w:color w:val="111827"/>
                <w:sz w:val="12"/>
              </w:rPr>
              <w:t>$54.41</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Headphones/small electronics ($100)</w:t>
            </w:r>
          </w:p>
        </w:tc>
        <w:tc>
          <w:tcPr>
            <w:tcW w:type="dxa" w:w="2232"/>
            <w:vAlign w:val="center"/>
          </w:tcPr>
          <w:p>
            <w:pPr>
              <w:spacing w:after="0" w:before="0" w:line="240" w:lineRule="auto"/>
            </w:pPr>
            <w:r/>
            <w:r>
              <w:rPr>
                <w:rFonts w:ascii="Aptos" w:hAnsi="Aptos"/>
                <w:b w:val="0"/>
                <w:color w:val="111827"/>
                <w:sz w:val="12"/>
              </w:rPr>
              <w:t>Store return</w:t>
            </w:r>
          </w:p>
        </w:tc>
        <w:tc>
          <w:tcPr>
            <w:tcW w:type="dxa" w:w="1080"/>
            <w:vAlign w:val="center"/>
          </w:tcPr>
          <w:p>
            <w:pPr>
              <w:spacing w:after="0" w:before="0" w:line="240" w:lineRule="auto"/>
            </w:pPr>
            <w:r/>
            <w:r>
              <w:rPr>
                <w:rFonts w:ascii="Aptos" w:hAnsi="Aptos"/>
                <w:b w:val="0"/>
                <w:color w:val="111827"/>
                <w:sz w:val="12"/>
              </w:rPr>
              <w:t>$1.75</w:t>
            </w:r>
          </w:p>
        </w:tc>
        <w:tc>
          <w:tcPr>
            <w:tcW w:type="dxa" w:w="1008"/>
            <w:vAlign w:val="center"/>
          </w:tcPr>
          <w:p>
            <w:pPr>
              <w:spacing w:after="0" w:before="0" w:line="240" w:lineRule="auto"/>
            </w:pPr>
            <w:r/>
            <w:r>
              <w:rPr>
                <w:rFonts w:ascii="Aptos" w:hAnsi="Aptos"/>
                <w:b w:val="0"/>
                <w:color w:val="111827"/>
                <w:sz w:val="12"/>
              </w:rPr>
              <w:t>$33.37</w:t>
            </w:r>
          </w:p>
        </w:tc>
        <w:tc>
          <w:tcPr>
            <w:tcW w:type="dxa" w:w="936"/>
            <w:vAlign w:val="center"/>
          </w:tcPr>
          <w:p>
            <w:pPr>
              <w:spacing w:after="0" w:before="0" w:line="240" w:lineRule="auto"/>
            </w:pPr>
            <w:r/>
            <w:r>
              <w:rPr>
                <w:rFonts w:ascii="Aptos" w:hAnsi="Aptos"/>
                <w:b w:val="0"/>
                <w:color w:val="111827"/>
                <w:sz w:val="12"/>
              </w:rPr>
              <w:t>$4.00</w:t>
            </w:r>
          </w:p>
        </w:tc>
        <w:tc>
          <w:tcPr>
            <w:tcW w:type="dxa" w:w="1080"/>
            <w:vAlign w:val="center"/>
          </w:tcPr>
          <w:p>
            <w:pPr>
              <w:spacing w:after="0" w:before="0" w:line="240" w:lineRule="auto"/>
            </w:pPr>
            <w:r/>
            <w:r>
              <w:rPr>
                <w:rFonts w:ascii="Aptos" w:hAnsi="Aptos"/>
                <w:b w:val="0"/>
                <w:color w:val="111827"/>
                <w:sz w:val="12"/>
              </w:rPr>
              <w:t>$27.62</w:t>
            </w:r>
          </w:p>
        </w:tc>
        <w:tc>
          <w:tcPr>
            <w:tcW w:type="dxa" w:w="1008"/>
            <w:vAlign w:val="center"/>
          </w:tcPr>
          <w:p>
            <w:pPr>
              <w:spacing w:after="0" w:before="0" w:line="240" w:lineRule="auto"/>
            </w:pPr>
            <w:r/>
            <w:r>
              <w:rPr>
                <w:rFonts w:ascii="Aptos" w:hAnsi="Aptos"/>
                <w:b w:val="0"/>
                <w:color w:val="111827"/>
                <w:sz w:val="12"/>
              </w:rPr>
              <w:t>$73.28</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Headphones/small electronics ($100)</w:t>
            </w:r>
          </w:p>
        </w:tc>
        <w:tc>
          <w:tcPr>
            <w:tcW w:type="dxa" w:w="2232"/>
            <w:vAlign w:val="center"/>
            <w:shd w:fill="F5F7FA"/>
          </w:tcPr>
          <w:p>
            <w:pPr>
              <w:spacing w:after="0" w:before="0" w:line="240" w:lineRule="auto"/>
            </w:pPr>
            <w:r/>
            <w:r>
              <w:rPr>
                <w:rFonts w:ascii="Aptos" w:hAnsi="Aptos"/>
                <w:b w:val="0"/>
                <w:color w:val="111827"/>
                <w:sz w:val="12"/>
              </w:rPr>
              <w:t>Nearby drop-off + consolidation</w:t>
            </w:r>
          </w:p>
        </w:tc>
        <w:tc>
          <w:tcPr>
            <w:tcW w:type="dxa" w:w="1080"/>
            <w:vAlign w:val="center"/>
            <w:shd w:fill="F5F7FA"/>
          </w:tcPr>
          <w:p>
            <w:pPr>
              <w:spacing w:after="0" w:before="0" w:line="240" w:lineRule="auto"/>
            </w:pPr>
            <w:r/>
            <w:r>
              <w:rPr>
                <w:rFonts w:ascii="Aptos" w:hAnsi="Aptos"/>
                <w:b w:val="0"/>
                <w:color w:val="111827"/>
                <w:sz w:val="12"/>
              </w:rPr>
              <w:t>$4.25</w:t>
            </w:r>
          </w:p>
        </w:tc>
        <w:tc>
          <w:tcPr>
            <w:tcW w:type="dxa" w:w="1008"/>
            <w:vAlign w:val="center"/>
            <w:shd w:fill="F5F7FA"/>
          </w:tcPr>
          <w:p>
            <w:pPr>
              <w:spacing w:after="0" w:before="0" w:line="240" w:lineRule="auto"/>
            </w:pPr>
            <w:r/>
            <w:r>
              <w:rPr>
                <w:rFonts w:ascii="Aptos" w:hAnsi="Aptos"/>
                <w:b w:val="0"/>
                <w:color w:val="111827"/>
                <w:sz w:val="12"/>
              </w:rPr>
              <w:t>$33.37</w:t>
            </w:r>
          </w:p>
        </w:tc>
        <w:tc>
          <w:tcPr>
            <w:tcW w:type="dxa" w:w="936"/>
            <w:vAlign w:val="center"/>
            <w:shd w:fill="F5F7FA"/>
          </w:tcPr>
          <w:p>
            <w:pPr>
              <w:spacing w:after="0" w:before="0" w:line="240" w:lineRule="auto"/>
            </w:pPr>
            <w:r/>
            <w:r>
              <w:rPr>
                <w:rFonts w:ascii="Aptos" w:hAnsi="Aptos"/>
                <w:b w:val="0"/>
                <w:color w:val="111827"/>
                <w:sz w:val="12"/>
              </w:rPr>
              <w:t>$4.00</w:t>
            </w:r>
          </w:p>
        </w:tc>
        <w:tc>
          <w:tcPr>
            <w:tcW w:type="dxa" w:w="1080"/>
            <w:vAlign w:val="center"/>
            <w:shd w:fill="F5F7FA"/>
          </w:tcPr>
          <w:p>
            <w:pPr>
              <w:spacing w:after="0" w:before="0" w:line="240" w:lineRule="auto"/>
            </w:pPr>
            <w:r/>
            <w:r>
              <w:rPr>
                <w:rFonts w:ascii="Aptos" w:hAnsi="Aptos"/>
                <w:b w:val="0"/>
                <w:color w:val="111827"/>
                <w:sz w:val="12"/>
              </w:rPr>
              <w:t>$25.12</w:t>
            </w:r>
          </w:p>
        </w:tc>
        <w:tc>
          <w:tcPr>
            <w:tcW w:type="dxa" w:w="1008"/>
            <w:vAlign w:val="center"/>
            <w:shd w:fill="F5F7FA"/>
          </w:tcPr>
          <w:p>
            <w:pPr>
              <w:spacing w:after="0" w:before="0" w:line="240" w:lineRule="auto"/>
            </w:pPr>
            <w:r/>
            <w:r>
              <w:rPr>
                <w:rFonts w:ascii="Aptos" w:hAnsi="Aptos"/>
                <w:b w:val="0"/>
                <w:color w:val="111827"/>
                <w:sz w:val="12"/>
              </w:rPr>
              <w:t>$75.78</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Headphones/small electronics ($100)</w:t>
            </w:r>
          </w:p>
        </w:tc>
        <w:tc>
          <w:tcPr>
            <w:tcW w:type="dxa" w:w="2232"/>
            <w:vAlign w:val="center"/>
          </w:tcPr>
          <w:p>
            <w:pPr>
              <w:spacing w:after="0" w:before="0" w:line="240" w:lineRule="auto"/>
            </w:pPr>
            <w:r/>
            <w:r>
              <w:rPr>
                <w:rFonts w:ascii="Aptos" w:hAnsi="Aptos"/>
                <w:b w:val="0"/>
                <w:color w:val="111827"/>
                <w:sz w:val="12"/>
              </w:rPr>
              <w:t>Short-distance parcel</w:t>
            </w:r>
          </w:p>
        </w:tc>
        <w:tc>
          <w:tcPr>
            <w:tcW w:type="dxa" w:w="1080"/>
            <w:vAlign w:val="center"/>
          </w:tcPr>
          <w:p>
            <w:pPr>
              <w:spacing w:after="0" w:before="0" w:line="240" w:lineRule="auto"/>
            </w:pPr>
            <w:r/>
            <w:r>
              <w:rPr>
                <w:rFonts w:ascii="Aptos" w:hAnsi="Aptos"/>
                <w:b w:val="0"/>
                <w:color w:val="111827"/>
                <w:sz w:val="12"/>
              </w:rPr>
              <w:t>$7.25</w:t>
            </w:r>
          </w:p>
        </w:tc>
        <w:tc>
          <w:tcPr>
            <w:tcW w:type="dxa" w:w="1008"/>
            <w:vAlign w:val="center"/>
          </w:tcPr>
          <w:p>
            <w:pPr>
              <w:spacing w:after="0" w:before="0" w:line="240" w:lineRule="auto"/>
            </w:pPr>
            <w:r/>
            <w:r>
              <w:rPr>
                <w:rFonts w:ascii="Aptos" w:hAnsi="Aptos"/>
                <w:b w:val="0"/>
                <w:color w:val="111827"/>
                <w:sz w:val="12"/>
              </w:rPr>
              <w:t>$33.37</w:t>
            </w:r>
          </w:p>
        </w:tc>
        <w:tc>
          <w:tcPr>
            <w:tcW w:type="dxa" w:w="936"/>
            <w:vAlign w:val="center"/>
          </w:tcPr>
          <w:p>
            <w:pPr>
              <w:spacing w:after="0" w:before="0" w:line="240" w:lineRule="auto"/>
            </w:pPr>
            <w:r/>
            <w:r>
              <w:rPr>
                <w:rFonts w:ascii="Aptos" w:hAnsi="Aptos"/>
                <w:b w:val="0"/>
                <w:color w:val="111827"/>
                <w:sz w:val="12"/>
              </w:rPr>
              <w:t>$4.00</w:t>
            </w:r>
          </w:p>
        </w:tc>
        <w:tc>
          <w:tcPr>
            <w:tcW w:type="dxa" w:w="1080"/>
            <w:vAlign w:val="center"/>
          </w:tcPr>
          <w:p>
            <w:pPr>
              <w:spacing w:after="0" w:before="0" w:line="240" w:lineRule="auto"/>
            </w:pPr>
            <w:r/>
            <w:r>
              <w:rPr>
                <w:rFonts w:ascii="Aptos" w:hAnsi="Aptos"/>
                <w:b w:val="0"/>
                <w:color w:val="111827"/>
                <w:sz w:val="12"/>
              </w:rPr>
              <w:t>$22.12</w:t>
            </w:r>
          </w:p>
        </w:tc>
        <w:tc>
          <w:tcPr>
            <w:tcW w:type="dxa" w:w="1008"/>
            <w:vAlign w:val="center"/>
          </w:tcPr>
          <w:p>
            <w:pPr>
              <w:spacing w:after="0" w:before="0" w:line="240" w:lineRule="auto"/>
            </w:pPr>
            <w:r/>
            <w:r>
              <w:rPr>
                <w:rFonts w:ascii="Aptos" w:hAnsi="Aptos"/>
                <w:b w:val="0"/>
                <w:color w:val="111827"/>
                <w:sz w:val="12"/>
              </w:rPr>
              <w:t>$78.78</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Headphones/small electronics ($100)</w:t>
            </w:r>
          </w:p>
        </w:tc>
        <w:tc>
          <w:tcPr>
            <w:tcW w:type="dxa" w:w="2232"/>
            <w:vAlign w:val="center"/>
            <w:shd w:fill="F5F7FA"/>
          </w:tcPr>
          <w:p>
            <w:pPr>
              <w:spacing w:after="0" w:before="0" w:line="240" w:lineRule="auto"/>
            </w:pPr>
            <w:r/>
            <w:r>
              <w:rPr>
                <w:rFonts w:ascii="Aptos" w:hAnsi="Aptos"/>
                <w:b w:val="0"/>
                <w:color w:val="111827"/>
                <w:sz w:val="12"/>
              </w:rPr>
              <w:t>Long-distance parcel</w:t>
            </w:r>
          </w:p>
        </w:tc>
        <w:tc>
          <w:tcPr>
            <w:tcW w:type="dxa" w:w="1080"/>
            <w:vAlign w:val="center"/>
            <w:shd w:fill="F5F7FA"/>
          </w:tcPr>
          <w:p>
            <w:pPr>
              <w:spacing w:after="0" w:before="0" w:line="240" w:lineRule="auto"/>
            </w:pPr>
            <w:r/>
            <w:r>
              <w:rPr>
                <w:rFonts w:ascii="Aptos" w:hAnsi="Aptos"/>
                <w:b w:val="0"/>
                <w:color w:val="111827"/>
                <w:sz w:val="12"/>
              </w:rPr>
              <w:t>$10.50</w:t>
            </w:r>
          </w:p>
        </w:tc>
        <w:tc>
          <w:tcPr>
            <w:tcW w:type="dxa" w:w="1008"/>
            <w:vAlign w:val="center"/>
            <w:shd w:fill="F5F7FA"/>
          </w:tcPr>
          <w:p>
            <w:pPr>
              <w:spacing w:after="0" w:before="0" w:line="240" w:lineRule="auto"/>
            </w:pPr>
            <w:r/>
            <w:r>
              <w:rPr>
                <w:rFonts w:ascii="Aptos" w:hAnsi="Aptos"/>
                <w:b w:val="0"/>
                <w:color w:val="111827"/>
                <w:sz w:val="12"/>
              </w:rPr>
              <w:t>$33.37</w:t>
            </w:r>
          </w:p>
        </w:tc>
        <w:tc>
          <w:tcPr>
            <w:tcW w:type="dxa" w:w="936"/>
            <w:vAlign w:val="center"/>
            <w:shd w:fill="F5F7FA"/>
          </w:tcPr>
          <w:p>
            <w:pPr>
              <w:spacing w:after="0" w:before="0" w:line="240" w:lineRule="auto"/>
            </w:pPr>
            <w:r/>
            <w:r>
              <w:rPr>
                <w:rFonts w:ascii="Aptos" w:hAnsi="Aptos"/>
                <w:b w:val="0"/>
                <w:color w:val="111827"/>
                <w:sz w:val="12"/>
              </w:rPr>
              <w:t>$4.00</w:t>
            </w:r>
          </w:p>
        </w:tc>
        <w:tc>
          <w:tcPr>
            <w:tcW w:type="dxa" w:w="1080"/>
            <w:vAlign w:val="center"/>
            <w:shd w:fill="F5F7FA"/>
          </w:tcPr>
          <w:p>
            <w:pPr>
              <w:spacing w:after="0" w:before="0" w:line="240" w:lineRule="auto"/>
            </w:pPr>
            <w:r/>
            <w:r>
              <w:rPr>
                <w:rFonts w:ascii="Aptos" w:hAnsi="Aptos"/>
                <w:b w:val="0"/>
                <w:color w:val="111827"/>
                <w:sz w:val="12"/>
              </w:rPr>
              <w:t>$18.87</w:t>
            </w:r>
          </w:p>
        </w:tc>
        <w:tc>
          <w:tcPr>
            <w:tcW w:type="dxa" w:w="1008"/>
            <w:vAlign w:val="center"/>
            <w:shd w:fill="F5F7FA"/>
          </w:tcPr>
          <w:p>
            <w:pPr>
              <w:spacing w:after="0" w:before="0" w:line="240" w:lineRule="auto"/>
            </w:pPr>
            <w:r/>
            <w:r>
              <w:rPr>
                <w:rFonts w:ascii="Aptos" w:hAnsi="Aptos"/>
                <w:b w:val="0"/>
                <w:color w:val="111827"/>
                <w:sz w:val="12"/>
              </w:rPr>
              <w:t>$82.03</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Headphones/small electronics ($100)</w:t>
            </w:r>
          </w:p>
        </w:tc>
        <w:tc>
          <w:tcPr>
            <w:tcW w:type="dxa" w:w="2232"/>
            <w:vAlign w:val="center"/>
          </w:tcPr>
          <w:p>
            <w:pPr>
              <w:spacing w:after="0" w:before="0" w:line="240" w:lineRule="auto"/>
            </w:pPr>
            <w:r/>
            <w:r>
              <w:rPr>
                <w:rFonts w:ascii="Aptos" w:hAnsi="Aptos"/>
                <w:b w:val="0"/>
                <w:color w:val="111827"/>
                <w:sz w:val="12"/>
              </w:rPr>
              <w:t>Oversize shipment</w:t>
            </w:r>
          </w:p>
        </w:tc>
        <w:tc>
          <w:tcPr>
            <w:tcW w:type="dxa" w:w="1080"/>
            <w:vAlign w:val="center"/>
          </w:tcPr>
          <w:p>
            <w:pPr>
              <w:spacing w:after="0" w:before="0" w:line="240" w:lineRule="auto"/>
            </w:pPr>
            <w:r/>
            <w:r>
              <w:rPr>
                <w:rFonts w:ascii="Aptos" w:hAnsi="Aptos"/>
                <w:b w:val="0"/>
                <w:color w:val="111827"/>
                <w:sz w:val="12"/>
              </w:rPr>
              <w:t>$30.00</w:t>
            </w:r>
          </w:p>
        </w:tc>
        <w:tc>
          <w:tcPr>
            <w:tcW w:type="dxa" w:w="1008"/>
            <w:vAlign w:val="center"/>
          </w:tcPr>
          <w:p>
            <w:pPr>
              <w:spacing w:after="0" w:before="0" w:line="240" w:lineRule="auto"/>
            </w:pPr>
            <w:r/>
            <w:r>
              <w:rPr>
                <w:rFonts w:ascii="Aptos" w:hAnsi="Aptos"/>
                <w:b w:val="0"/>
                <w:color w:val="111827"/>
                <w:sz w:val="12"/>
              </w:rPr>
              <w:t>$33.37</w:t>
            </w:r>
          </w:p>
        </w:tc>
        <w:tc>
          <w:tcPr>
            <w:tcW w:type="dxa" w:w="936"/>
            <w:vAlign w:val="center"/>
          </w:tcPr>
          <w:p>
            <w:pPr>
              <w:spacing w:after="0" w:before="0" w:line="240" w:lineRule="auto"/>
            </w:pPr>
            <w:r/>
            <w:r>
              <w:rPr>
                <w:rFonts w:ascii="Aptos" w:hAnsi="Aptos"/>
                <w:b w:val="0"/>
                <w:color w:val="111827"/>
                <w:sz w:val="12"/>
              </w:rPr>
              <w:t>$4.00</w:t>
            </w:r>
          </w:p>
        </w:tc>
        <w:tc>
          <w:tcPr>
            <w:tcW w:type="dxa" w:w="1080"/>
            <w:vAlign w:val="center"/>
          </w:tcPr>
          <w:p>
            <w:pPr>
              <w:spacing w:after="0" w:before="0" w:line="240" w:lineRule="auto"/>
            </w:pPr>
            <w:r/>
            <w:r>
              <w:rPr>
                <w:rFonts w:ascii="Aptos" w:hAnsi="Aptos"/>
                <w:b w:val="0"/>
                <w:color w:val="111827"/>
                <w:sz w:val="12"/>
              </w:rPr>
              <w:t>$-0.63</w:t>
            </w:r>
          </w:p>
        </w:tc>
        <w:tc>
          <w:tcPr>
            <w:tcW w:type="dxa" w:w="1008"/>
            <w:vAlign w:val="center"/>
          </w:tcPr>
          <w:p>
            <w:pPr>
              <w:spacing w:after="0" w:before="0" w:line="240" w:lineRule="auto"/>
            </w:pPr>
            <w:r/>
            <w:r>
              <w:rPr>
                <w:rFonts w:ascii="Aptos" w:hAnsi="Aptos"/>
                <w:b w:val="0"/>
                <w:color w:val="111827"/>
                <w:sz w:val="12"/>
              </w:rPr>
              <w:t>$101.53</w:t>
            </w:r>
          </w:p>
        </w:tc>
        <w:tc>
          <w:tcPr>
            <w:tcW w:type="dxa" w:w="720"/>
            <w:vAlign w:val="center"/>
          </w:tcPr>
          <w:p>
            <w:pPr>
              <w:spacing w:after="0" w:before="0" w:line="240" w:lineRule="auto"/>
            </w:pPr>
            <w:r/>
            <w:r>
              <w:rPr>
                <w:rFonts w:ascii="Aptos" w:hAnsi="Aptos"/>
                <w:b w:val="0"/>
                <w:color w:val="111827"/>
                <w:sz w:val="12"/>
              </w:rPr>
              <w:t>No</w:t>
            </w:r>
          </w:p>
        </w:tc>
      </w:tr>
      <w:tr>
        <w:tc>
          <w:tcPr>
            <w:tcW w:type="dxa" w:w="2232"/>
            <w:vAlign w:val="center"/>
            <w:shd w:fill="F5F7FA"/>
          </w:tcPr>
          <w:p>
            <w:pPr>
              <w:spacing w:after="0" w:before="0" w:line="240" w:lineRule="auto"/>
            </w:pPr>
            <w:r/>
            <w:r>
              <w:rPr>
                <w:rFonts w:ascii="Aptos" w:hAnsi="Aptos"/>
                <w:b/>
                <w:color w:val="111827"/>
                <w:sz w:val="12"/>
              </w:rPr>
              <w:t>Headphones/small electronics ($100)</w:t>
            </w:r>
          </w:p>
        </w:tc>
        <w:tc>
          <w:tcPr>
            <w:tcW w:type="dxa" w:w="2232"/>
            <w:vAlign w:val="center"/>
            <w:shd w:fill="F5F7FA"/>
          </w:tcPr>
          <w:p>
            <w:pPr>
              <w:spacing w:after="0" w:before="0" w:line="240" w:lineRule="auto"/>
            </w:pPr>
            <w:r/>
            <w:r>
              <w:rPr>
                <w:rFonts w:ascii="Aptos" w:hAnsi="Aptos"/>
                <w:b w:val="0"/>
                <w:color w:val="111827"/>
                <w:sz w:val="12"/>
              </w:rPr>
              <w:t>Local pickup</w:t>
            </w:r>
          </w:p>
        </w:tc>
        <w:tc>
          <w:tcPr>
            <w:tcW w:type="dxa" w:w="1080"/>
            <w:vAlign w:val="center"/>
            <w:shd w:fill="F5F7FA"/>
          </w:tcPr>
          <w:p>
            <w:pPr>
              <w:spacing w:after="0" w:before="0" w:line="240" w:lineRule="auto"/>
            </w:pPr>
            <w:r/>
            <w:r>
              <w:rPr>
                <w:rFonts w:ascii="Aptos" w:hAnsi="Aptos"/>
                <w:b w:val="0"/>
                <w:color w:val="111827"/>
                <w:sz w:val="12"/>
              </w:rPr>
              <w:t>$25.00</w:t>
            </w:r>
          </w:p>
        </w:tc>
        <w:tc>
          <w:tcPr>
            <w:tcW w:type="dxa" w:w="1008"/>
            <w:vAlign w:val="center"/>
            <w:shd w:fill="F5F7FA"/>
          </w:tcPr>
          <w:p>
            <w:pPr>
              <w:spacing w:after="0" w:before="0" w:line="240" w:lineRule="auto"/>
            </w:pPr>
            <w:r/>
            <w:r>
              <w:rPr>
                <w:rFonts w:ascii="Aptos" w:hAnsi="Aptos"/>
                <w:b w:val="0"/>
                <w:color w:val="111827"/>
                <w:sz w:val="12"/>
              </w:rPr>
              <w:t>$33.37</w:t>
            </w:r>
          </w:p>
        </w:tc>
        <w:tc>
          <w:tcPr>
            <w:tcW w:type="dxa" w:w="936"/>
            <w:vAlign w:val="center"/>
            <w:shd w:fill="F5F7FA"/>
          </w:tcPr>
          <w:p>
            <w:pPr>
              <w:spacing w:after="0" w:before="0" w:line="240" w:lineRule="auto"/>
            </w:pPr>
            <w:r/>
            <w:r>
              <w:rPr>
                <w:rFonts w:ascii="Aptos" w:hAnsi="Aptos"/>
                <w:b w:val="0"/>
                <w:color w:val="111827"/>
                <w:sz w:val="12"/>
              </w:rPr>
              <w:t>$4.00</w:t>
            </w:r>
          </w:p>
        </w:tc>
        <w:tc>
          <w:tcPr>
            <w:tcW w:type="dxa" w:w="1080"/>
            <w:vAlign w:val="center"/>
            <w:shd w:fill="F5F7FA"/>
          </w:tcPr>
          <w:p>
            <w:pPr>
              <w:spacing w:after="0" w:before="0" w:line="240" w:lineRule="auto"/>
            </w:pPr>
            <w:r/>
            <w:r>
              <w:rPr>
                <w:rFonts w:ascii="Aptos" w:hAnsi="Aptos"/>
                <w:b w:val="0"/>
                <w:color w:val="111827"/>
                <w:sz w:val="12"/>
              </w:rPr>
              <w:t>$4.37</w:t>
            </w:r>
          </w:p>
        </w:tc>
        <w:tc>
          <w:tcPr>
            <w:tcW w:type="dxa" w:w="1008"/>
            <w:vAlign w:val="center"/>
            <w:shd w:fill="F5F7FA"/>
          </w:tcPr>
          <w:p>
            <w:pPr>
              <w:spacing w:after="0" w:before="0" w:line="240" w:lineRule="auto"/>
            </w:pPr>
            <w:r/>
            <w:r>
              <w:rPr>
                <w:rFonts w:ascii="Aptos" w:hAnsi="Aptos"/>
                <w:b w:val="0"/>
                <w:color w:val="111827"/>
                <w:sz w:val="12"/>
              </w:rPr>
              <w:t>$96.53</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Headphones/small electronics ($100)</w:t>
            </w:r>
          </w:p>
        </w:tc>
        <w:tc>
          <w:tcPr>
            <w:tcW w:type="dxa" w:w="2232"/>
            <w:vAlign w:val="center"/>
          </w:tcPr>
          <w:p>
            <w:pPr>
              <w:spacing w:after="0" w:before="0" w:line="240" w:lineRule="auto"/>
            </w:pPr>
            <w:r/>
            <w:r>
              <w:rPr>
                <w:rFonts w:ascii="Aptos" w:hAnsi="Aptos"/>
                <w:b w:val="0"/>
                <w:color w:val="111827"/>
                <w:sz w:val="12"/>
              </w:rPr>
              <w:t>Pallet liquidation</w:t>
            </w:r>
          </w:p>
        </w:tc>
        <w:tc>
          <w:tcPr>
            <w:tcW w:type="dxa" w:w="1080"/>
            <w:vAlign w:val="center"/>
          </w:tcPr>
          <w:p>
            <w:pPr>
              <w:spacing w:after="0" w:before="0" w:line="240" w:lineRule="auto"/>
            </w:pPr>
            <w:r/>
            <w:r>
              <w:rPr>
                <w:rFonts w:ascii="Aptos" w:hAnsi="Aptos"/>
                <w:b w:val="0"/>
                <w:color w:val="111827"/>
                <w:sz w:val="12"/>
              </w:rPr>
              <w:t>$1.00</w:t>
            </w:r>
          </w:p>
        </w:tc>
        <w:tc>
          <w:tcPr>
            <w:tcW w:type="dxa" w:w="1008"/>
            <w:vAlign w:val="center"/>
          </w:tcPr>
          <w:p>
            <w:pPr>
              <w:spacing w:after="0" w:before="0" w:line="240" w:lineRule="auto"/>
            </w:pPr>
            <w:r/>
            <w:r>
              <w:rPr>
                <w:rFonts w:ascii="Aptos" w:hAnsi="Aptos"/>
                <w:b w:val="0"/>
                <w:color w:val="111827"/>
                <w:sz w:val="12"/>
              </w:rPr>
              <w:t>$33.37</w:t>
            </w:r>
          </w:p>
        </w:tc>
        <w:tc>
          <w:tcPr>
            <w:tcW w:type="dxa" w:w="936"/>
            <w:vAlign w:val="center"/>
          </w:tcPr>
          <w:p>
            <w:pPr>
              <w:spacing w:after="0" w:before="0" w:line="240" w:lineRule="auto"/>
            </w:pPr>
            <w:r/>
            <w:r>
              <w:rPr>
                <w:rFonts w:ascii="Aptos" w:hAnsi="Aptos"/>
                <w:b w:val="0"/>
                <w:color w:val="111827"/>
                <w:sz w:val="12"/>
              </w:rPr>
              <w:t>$4.00</w:t>
            </w:r>
          </w:p>
        </w:tc>
        <w:tc>
          <w:tcPr>
            <w:tcW w:type="dxa" w:w="1080"/>
            <w:vAlign w:val="center"/>
          </w:tcPr>
          <w:p>
            <w:pPr>
              <w:spacing w:after="0" w:before="0" w:line="240" w:lineRule="auto"/>
            </w:pPr>
            <w:r/>
            <w:r>
              <w:rPr>
                <w:rFonts w:ascii="Aptos" w:hAnsi="Aptos"/>
                <w:b w:val="0"/>
                <w:color w:val="111827"/>
                <w:sz w:val="12"/>
              </w:rPr>
              <w:t>$28.37</w:t>
            </w:r>
          </w:p>
        </w:tc>
        <w:tc>
          <w:tcPr>
            <w:tcW w:type="dxa" w:w="1008"/>
            <w:vAlign w:val="center"/>
          </w:tcPr>
          <w:p>
            <w:pPr>
              <w:spacing w:after="0" w:before="0" w:line="240" w:lineRule="auto"/>
            </w:pPr>
            <w:r/>
            <w:r>
              <w:rPr>
                <w:rFonts w:ascii="Aptos" w:hAnsi="Aptos"/>
                <w:b w:val="0"/>
                <w:color w:val="111827"/>
                <w:sz w:val="12"/>
              </w:rPr>
              <w:t>$72.53</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Small appliance ($100)</w:t>
            </w:r>
          </w:p>
        </w:tc>
        <w:tc>
          <w:tcPr>
            <w:tcW w:type="dxa" w:w="2232"/>
            <w:vAlign w:val="center"/>
            <w:shd w:fill="F5F7FA"/>
          </w:tcPr>
          <w:p>
            <w:pPr>
              <w:spacing w:after="0" w:before="0" w:line="240" w:lineRule="auto"/>
            </w:pPr>
            <w:r/>
            <w:r>
              <w:rPr>
                <w:rFonts w:ascii="Aptos" w:hAnsi="Aptos"/>
                <w:b w:val="0"/>
                <w:color w:val="111827"/>
                <w:sz w:val="12"/>
              </w:rPr>
              <w:t>Store return</w:t>
            </w:r>
          </w:p>
        </w:tc>
        <w:tc>
          <w:tcPr>
            <w:tcW w:type="dxa" w:w="1080"/>
            <w:vAlign w:val="center"/>
            <w:shd w:fill="F5F7FA"/>
          </w:tcPr>
          <w:p>
            <w:pPr>
              <w:spacing w:after="0" w:before="0" w:line="240" w:lineRule="auto"/>
            </w:pPr>
            <w:r/>
            <w:r>
              <w:rPr>
                <w:rFonts w:ascii="Aptos" w:hAnsi="Aptos"/>
                <w:b w:val="0"/>
                <w:color w:val="111827"/>
                <w:sz w:val="12"/>
              </w:rPr>
              <w:t>$2.25</w:t>
            </w:r>
          </w:p>
        </w:tc>
        <w:tc>
          <w:tcPr>
            <w:tcW w:type="dxa" w:w="1008"/>
            <w:vAlign w:val="center"/>
            <w:shd w:fill="F5F7FA"/>
          </w:tcPr>
          <w:p>
            <w:pPr>
              <w:spacing w:after="0" w:before="0" w:line="240" w:lineRule="auto"/>
            </w:pPr>
            <w:r/>
            <w:r>
              <w:rPr>
                <w:rFonts w:ascii="Aptos" w:hAnsi="Aptos"/>
                <w:b w:val="0"/>
                <w:color w:val="111827"/>
                <w:sz w:val="12"/>
              </w:rPr>
              <w:t>$22.34</w:t>
            </w:r>
          </w:p>
        </w:tc>
        <w:tc>
          <w:tcPr>
            <w:tcW w:type="dxa" w:w="936"/>
            <w:vAlign w:val="center"/>
            <w:shd w:fill="F5F7FA"/>
          </w:tcPr>
          <w:p>
            <w:pPr>
              <w:spacing w:after="0" w:before="0" w:line="240" w:lineRule="auto"/>
            </w:pPr>
            <w:r/>
            <w:r>
              <w:rPr>
                <w:rFonts w:ascii="Aptos" w:hAnsi="Aptos"/>
                <w:b w:val="0"/>
                <w:color w:val="111827"/>
                <w:sz w:val="12"/>
              </w:rPr>
              <w:t>$5.00</w:t>
            </w:r>
          </w:p>
        </w:tc>
        <w:tc>
          <w:tcPr>
            <w:tcW w:type="dxa" w:w="1080"/>
            <w:vAlign w:val="center"/>
            <w:shd w:fill="F5F7FA"/>
          </w:tcPr>
          <w:p>
            <w:pPr>
              <w:spacing w:after="0" w:before="0" w:line="240" w:lineRule="auto"/>
            </w:pPr>
            <w:r/>
            <w:r>
              <w:rPr>
                <w:rFonts w:ascii="Aptos" w:hAnsi="Aptos"/>
                <w:b w:val="0"/>
                <w:color w:val="111827"/>
                <w:sz w:val="12"/>
              </w:rPr>
              <w:t>$15.09</w:t>
            </w:r>
          </w:p>
        </w:tc>
        <w:tc>
          <w:tcPr>
            <w:tcW w:type="dxa" w:w="1008"/>
            <w:vAlign w:val="center"/>
            <w:shd w:fill="F5F7FA"/>
          </w:tcPr>
          <w:p>
            <w:pPr>
              <w:spacing w:after="0" w:before="0" w:line="240" w:lineRule="auto"/>
            </w:pPr>
            <w:r/>
            <w:r>
              <w:rPr>
                <w:rFonts w:ascii="Aptos" w:hAnsi="Aptos"/>
                <w:b w:val="0"/>
                <w:color w:val="111827"/>
                <w:sz w:val="12"/>
              </w:rPr>
              <w:t>$85.36</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Small appliance ($100)</w:t>
            </w:r>
          </w:p>
        </w:tc>
        <w:tc>
          <w:tcPr>
            <w:tcW w:type="dxa" w:w="2232"/>
            <w:vAlign w:val="center"/>
          </w:tcPr>
          <w:p>
            <w:pPr>
              <w:spacing w:after="0" w:before="0" w:line="240" w:lineRule="auto"/>
            </w:pPr>
            <w:r/>
            <w:r>
              <w:rPr>
                <w:rFonts w:ascii="Aptos" w:hAnsi="Aptos"/>
                <w:b w:val="0"/>
                <w:color w:val="111827"/>
                <w:sz w:val="12"/>
              </w:rPr>
              <w:t>Nearby drop-off + consolidation</w:t>
            </w:r>
          </w:p>
        </w:tc>
        <w:tc>
          <w:tcPr>
            <w:tcW w:type="dxa" w:w="1080"/>
            <w:vAlign w:val="center"/>
          </w:tcPr>
          <w:p>
            <w:pPr>
              <w:spacing w:after="0" w:before="0" w:line="240" w:lineRule="auto"/>
            </w:pPr>
            <w:r/>
            <w:r>
              <w:rPr>
                <w:rFonts w:ascii="Aptos" w:hAnsi="Aptos"/>
                <w:b w:val="0"/>
                <w:color w:val="111827"/>
                <w:sz w:val="12"/>
              </w:rPr>
              <w:t>$5.50</w:t>
            </w:r>
          </w:p>
        </w:tc>
        <w:tc>
          <w:tcPr>
            <w:tcW w:type="dxa" w:w="1008"/>
            <w:vAlign w:val="center"/>
          </w:tcPr>
          <w:p>
            <w:pPr>
              <w:spacing w:after="0" w:before="0" w:line="240" w:lineRule="auto"/>
            </w:pPr>
            <w:r/>
            <w:r>
              <w:rPr>
                <w:rFonts w:ascii="Aptos" w:hAnsi="Aptos"/>
                <w:b w:val="0"/>
                <w:color w:val="111827"/>
                <w:sz w:val="12"/>
              </w:rPr>
              <w:t>$22.34</w:t>
            </w:r>
          </w:p>
        </w:tc>
        <w:tc>
          <w:tcPr>
            <w:tcW w:type="dxa" w:w="936"/>
            <w:vAlign w:val="center"/>
          </w:tcPr>
          <w:p>
            <w:pPr>
              <w:spacing w:after="0" w:before="0" w:line="240" w:lineRule="auto"/>
            </w:pPr>
            <w:r/>
            <w:r>
              <w:rPr>
                <w:rFonts w:ascii="Aptos" w:hAnsi="Aptos"/>
                <w:b w:val="0"/>
                <w:color w:val="111827"/>
                <w:sz w:val="12"/>
              </w:rPr>
              <w:t>$5.00</w:t>
            </w:r>
          </w:p>
        </w:tc>
        <w:tc>
          <w:tcPr>
            <w:tcW w:type="dxa" w:w="1080"/>
            <w:vAlign w:val="center"/>
          </w:tcPr>
          <w:p>
            <w:pPr>
              <w:spacing w:after="0" w:before="0" w:line="240" w:lineRule="auto"/>
            </w:pPr>
            <w:r/>
            <w:r>
              <w:rPr>
                <w:rFonts w:ascii="Aptos" w:hAnsi="Aptos"/>
                <w:b w:val="0"/>
                <w:color w:val="111827"/>
                <w:sz w:val="12"/>
              </w:rPr>
              <w:t>$11.84</w:t>
            </w:r>
          </w:p>
        </w:tc>
        <w:tc>
          <w:tcPr>
            <w:tcW w:type="dxa" w:w="1008"/>
            <w:vAlign w:val="center"/>
          </w:tcPr>
          <w:p>
            <w:pPr>
              <w:spacing w:after="0" w:before="0" w:line="240" w:lineRule="auto"/>
            </w:pPr>
            <w:r/>
            <w:r>
              <w:rPr>
                <w:rFonts w:ascii="Aptos" w:hAnsi="Aptos"/>
                <w:b w:val="0"/>
                <w:color w:val="111827"/>
                <w:sz w:val="12"/>
              </w:rPr>
              <w:t>$88.61</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Small appliance ($100)</w:t>
            </w:r>
          </w:p>
        </w:tc>
        <w:tc>
          <w:tcPr>
            <w:tcW w:type="dxa" w:w="2232"/>
            <w:vAlign w:val="center"/>
            <w:shd w:fill="F5F7FA"/>
          </w:tcPr>
          <w:p>
            <w:pPr>
              <w:spacing w:after="0" w:before="0" w:line="240" w:lineRule="auto"/>
            </w:pPr>
            <w:r/>
            <w:r>
              <w:rPr>
                <w:rFonts w:ascii="Aptos" w:hAnsi="Aptos"/>
                <w:b w:val="0"/>
                <w:color w:val="111827"/>
                <w:sz w:val="12"/>
              </w:rPr>
              <w:t>Short-distance parcel</w:t>
            </w:r>
          </w:p>
        </w:tc>
        <w:tc>
          <w:tcPr>
            <w:tcW w:type="dxa" w:w="1080"/>
            <w:vAlign w:val="center"/>
            <w:shd w:fill="F5F7FA"/>
          </w:tcPr>
          <w:p>
            <w:pPr>
              <w:spacing w:after="0" w:before="0" w:line="240" w:lineRule="auto"/>
            </w:pPr>
            <w:r/>
            <w:r>
              <w:rPr>
                <w:rFonts w:ascii="Aptos" w:hAnsi="Aptos"/>
                <w:b w:val="0"/>
                <w:color w:val="111827"/>
                <w:sz w:val="12"/>
              </w:rPr>
              <w:t>$10.50</w:t>
            </w:r>
          </w:p>
        </w:tc>
        <w:tc>
          <w:tcPr>
            <w:tcW w:type="dxa" w:w="1008"/>
            <w:vAlign w:val="center"/>
            <w:shd w:fill="F5F7FA"/>
          </w:tcPr>
          <w:p>
            <w:pPr>
              <w:spacing w:after="0" w:before="0" w:line="240" w:lineRule="auto"/>
            </w:pPr>
            <w:r/>
            <w:r>
              <w:rPr>
                <w:rFonts w:ascii="Aptos" w:hAnsi="Aptos"/>
                <w:b w:val="0"/>
                <w:color w:val="111827"/>
                <w:sz w:val="12"/>
              </w:rPr>
              <w:t>$22.34</w:t>
            </w:r>
          </w:p>
        </w:tc>
        <w:tc>
          <w:tcPr>
            <w:tcW w:type="dxa" w:w="936"/>
            <w:vAlign w:val="center"/>
            <w:shd w:fill="F5F7FA"/>
          </w:tcPr>
          <w:p>
            <w:pPr>
              <w:spacing w:after="0" w:before="0" w:line="240" w:lineRule="auto"/>
            </w:pPr>
            <w:r/>
            <w:r>
              <w:rPr>
                <w:rFonts w:ascii="Aptos" w:hAnsi="Aptos"/>
                <w:b w:val="0"/>
                <w:color w:val="111827"/>
                <w:sz w:val="12"/>
              </w:rPr>
              <w:t>$5.00</w:t>
            </w:r>
          </w:p>
        </w:tc>
        <w:tc>
          <w:tcPr>
            <w:tcW w:type="dxa" w:w="1080"/>
            <w:vAlign w:val="center"/>
            <w:shd w:fill="F5F7FA"/>
          </w:tcPr>
          <w:p>
            <w:pPr>
              <w:spacing w:after="0" w:before="0" w:line="240" w:lineRule="auto"/>
            </w:pPr>
            <w:r/>
            <w:r>
              <w:rPr>
                <w:rFonts w:ascii="Aptos" w:hAnsi="Aptos"/>
                <w:b w:val="0"/>
                <w:color w:val="111827"/>
                <w:sz w:val="12"/>
              </w:rPr>
              <w:t>$6.84</w:t>
            </w:r>
          </w:p>
        </w:tc>
        <w:tc>
          <w:tcPr>
            <w:tcW w:type="dxa" w:w="1008"/>
            <w:vAlign w:val="center"/>
            <w:shd w:fill="F5F7FA"/>
          </w:tcPr>
          <w:p>
            <w:pPr>
              <w:spacing w:after="0" w:before="0" w:line="240" w:lineRule="auto"/>
            </w:pPr>
            <w:r/>
            <w:r>
              <w:rPr>
                <w:rFonts w:ascii="Aptos" w:hAnsi="Aptos"/>
                <w:b w:val="0"/>
                <w:color w:val="111827"/>
                <w:sz w:val="12"/>
              </w:rPr>
              <w:t>$93.61</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Small appliance ($100)</w:t>
            </w:r>
          </w:p>
        </w:tc>
        <w:tc>
          <w:tcPr>
            <w:tcW w:type="dxa" w:w="2232"/>
            <w:vAlign w:val="center"/>
          </w:tcPr>
          <w:p>
            <w:pPr>
              <w:spacing w:after="0" w:before="0" w:line="240" w:lineRule="auto"/>
            </w:pPr>
            <w:r/>
            <w:r>
              <w:rPr>
                <w:rFonts w:ascii="Aptos" w:hAnsi="Aptos"/>
                <w:b w:val="0"/>
                <w:color w:val="111827"/>
                <w:sz w:val="12"/>
              </w:rPr>
              <w:t>Long-distance parcel</w:t>
            </w:r>
          </w:p>
        </w:tc>
        <w:tc>
          <w:tcPr>
            <w:tcW w:type="dxa" w:w="1080"/>
            <w:vAlign w:val="center"/>
          </w:tcPr>
          <w:p>
            <w:pPr>
              <w:spacing w:after="0" w:before="0" w:line="240" w:lineRule="auto"/>
            </w:pPr>
            <w:r/>
            <w:r>
              <w:rPr>
                <w:rFonts w:ascii="Aptos" w:hAnsi="Aptos"/>
                <w:b w:val="0"/>
                <w:color w:val="111827"/>
                <w:sz w:val="12"/>
              </w:rPr>
              <w:t>$17.00</w:t>
            </w:r>
          </w:p>
        </w:tc>
        <w:tc>
          <w:tcPr>
            <w:tcW w:type="dxa" w:w="1008"/>
            <w:vAlign w:val="center"/>
          </w:tcPr>
          <w:p>
            <w:pPr>
              <w:spacing w:after="0" w:before="0" w:line="240" w:lineRule="auto"/>
            </w:pPr>
            <w:r/>
            <w:r>
              <w:rPr>
                <w:rFonts w:ascii="Aptos" w:hAnsi="Aptos"/>
                <w:b w:val="0"/>
                <w:color w:val="111827"/>
                <w:sz w:val="12"/>
              </w:rPr>
              <w:t>$22.34</w:t>
            </w:r>
          </w:p>
        </w:tc>
        <w:tc>
          <w:tcPr>
            <w:tcW w:type="dxa" w:w="936"/>
            <w:vAlign w:val="center"/>
          </w:tcPr>
          <w:p>
            <w:pPr>
              <w:spacing w:after="0" w:before="0" w:line="240" w:lineRule="auto"/>
            </w:pPr>
            <w:r/>
            <w:r>
              <w:rPr>
                <w:rFonts w:ascii="Aptos" w:hAnsi="Aptos"/>
                <w:b w:val="0"/>
                <w:color w:val="111827"/>
                <w:sz w:val="12"/>
              </w:rPr>
              <w:t>$5.00</w:t>
            </w:r>
          </w:p>
        </w:tc>
        <w:tc>
          <w:tcPr>
            <w:tcW w:type="dxa" w:w="1080"/>
            <w:vAlign w:val="center"/>
          </w:tcPr>
          <w:p>
            <w:pPr>
              <w:spacing w:after="0" w:before="0" w:line="240" w:lineRule="auto"/>
            </w:pPr>
            <w:r/>
            <w:r>
              <w:rPr>
                <w:rFonts w:ascii="Aptos" w:hAnsi="Aptos"/>
                <w:b w:val="0"/>
                <w:color w:val="111827"/>
                <w:sz w:val="12"/>
              </w:rPr>
              <w:t>$0.34</w:t>
            </w:r>
          </w:p>
        </w:tc>
        <w:tc>
          <w:tcPr>
            <w:tcW w:type="dxa" w:w="1008"/>
            <w:vAlign w:val="center"/>
          </w:tcPr>
          <w:p>
            <w:pPr>
              <w:spacing w:after="0" w:before="0" w:line="240" w:lineRule="auto"/>
            </w:pPr>
            <w:r/>
            <w:r>
              <w:rPr>
                <w:rFonts w:ascii="Aptos" w:hAnsi="Aptos"/>
                <w:b w:val="0"/>
                <w:color w:val="111827"/>
                <w:sz w:val="12"/>
              </w:rPr>
              <w:t>$100.11</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Small appliance ($100)</w:t>
            </w:r>
          </w:p>
        </w:tc>
        <w:tc>
          <w:tcPr>
            <w:tcW w:type="dxa" w:w="2232"/>
            <w:vAlign w:val="center"/>
            <w:shd w:fill="F5F7FA"/>
          </w:tcPr>
          <w:p>
            <w:pPr>
              <w:spacing w:after="0" w:before="0" w:line="240" w:lineRule="auto"/>
            </w:pPr>
            <w:r/>
            <w:r>
              <w:rPr>
                <w:rFonts w:ascii="Aptos" w:hAnsi="Aptos"/>
                <w:b w:val="0"/>
                <w:color w:val="111827"/>
                <w:sz w:val="12"/>
              </w:rPr>
              <w:t>Oversize shipment</w:t>
            </w:r>
          </w:p>
        </w:tc>
        <w:tc>
          <w:tcPr>
            <w:tcW w:type="dxa" w:w="1080"/>
            <w:vAlign w:val="center"/>
            <w:shd w:fill="F5F7FA"/>
          </w:tcPr>
          <w:p>
            <w:pPr>
              <w:spacing w:after="0" w:before="0" w:line="240" w:lineRule="auto"/>
            </w:pPr>
            <w:r/>
            <w:r>
              <w:rPr>
                <w:rFonts w:ascii="Aptos" w:hAnsi="Aptos"/>
                <w:b w:val="0"/>
                <w:color w:val="111827"/>
                <w:sz w:val="12"/>
              </w:rPr>
              <w:t>$38.00</w:t>
            </w:r>
          </w:p>
        </w:tc>
        <w:tc>
          <w:tcPr>
            <w:tcW w:type="dxa" w:w="1008"/>
            <w:vAlign w:val="center"/>
            <w:shd w:fill="F5F7FA"/>
          </w:tcPr>
          <w:p>
            <w:pPr>
              <w:spacing w:after="0" w:before="0" w:line="240" w:lineRule="auto"/>
            </w:pPr>
            <w:r/>
            <w:r>
              <w:rPr>
                <w:rFonts w:ascii="Aptos" w:hAnsi="Aptos"/>
                <w:b w:val="0"/>
                <w:color w:val="111827"/>
                <w:sz w:val="12"/>
              </w:rPr>
              <w:t>$22.34</w:t>
            </w:r>
          </w:p>
        </w:tc>
        <w:tc>
          <w:tcPr>
            <w:tcW w:type="dxa" w:w="936"/>
            <w:vAlign w:val="center"/>
            <w:shd w:fill="F5F7FA"/>
          </w:tcPr>
          <w:p>
            <w:pPr>
              <w:spacing w:after="0" w:before="0" w:line="240" w:lineRule="auto"/>
            </w:pPr>
            <w:r/>
            <w:r>
              <w:rPr>
                <w:rFonts w:ascii="Aptos" w:hAnsi="Aptos"/>
                <w:b w:val="0"/>
                <w:color w:val="111827"/>
                <w:sz w:val="12"/>
              </w:rPr>
              <w:t>$5.00</w:t>
            </w:r>
          </w:p>
        </w:tc>
        <w:tc>
          <w:tcPr>
            <w:tcW w:type="dxa" w:w="1080"/>
            <w:vAlign w:val="center"/>
            <w:shd w:fill="F5F7FA"/>
          </w:tcPr>
          <w:p>
            <w:pPr>
              <w:spacing w:after="0" w:before="0" w:line="240" w:lineRule="auto"/>
            </w:pPr>
            <w:r/>
            <w:r>
              <w:rPr>
                <w:rFonts w:ascii="Aptos" w:hAnsi="Aptos"/>
                <w:b w:val="0"/>
                <w:color w:val="111827"/>
                <w:sz w:val="12"/>
              </w:rPr>
              <w:t>$-20.66</w:t>
            </w:r>
          </w:p>
        </w:tc>
        <w:tc>
          <w:tcPr>
            <w:tcW w:type="dxa" w:w="1008"/>
            <w:vAlign w:val="center"/>
            <w:shd w:fill="F5F7FA"/>
          </w:tcPr>
          <w:p>
            <w:pPr>
              <w:spacing w:after="0" w:before="0" w:line="240" w:lineRule="auto"/>
            </w:pPr>
            <w:r/>
            <w:r>
              <w:rPr>
                <w:rFonts w:ascii="Aptos" w:hAnsi="Aptos"/>
                <w:b w:val="0"/>
                <w:color w:val="111827"/>
                <w:sz w:val="12"/>
              </w:rPr>
              <w:t>$121.11</w:t>
            </w:r>
          </w:p>
        </w:tc>
        <w:tc>
          <w:tcPr>
            <w:tcW w:type="dxa" w:w="720"/>
            <w:vAlign w:val="center"/>
            <w:shd w:fill="F5F7FA"/>
          </w:tcPr>
          <w:p>
            <w:pPr>
              <w:spacing w:after="0" w:before="0" w:line="240" w:lineRule="auto"/>
            </w:pPr>
            <w:r/>
            <w:r>
              <w:rPr>
                <w:rFonts w:ascii="Aptos" w:hAnsi="Aptos"/>
                <w:b w:val="0"/>
                <w:color w:val="111827"/>
                <w:sz w:val="12"/>
              </w:rPr>
              <w:t>No</w:t>
            </w:r>
          </w:p>
        </w:tc>
      </w:tr>
      <w:tr>
        <w:tc>
          <w:tcPr>
            <w:tcW w:type="dxa" w:w="2232"/>
            <w:vAlign w:val="center"/>
          </w:tcPr>
          <w:p>
            <w:pPr>
              <w:spacing w:after="0" w:before="0" w:line="240" w:lineRule="auto"/>
            </w:pPr>
            <w:r/>
            <w:r>
              <w:rPr>
                <w:rFonts w:ascii="Aptos" w:hAnsi="Aptos"/>
                <w:b/>
                <w:color w:val="111827"/>
                <w:sz w:val="12"/>
              </w:rPr>
              <w:t>Small appliance ($100)</w:t>
            </w:r>
          </w:p>
        </w:tc>
        <w:tc>
          <w:tcPr>
            <w:tcW w:type="dxa" w:w="2232"/>
            <w:vAlign w:val="center"/>
          </w:tcPr>
          <w:p>
            <w:pPr>
              <w:spacing w:after="0" w:before="0" w:line="240" w:lineRule="auto"/>
            </w:pPr>
            <w:r/>
            <w:r>
              <w:rPr>
                <w:rFonts w:ascii="Aptos" w:hAnsi="Aptos"/>
                <w:b w:val="0"/>
                <w:color w:val="111827"/>
                <w:sz w:val="12"/>
              </w:rPr>
              <w:t>Local pickup</w:t>
            </w:r>
          </w:p>
        </w:tc>
        <w:tc>
          <w:tcPr>
            <w:tcW w:type="dxa" w:w="1080"/>
            <w:vAlign w:val="center"/>
          </w:tcPr>
          <w:p>
            <w:pPr>
              <w:spacing w:after="0" w:before="0" w:line="240" w:lineRule="auto"/>
            </w:pPr>
            <w:r/>
            <w:r>
              <w:rPr>
                <w:rFonts w:ascii="Aptos" w:hAnsi="Aptos"/>
                <w:b w:val="0"/>
                <w:color w:val="111827"/>
                <w:sz w:val="12"/>
              </w:rPr>
              <w:t>$35.00</w:t>
            </w:r>
          </w:p>
        </w:tc>
        <w:tc>
          <w:tcPr>
            <w:tcW w:type="dxa" w:w="1008"/>
            <w:vAlign w:val="center"/>
          </w:tcPr>
          <w:p>
            <w:pPr>
              <w:spacing w:after="0" w:before="0" w:line="240" w:lineRule="auto"/>
            </w:pPr>
            <w:r/>
            <w:r>
              <w:rPr>
                <w:rFonts w:ascii="Aptos" w:hAnsi="Aptos"/>
                <w:b w:val="0"/>
                <w:color w:val="111827"/>
                <w:sz w:val="12"/>
              </w:rPr>
              <w:t>$22.34</w:t>
            </w:r>
          </w:p>
        </w:tc>
        <w:tc>
          <w:tcPr>
            <w:tcW w:type="dxa" w:w="936"/>
            <w:vAlign w:val="center"/>
          </w:tcPr>
          <w:p>
            <w:pPr>
              <w:spacing w:after="0" w:before="0" w:line="240" w:lineRule="auto"/>
            </w:pPr>
            <w:r/>
            <w:r>
              <w:rPr>
                <w:rFonts w:ascii="Aptos" w:hAnsi="Aptos"/>
                <w:b w:val="0"/>
                <w:color w:val="111827"/>
                <w:sz w:val="12"/>
              </w:rPr>
              <w:t>$5.00</w:t>
            </w:r>
          </w:p>
        </w:tc>
        <w:tc>
          <w:tcPr>
            <w:tcW w:type="dxa" w:w="1080"/>
            <w:vAlign w:val="center"/>
          </w:tcPr>
          <w:p>
            <w:pPr>
              <w:spacing w:after="0" w:before="0" w:line="240" w:lineRule="auto"/>
            </w:pPr>
            <w:r/>
            <w:r>
              <w:rPr>
                <w:rFonts w:ascii="Aptos" w:hAnsi="Aptos"/>
                <w:b w:val="0"/>
                <w:color w:val="111827"/>
                <w:sz w:val="12"/>
              </w:rPr>
              <w:t>$-17.66</w:t>
            </w:r>
          </w:p>
        </w:tc>
        <w:tc>
          <w:tcPr>
            <w:tcW w:type="dxa" w:w="1008"/>
            <w:vAlign w:val="center"/>
          </w:tcPr>
          <w:p>
            <w:pPr>
              <w:spacing w:after="0" w:before="0" w:line="240" w:lineRule="auto"/>
            </w:pPr>
            <w:r/>
            <w:r>
              <w:rPr>
                <w:rFonts w:ascii="Aptos" w:hAnsi="Aptos"/>
                <w:b w:val="0"/>
                <w:color w:val="111827"/>
                <w:sz w:val="12"/>
              </w:rPr>
              <w:t>$118.11</w:t>
            </w:r>
          </w:p>
        </w:tc>
        <w:tc>
          <w:tcPr>
            <w:tcW w:type="dxa" w:w="720"/>
            <w:vAlign w:val="center"/>
          </w:tcPr>
          <w:p>
            <w:pPr>
              <w:spacing w:after="0" w:before="0" w:line="240" w:lineRule="auto"/>
            </w:pPr>
            <w:r/>
            <w:r>
              <w:rPr>
                <w:rFonts w:ascii="Aptos" w:hAnsi="Aptos"/>
                <w:b w:val="0"/>
                <w:color w:val="111827"/>
                <w:sz w:val="12"/>
              </w:rPr>
              <w:t>No</w:t>
            </w:r>
          </w:p>
        </w:tc>
      </w:tr>
      <w:tr>
        <w:tc>
          <w:tcPr>
            <w:tcW w:type="dxa" w:w="2232"/>
            <w:vAlign w:val="center"/>
            <w:shd w:fill="F5F7FA"/>
          </w:tcPr>
          <w:p>
            <w:pPr>
              <w:spacing w:after="0" w:before="0" w:line="240" w:lineRule="auto"/>
            </w:pPr>
            <w:r/>
            <w:r>
              <w:rPr>
                <w:rFonts w:ascii="Aptos" w:hAnsi="Aptos"/>
                <w:b/>
                <w:color w:val="111827"/>
                <w:sz w:val="12"/>
              </w:rPr>
              <w:t>Small appliance ($100)</w:t>
            </w:r>
          </w:p>
        </w:tc>
        <w:tc>
          <w:tcPr>
            <w:tcW w:type="dxa" w:w="2232"/>
            <w:vAlign w:val="center"/>
            <w:shd w:fill="F5F7FA"/>
          </w:tcPr>
          <w:p>
            <w:pPr>
              <w:spacing w:after="0" w:before="0" w:line="240" w:lineRule="auto"/>
            </w:pPr>
            <w:r/>
            <w:r>
              <w:rPr>
                <w:rFonts w:ascii="Aptos" w:hAnsi="Aptos"/>
                <w:b w:val="0"/>
                <w:color w:val="111827"/>
                <w:sz w:val="12"/>
              </w:rPr>
              <w:t>Pallet liquidation</w:t>
            </w:r>
          </w:p>
        </w:tc>
        <w:tc>
          <w:tcPr>
            <w:tcW w:type="dxa" w:w="1080"/>
            <w:vAlign w:val="center"/>
            <w:shd w:fill="F5F7FA"/>
          </w:tcPr>
          <w:p>
            <w:pPr>
              <w:spacing w:after="0" w:before="0" w:line="240" w:lineRule="auto"/>
            </w:pPr>
            <w:r/>
            <w:r>
              <w:rPr>
                <w:rFonts w:ascii="Aptos" w:hAnsi="Aptos"/>
                <w:b w:val="0"/>
                <w:color w:val="111827"/>
                <w:sz w:val="12"/>
              </w:rPr>
              <w:t>$2.50</w:t>
            </w:r>
          </w:p>
        </w:tc>
        <w:tc>
          <w:tcPr>
            <w:tcW w:type="dxa" w:w="1008"/>
            <w:vAlign w:val="center"/>
            <w:shd w:fill="F5F7FA"/>
          </w:tcPr>
          <w:p>
            <w:pPr>
              <w:spacing w:after="0" w:before="0" w:line="240" w:lineRule="auto"/>
            </w:pPr>
            <w:r/>
            <w:r>
              <w:rPr>
                <w:rFonts w:ascii="Aptos" w:hAnsi="Aptos"/>
                <w:b w:val="0"/>
                <w:color w:val="111827"/>
                <w:sz w:val="12"/>
              </w:rPr>
              <w:t>$22.34</w:t>
            </w:r>
          </w:p>
        </w:tc>
        <w:tc>
          <w:tcPr>
            <w:tcW w:type="dxa" w:w="936"/>
            <w:vAlign w:val="center"/>
            <w:shd w:fill="F5F7FA"/>
          </w:tcPr>
          <w:p>
            <w:pPr>
              <w:spacing w:after="0" w:before="0" w:line="240" w:lineRule="auto"/>
            </w:pPr>
            <w:r/>
            <w:r>
              <w:rPr>
                <w:rFonts w:ascii="Aptos" w:hAnsi="Aptos"/>
                <w:b w:val="0"/>
                <w:color w:val="111827"/>
                <w:sz w:val="12"/>
              </w:rPr>
              <w:t>$5.00</w:t>
            </w:r>
          </w:p>
        </w:tc>
        <w:tc>
          <w:tcPr>
            <w:tcW w:type="dxa" w:w="1080"/>
            <w:vAlign w:val="center"/>
            <w:shd w:fill="F5F7FA"/>
          </w:tcPr>
          <w:p>
            <w:pPr>
              <w:spacing w:after="0" w:before="0" w:line="240" w:lineRule="auto"/>
            </w:pPr>
            <w:r/>
            <w:r>
              <w:rPr>
                <w:rFonts w:ascii="Aptos" w:hAnsi="Aptos"/>
                <w:b w:val="0"/>
                <w:color w:val="111827"/>
                <w:sz w:val="12"/>
              </w:rPr>
              <w:t>$14.84</w:t>
            </w:r>
          </w:p>
        </w:tc>
        <w:tc>
          <w:tcPr>
            <w:tcW w:type="dxa" w:w="1008"/>
            <w:vAlign w:val="center"/>
            <w:shd w:fill="F5F7FA"/>
          </w:tcPr>
          <w:p>
            <w:pPr>
              <w:spacing w:after="0" w:before="0" w:line="240" w:lineRule="auto"/>
            </w:pPr>
            <w:r/>
            <w:r>
              <w:rPr>
                <w:rFonts w:ascii="Aptos" w:hAnsi="Aptos"/>
                <w:b w:val="0"/>
                <w:color w:val="111827"/>
                <w:sz w:val="12"/>
              </w:rPr>
              <w:t>$85.61</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Laptop/phone premium electronics ($500)</w:t>
            </w:r>
          </w:p>
        </w:tc>
        <w:tc>
          <w:tcPr>
            <w:tcW w:type="dxa" w:w="2232"/>
            <w:vAlign w:val="center"/>
          </w:tcPr>
          <w:p>
            <w:pPr>
              <w:spacing w:after="0" w:before="0" w:line="240" w:lineRule="auto"/>
            </w:pPr>
            <w:r/>
            <w:r>
              <w:rPr>
                <w:rFonts w:ascii="Aptos" w:hAnsi="Aptos"/>
                <w:b w:val="0"/>
                <w:color w:val="111827"/>
                <w:sz w:val="12"/>
              </w:rPr>
              <w:t>Store return</w:t>
            </w:r>
          </w:p>
        </w:tc>
        <w:tc>
          <w:tcPr>
            <w:tcW w:type="dxa" w:w="1080"/>
            <w:vAlign w:val="center"/>
          </w:tcPr>
          <w:p>
            <w:pPr>
              <w:spacing w:after="0" w:before="0" w:line="240" w:lineRule="auto"/>
            </w:pPr>
            <w:r/>
            <w:r>
              <w:rPr>
                <w:rFonts w:ascii="Aptos" w:hAnsi="Aptos"/>
                <w:b w:val="0"/>
                <w:color w:val="111827"/>
                <w:sz w:val="12"/>
              </w:rPr>
              <w:t>$2.25</w:t>
            </w:r>
          </w:p>
        </w:tc>
        <w:tc>
          <w:tcPr>
            <w:tcW w:type="dxa" w:w="1008"/>
            <w:vAlign w:val="center"/>
          </w:tcPr>
          <w:p>
            <w:pPr>
              <w:spacing w:after="0" w:before="0" w:line="240" w:lineRule="auto"/>
            </w:pPr>
            <w:r/>
            <w:r>
              <w:rPr>
                <w:rFonts w:ascii="Aptos" w:hAnsi="Aptos"/>
                <w:b w:val="0"/>
                <w:color w:val="111827"/>
                <w:sz w:val="12"/>
              </w:rPr>
              <w:t>$200.58</w:t>
            </w:r>
          </w:p>
        </w:tc>
        <w:tc>
          <w:tcPr>
            <w:tcW w:type="dxa" w:w="936"/>
            <w:vAlign w:val="center"/>
          </w:tcPr>
          <w:p>
            <w:pPr>
              <w:spacing w:after="0" w:before="0" w:line="240" w:lineRule="auto"/>
            </w:pPr>
            <w:r/>
            <w:r>
              <w:rPr>
                <w:rFonts w:ascii="Aptos" w:hAnsi="Aptos"/>
                <w:b w:val="0"/>
                <w:color w:val="111827"/>
                <w:sz w:val="12"/>
              </w:rPr>
              <w:t>$10.20</w:t>
            </w:r>
          </w:p>
        </w:tc>
        <w:tc>
          <w:tcPr>
            <w:tcW w:type="dxa" w:w="1080"/>
            <w:vAlign w:val="center"/>
          </w:tcPr>
          <w:p>
            <w:pPr>
              <w:spacing w:after="0" w:before="0" w:line="240" w:lineRule="auto"/>
            </w:pPr>
            <w:r/>
            <w:r>
              <w:rPr>
                <w:rFonts w:ascii="Aptos" w:hAnsi="Aptos"/>
                <w:b w:val="0"/>
                <w:color w:val="111827"/>
                <w:sz w:val="12"/>
              </w:rPr>
              <w:t>$188.13</w:t>
            </w:r>
          </w:p>
        </w:tc>
        <w:tc>
          <w:tcPr>
            <w:tcW w:type="dxa" w:w="1008"/>
            <w:vAlign w:val="center"/>
          </w:tcPr>
          <w:p>
            <w:pPr>
              <w:spacing w:after="0" w:before="0" w:line="240" w:lineRule="auto"/>
            </w:pPr>
            <w:r/>
            <w:r>
              <w:rPr>
                <w:rFonts w:ascii="Aptos" w:hAnsi="Aptos"/>
                <w:b w:val="0"/>
                <w:color w:val="111827"/>
                <w:sz w:val="12"/>
              </w:rPr>
              <w:t>$316.77</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Laptop/phone premium electronics ($500)</w:t>
            </w:r>
          </w:p>
        </w:tc>
        <w:tc>
          <w:tcPr>
            <w:tcW w:type="dxa" w:w="2232"/>
            <w:vAlign w:val="center"/>
            <w:shd w:fill="F5F7FA"/>
          </w:tcPr>
          <w:p>
            <w:pPr>
              <w:spacing w:after="0" w:before="0" w:line="240" w:lineRule="auto"/>
            </w:pPr>
            <w:r/>
            <w:r>
              <w:rPr>
                <w:rFonts w:ascii="Aptos" w:hAnsi="Aptos"/>
                <w:b w:val="0"/>
                <w:color w:val="111827"/>
                <w:sz w:val="12"/>
              </w:rPr>
              <w:t>Nearby drop-off + consolidation</w:t>
            </w:r>
          </w:p>
        </w:tc>
        <w:tc>
          <w:tcPr>
            <w:tcW w:type="dxa" w:w="1080"/>
            <w:vAlign w:val="center"/>
            <w:shd w:fill="F5F7FA"/>
          </w:tcPr>
          <w:p>
            <w:pPr>
              <w:spacing w:after="0" w:before="0" w:line="240" w:lineRule="auto"/>
            </w:pPr>
            <w:r/>
            <w:r>
              <w:rPr>
                <w:rFonts w:ascii="Aptos" w:hAnsi="Aptos"/>
                <w:b w:val="0"/>
                <w:color w:val="111827"/>
                <w:sz w:val="12"/>
              </w:rPr>
              <w:t>$5.00</w:t>
            </w:r>
          </w:p>
        </w:tc>
        <w:tc>
          <w:tcPr>
            <w:tcW w:type="dxa" w:w="1008"/>
            <w:vAlign w:val="center"/>
            <w:shd w:fill="F5F7FA"/>
          </w:tcPr>
          <w:p>
            <w:pPr>
              <w:spacing w:after="0" w:before="0" w:line="240" w:lineRule="auto"/>
            </w:pPr>
            <w:r/>
            <w:r>
              <w:rPr>
                <w:rFonts w:ascii="Aptos" w:hAnsi="Aptos"/>
                <w:b w:val="0"/>
                <w:color w:val="111827"/>
                <w:sz w:val="12"/>
              </w:rPr>
              <w:t>$200.58</w:t>
            </w:r>
          </w:p>
        </w:tc>
        <w:tc>
          <w:tcPr>
            <w:tcW w:type="dxa" w:w="936"/>
            <w:vAlign w:val="center"/>
            <w:shd w:fill="F5F7FA"/>
          </w:tcPr>
          <w:p>
            <w:pPr>
              <w:spacing w:after="0" w:before="0" w:line="240" w:lineRule="auto"/>
            </w:pPr>
            <w:r/>
            <w:r>
              <w:rPr>
                <w:rFonts w:ascii="Aptos" w:hAnsi="Aptos"/>
                <w:b w:val="0"/>
                <w:color w:val="111827"/>
                <w:sz w:val="12"/>
              </w:rPr>
              <w:t>$10.20</w:t>
            </w:r>
          </w:p>
        </w:tc>
        <w:tc>
          <w:tcPr>
            <w:tcW w:type="dxa" w:w="1080"/>
            <w:vAlign w:val="center"/>
            <w:shd w:fill="F5F7FA"/>
          </w:tcPr>
          <w:p>
            <w:pPr>
              <w:spacing w:after="0" w:before="0" w:line="240" w:lineRule="auto"/>
            </w:pPr>
            <w:r/>
            <w:r>
              <w:rPr>
                <w:rFonts w:ascii="Aptos" w:hAnsi="Aptos"/>
                <w:b w:val="0"/>
                <w:color w:val="111827"/>
                <w:sz w:val="12"/>
              </w:rPr>
              <w:t>$185.38</w:t>
            </w:r>
          </w:p>
        </w:tc>
        <w:tc>
          <w:tcPr>
            <w:tcW w:type="dxa" w:w="1008"/>
            <w:vAlign w:val="center"/>
            <w:shd w:fill="F5F7FA"/>
          </w:tcPr>
          <w:p>
            <w:pPr>
              <w:spacing w:after="0" w:before="0" w:line="240" w:lineRule="auto"/>
            </w:pPr>
            <w:r/>
            <w:r>
              <w:rPr>
                <w:rFonts w:ascii="Aptos" w:hAnsi="Aptos"/>
                <w:b w:val="0"/>
                <w:color w:val="111827"/>
                <w:sz w:val="12"/>
              </w:rPr>
              <w:t>$319.52</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Laptop/phone premium electronics ($500)</w:t>
            </w:r>
          </w:p>
        </w:tc>
        <w:tc>
          <w:tcPr>
            <w:tcW w:type="dxa" w:w="2232"/>
            <w:vAlign w:val="center"/>
          </w:tcPr>
          <w:p>
            <w:pPr>
              <w:spacing w:after="0" w:before="0" w:line="240" w:lineRule="auto"/>
            </w:pPr>
            <w:r/>
            <w:r>
              <w:rPr>
                <w:rFonts w:ascii="Aptos" w:hAnsi="Aptos"/>
                <w:b w:val="0"/>
                <w:color w:val="111827"/>
                <w:sz w:val="12"/>
              </w:rPr>
              <w:t>Short-distance parcel</w:t>
            </w:r>
          </w:p>
        </w:tc>
        <w:tc>
          <w:tcPr>
            <w:tcW w:type="dxa" w:w="1080"/>
            <w:vAlign w:val="center"/>
          </w:tcPr>
          <w:p>
            <w:pPr>
              <w:spacing w:after="0" w:before="0" w:line="240" w:lineRule="auto"/>
            </w:pPr>
            <w:r/>
            <w:r>
              <w:rPr>
                <w:rFonts w:ascii="Aptos" w:hAnsi="Aptos"/>
                <w:b w:val="0"/>
                <w:color w:val="111827"/>
                <w:sz w:val="12"/>
              </w:rPr>
              <w:t>$9.50</w:t>
            </w:r>
          </w:p>
        </w:tc>
        <w:tc>
          <w:tcPr>
            <w:tcW w:type="dxa" w:w="1008"/>
            <w:vAlign w:val="center"/>
          </w:tcPr>
          <w:p>
            <w:pPr>
              <w:spacing w:after="0" w:before="0" w:line="240" w:lineRule="auto"/>
            </w:pPr>
            <w:r/>
            <w:r>
              <w:rPr>
                <w:rFonts w:ascii="Aptos" w:hAnsi="Aptos"/>
                <w:b w:val="0"/>
                <w:color w:val="111827"/>
                <w:sz w:val="12"/>
              </w:rPr>
              <w:t>$200.58</w:t>
            </w:r>
          </w:p>
        </w:tc>
        <w:tc>
          <w:tcPr>
            <w:tcW w:type="dxa" w:w="936"/>
            <w:vAlign w:val="center"/>
          </w:tcPr>
          <w:p>
            <w:pPr>
              <w:spacing w:after="0" w:before="0" w:line="240" w:lineRule="auto"/>
            </w:pPr>
            <w:r/>
            <w:r>
              <w:rPr>
                <w:rFonts w:ascii="Aptos" w:hAnsi="Aptos"/>
                <w:b w:val="0"/>
                <w:color w:val="111827"/>
                <w:sz w:val="12"/>
              </w:rPr>
              <w:t>$10.20</w:t>
            </w:r>
          </w:p>
        </w:tc>
        <w:tc>
          <w:tcPr>
            <w:tcW w:type="dxa" w:w="1080"/>
            <w:vAlign w:val="center"/>
          </w:tcPr>
          <w:p>
            <w:pPr>
              <w:spacing w:after="0" w:before="0" w:line="240" w:lineRule="auto"/>
            </w:pPr>
            <w:r/>
            <w:r>
              <w:rPr>
                <w:rFonts w:ascii="Aptos" w:hAnsi="Aptos"/>
                <w:b w:val="0"/>
                <w:color w:val="111827"/>
                <w:sz w:val="12"/>
              </w:rPr>
              <w:t>$180.88</w:t>
            </w:r>
          </w:p>
        </w:tc>
        <w:tc>
          <w:tcPr>
            <w:tcW w:type="dxa" w:w="1008"/>
            <w:vAlign w:val="center"/>
          </w:tcPr>
          <w:p>
            <w:pPr>
              <w:spacing w:after="0" w:before="0" w:line="240" w:lineRule="auto"/>
            </w:pPr>
            <w:r/>
            <w:r>
              <w:rPr>
                <w:rFonts w:ascii="Aptos" w:hAnsi="Aptos"/>
                <w:b w:val="0"/>
                <w:color w:val="111827"/>
                <w:sz w:val="12"/>
              </w:rPr>
              <w:t>$324.02</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Laptop/phone premium electronics ($500)</w:t>
            </w:r>
          </w:p>
        </w:tc>
        <w:tc>
          <w:tcPr>
            <w:tcW w:type="dxa" w:w="2232"/>
            <w:vAlign w:val="center"/>
            <w:shd w:fill="F5F7FA"/>
          </w:tcPr>
          <w:p>
            <w:pPr>
              <w:spacing w:after="0" w:before="0" w:line="240" w:lineRule="auto"/>
            </w:pPr>
            <w:r/>
            <w:r>
              <w:rPr>
                <w:rFonts w:ascii="Aptos" w:hAnsi="Aptos"/>
                <w:b w:val="0"/>
                <w:color w:val="111827"/>
                <w:sz w:val="12"/>
              </w:rPr>
              <w:t>Long-distance parcel</w:t>
            </w:r>
          </w:p>
        </w:tc>
        <w:tc>
          <w:tcPr>
            <w:tcW w:type="dxa" w:w="1080"/>
            <w:vAlign w:val="center"/>
            <w:shd w:fill="F5F7FA"/>
          </w:tcPr>
          <w:p>
            <w:pPr>
              <w:spacing w:after="0" w:before="0" w:line="240" w:lineRule="auto"/>
            </w:pPr>
            <w:r/>
            <w:r>
              <w:rPr>
                <w:rFonts w:ascii="Aptos" w:hAnsi="Aptos"/>
                <w:b w:val="0"/>
                <w:color w:val="111827"/>
                <w:sz w:val="12"/>
              </w:rPr>
              <w:t>$14.50</w:t>
            </w:r>
          </w:p>
        </w:tc>
        <w:tc>
          <w:tcPr>
            <w:tcW w:type="dxa" w:w="1008"/>
            <w:vAlign w:val="center"/>
            <w:shd w:fill="F5F7FA"/>
          </w:tcPr>
          <w:p>
            <w:pPr>
              <w:spacing w:after="0" w:before="0" w:line="240" w:lineRule="auto"/>
            </w:pPr>
            <w:r/>
            <w:r>
              <w:rPr>
                <w:rFonts w:ascii="Aptos" w:hAnsi="Aptos"/>
                <w:b w:val="0"/>
                <w:color w:val="111827"/>
                <w:sz w:val="12"/>
              </w:rPr>
              <w:t>$200.58</w:t>
            </w:r>
          </w:p>
        </w:tc>
        <w:tc>
          <w:tcPr>
            <w:tcW w:type="dxa" w:w="936"/>
            <w:vAlign w:val="center"/>
            <w:shd w:fill="F5F7FA"/>
          </w:tcPr>
          <w:p>
            <w:pPr>
              <w:spacing w:after="0" w:before="0" w:line="240" w:lineRule="auto"/>
            </w:pPr>
            <w:r/>
            <w:r>
              <w:rPr>
                <w:rFonts w:ascii="Aptos" w:hAnsi="Aptos"/>
                <w:b w:val="0"/>
                <w:color w:val="111827"/>
                <w:sz w:val="12"/>
              </w:rPr>
              <w:t>$10.20</w:t>
            </w:r>
          </w:p>
        </w:tc>
        <w:tc>
          <w:tcPr>
            <w:tcW w:type="dxa" w:w="1080"/>
            <w:vAlign w:val="center"/>
            <w:shd w:fill="F5F7FA"/>
          </w:tcPr>
          <w:p>
            <w:pPr>
              <w:spacing w:after="0" w:before="0" w:line="240" w:lineRule="auto"/>
            </w:pPr>
            <w:r/>
            <w:r>
              <w:rPr>
                <w:rFonts w:ascii="Aptos" w:hAnsi="Aptos"/>
                <w:b w:val="0"/>
                <w:color w:val="111827"/>
                <w:sz w:val="12"/>
              </w:rPr>
              <w:t>$175.88</w:t>
            </w:r>
          </w:p>
        </w:tc>
        <w:tc>
          <w:tcPr>
            <w:tcW w:type="dxa" w:w="1008"/>
            <w:vAlign w:val="center"/>
            <w:shd w:fill="F5F7FA"/>
          </w:tcPr>
          <w:p>
            <w:pPr>
              <w:spacing w:after="0" w:before="0" w:line="240" w:lineRule="auto"/>
            </w:pPr>
            <w:r/>
            <w:r>
              <w:rPr>
                <w:rFonts w:ascii="Aptos" w:hAnsi="Aptos"/>
                <w:b w:val="0"/>
                <w:color w:val="111827"/>
                <w:sz w:val="12"/>
              </w:rPr>
              <w:t>$329.02</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Laptop/phone premium electronics ($500)</w:t>
            </w:r>
          </w:p>
        </w:tc>
        <w:tc>
          <w:tcPr>
            <w:tcW w:type="dxa" w:w="2232"/>
            <w:vAlign w:val="center"/>
          </w:tcPr>
          <w:p>
            <w:pPr>
              <w:spacing w:after="0" w:before="0" w:line="240" w:lineRule="auto"/>
            </w:pPr>
            <w:r/>
            <w:r>
              <w:rPr>
                <w:rFonts w:ascii="Aptos" w:hAnsi="Aptos"/>
                <w:b w:val="0"/>
                <w:color w:val="111827"/>
                <w:sz w:val="12"/>
              </w:rPr>
              <w:t>Oversize shipment</w:t>
            </w:r>
          </w:p>
        </w:tc>
        <w:tc>
          <w:tcPr>
            <w:tcW w:type="dxa" w:w="1080"/>
            <w:vAlign w:val="center"/>
          </w:tcPr>
          <w:p>
            <w:pPr>
              <w:spacing w:after="0" w:before="0" w:line="240" w:lineRule="auto"/>
            </w:pPr>
            <w:r/>
            <w:r>
              <w:rPr>
                <w:rFonts w:ascii="Aptos" w:hAnsi="Aptos"/>
                <w:b w:val="0"/>
                <w:color w:val="111827"/>
                <w:sz w:val="12"/>
              </w:rPr>
              <w:t>$40.00</w:t>
            </w:r>
          </w:p>
        </w:tc>
        <w:tc>
          <w:tcPr>
            <w:tcW w:type="dxa" w:w="1008"/>
            <w:vAlign w:val="center"/>
          </w:tcPr>
          <w:p>
            <w:pPr>
              <w:spacing w:after="0" w:before="0" w:line="240" w:lineRule="auto"/>
            </w:pPr>
            <w:r/>
            <w:r>
              <w:rPr>
                <w:rFonts w:ascii="Aptos" w:hAnsi="Aptos"/>
                <w:b w:val="0"/>
                <w:color w:val="111827"/>
                <w:sz w:val="12"/>
              </w:rPr>
              <w:t>$200.58</w:t>
            </w:r>
          </w:p>
        </w:tc>
        <w:tc>
          <w:tcPr>
            <w:tcW w:type="dxa" w:w="936"/>
            <w:vAlign w:val="center"/>
          </w:tcPr>
          <w:p>
            <w:pPr>
              <w:spacing w:after="0" w:before="0" w:line="240" w:lineRule="auto"/>
            </w:pPr>
            <w:r/>
            <w:r>
              <w:rPr>
                <w:rFonts w:ascii="Aptos" w:hAnsi="Aptos"/>
                <w:b w:val="0"/>
                <w:color w:val="111827"/>
                <w:sz w:val="12"/>
              </w:rPr>
              <w:t>$10.20</w:t>
            </w:r>
          </w:p>
        </w:tc>
        <w:tc>
          <w:tcPr>
            <w:tcW w:type="dxa" w:w="1080"/>
            <w:vAlign w:val="center"/>
          </w:tcPr>
          <w:p>
            <w:pPr>
              <w:spacing w:after="0" w:before="0" w:line="240" w:lineRule="auto"/>
            </w:pPr>
            <w:r/>
            <w:r>
              <w:rPr>
                <w:rFonts w:ascii="Aptos" w:hAnsi="Aptos"/>
                <w:b w:val="0"/>
                <w:color w:val="111827"/>
                <w:sz w:val="12"/>
              </w:rPr>
              <w:t>$150.38</w:t>
            </w:r>
          </w:p>
        </w:tc>
        <w:tc>
          <w:tcPr>
            <w:tcW w:type="dxa" w:w="1008"/>
            <w:vAlign w:val="center"/>
          </w:tcPr>
          <w:p>
            <w:pPr>
              <w:spacing w:after="0" w:before="0" w:line="240" w:lineRule="auto"/>
            </w:pPr>
            <w:r/>
            <w:r>
              <w:rPr>
                <w:rFonts w:ascii="Aptos" w:hAnsi="Aptos"/>
                <w:b w:val="0"/>
                <w:color w:val="111827"/>
                <w:sz w:val="12"/>
              </w:rPr>
              <w:t>$354.52</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Laptop/phone premium electronics ($500)</w:t>
            </w:r>
          </w:p>
        </w:tc>
        <w:tc>
          <w:tcPr>
            <w:tcW w:type="dxa" w:w="2232"/>
            <w:vAlign w:val="center"/>
            <w:shd w:fill="F5F7FA"/>
          </w:tcPr>
          <w:p>
            <w:pPr>
              <w:spacing w:after="0" w:before="0" w:line="240" w:lineRule="auto"/>
            </w:pPr>
            <w:r/>
            <w:r>
              <w:rPr>
                <w:rFonts w:ascii="Aptos" w:hAnsi="Aptos"/>
                <w:b w:val="0"/>
                <w:color w:val="111827"/>
                <w:sz w:val="12"/>
              </w:rPr>
              <w:t>Local pickup</w:t>
            </w:r>
          </w:p>
        </w:tc>
        <w:tc>
          <w:tcPr>
            <w:tcW w:type="dxa" w:w="1080"/>
            <w:vAlign w:val="center"/>
            <w:shd w:fill="F5F7FA"/>
          </w:tcPr>
          <w:p>
            <w:pPr>
              <w:spacing w:after="0" w:before="0" w:line="240" w:lineRule="auto"/>
            </w:pPr>
            <w:r/>
            <w:r>
              <w:rPr>
                <w:rFonts w:ascii="Aptos" w:hAnsi="Aptos"/>
                <w:b w:val="0"/>
                <w:color w:val="111827"/>
                <w:sz w:val="12"/>
              </w:rPr>
              <w:t>$35.00</w:t>
            </w:r>
          </w:p>
        </w:tc>
        <w:tc>
          <w:tcPr>
            <w:tcW w:type="dxa" w:w="1008"/>
            <w:vAlign w:val="center"/>
            <w:shd w:fill="F5F7FA"/>
          </w:tcPr>
          <w:p>
            <w:pPr>
              <w:spacing w:after="0" w:before="0" w:line="240" w:lineRule="auto"/>
            </w:pPr>
            <w:r/>
            <w:r>
              <w:rPr>
                <w:rFonts w:ascii="Aptos" w:hAnsi="Aptos"/>
                <w:b w:val="0"/>
                <w:color w:val="111827"/>
                <w:sz w:val="12"/>
              </w:rPr>
              <w:t>$200.58</w:t>
            </w:r>
          </w:p>
        </w:tc>
        <w:tc>
          <w:tcPr>
            <w:tcW w:type="dxa" w:w="936"/>
            <w:vAlign w:val="center"/>
            <w:shd w:fill="F5F7FA"/>
          </w:tcPr>
          <w:p>
            <w:pPr>
              <w:spacing w:after="0" w:before="0" w:line="240" w:lineRule="auto"/>
            </w:pPr>
            <w:r/>
            <w:r>
              <w:rPr>
                <w:rFonts w:ascii="Aptos" w:hAnsi="Aptos"/>
                <w:b w:val="0"/>
                <w:color w:val="111827"/>
                <w:sz w:val="12"/>
              </w:rPr>
              <w:t>$10.20</w:t>
            </w:r>
          </w:p>
        </w:tc>
        <w:tc>
          <w:tcPr>
            <w:tcW w:type="dxa" w:w="1080"/>
            <w:vAlign w:val="center"/>
            <w:shd w:fill="F5F7FA"/>
          </w:tcPr>
          <w:p>
            <w:pPr>
              <w:spacing w:after="0" w:before="0" w:line="240" w:lineRule="auto"/>
            </w:pPr>
            <w:r/>
            <w:r>
              <w:rPr>
                <w:rFonts w:ascii="Aptos" w:hAnsi="Aptos"/>
                <w:b w:val="0"/>
                <w:color w:val="111827"/>
                <w:sz w:val="12"/>
              </w:rPr>
              <w:t>$155.38</w:t>
            </w:r>
          </w:p>
        </w:tc>
        <w:tc>
          <w:tcPr>
            <w:tcW w:type="dxa" w:w="1008"/>
            <w:vAlign w:val="center"/>
            <w:shd w:fill="F5F7FA"/>
          </w:tcPr>
          <w:p>
            <w:pPr>
              <w:spacing w:after="0" w:before="0" w:line="240" w:lineRule="auto"/>
            </w:pPr>
            <w:r/>
            <w:r>
              <w:rPr>
                <w:rFonts w:ascii="Aptos" w:hAnsi="Aptos"/>
                <w:b w:val="0"/>
                <w:color w:val="111827"/>
                <w:sz w:val="12"/>
              </w:rPr>
              <w:t>$349.52</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Laptop/phone premium electronics ($500)</w:t>
            </w:r>
          </w:p>
        </w:tc>
        <w:tc>
          <w:tcPr>
            <w:tcW w:type="dxa" w:w="2232"/>
            <w:vAlign w:val="center"/>
          </w:tcPr>
          <w:p>
            <w:pPr>
              <w:spacing w:after="0" w:before="0" w:line="240" w:lineRule="auto"/>
            </w:pPr>
            <w:r/>
            <w:r>
              <w:rPr>
                <w:rFonts w:ascii="Aptos" w:hAnsi="Aptos"/>
                <w:b w:val="0"/>
                <w:color w:val="111827"/>
                <w:sz w:val="12"/>
              </w:rPr>
              <w:t>Pallet liquidation</w:t>
            </w:r>
          </w:p>
        </w:tc>
        <w:tc>
          <w:tcPr>
            <w:tcW w:type="dxa" w:w="1080"/>
            <w:vAlign w:val="center"/>
          </w:tcPr>
          <w:p>
            <w:pPr>
              <w:spacing w:after="0" w:before="0" w:line="240" w:lineRule="auto"/>
            </w:pPr>
            <w:r/>
            <w:r>
              <w:rPr>
                <w:rFonts w:ascii="Aptos" w:hAnsi="Aptos"/>
                <w:b w:val="0"/>
                <w:color w:val="111827"/>
                <w:sz w:val="12"/>
              </w:rPr>
              <w:t>$2.00</w:t>
            </w:r>
          </w:p>
        </w:tc>
        <w:tc>
          <w:tcPr>
            <w:tcW w:type="dxa" w:w="1008"/>
            <w:vAlign w:val="center"/>
          </w:tcPr>
          <w:p>
            <w:pPr>
              <w:spacing w:after="0" w:before="0" w:line="240" w:lineRule="auto"/>
            </w:pPr>
            <w:r/>
            <w:r>
              <w:rPr>
                <w:rFonts w:ascii="Aptos" w:hAnsi="Aptos"/>
                <w:b w:val="0"/>
                <w:color w:val="111827"/>
                <w:sz w:val="12"/>
              </w:rPr>
              <w:t>$200.58</w:t>
            </w:r>
          </w:p>
        </w:tc>
        <w:tc>
          <w:tcPr>
            <w:tcW w:type="dxa" w:w="936"/>
            <w:vAlign w:val="center"/>
          </w:tcPr>
          <w:p>
            <w:pPr>
              <w:spacing w:after="0" w:before="0" w:line="240" w:lineRule="auto"/>
            </w:pPr>
            <w:r/>
            <w:r>
              <w:rPr>
                <w:rFonts w:ascii="Aptos" w:hAnsi="Aptos"/>
                <w:b w:val="0"/>
                <w:color w:val="111827"/>
                <w:sz w:val="12"/>
              </w:rPr>
              <w:t>$10.20</w:t>
            </w:r>
          </w:p>
        </w:tc>
        <w:tc>
          <w:tcPr>
            <w:tcW w:type="dxa" w:w="1080"/>
            <w:vAlign w:val="center"/>
          </w:tcPr>
          <w:p>
            <w:pPr>
              <w:spacing w:after="0" w:before="0" w:line="240" w:lineRule="auto"/>
            </w:pPr>
            <w:r/>
            <w:r>
              <w:rPr>
                <w:rFonts w:ascii="Aptos" w:hAnsi="Aptos"/>
                <w:b w:val="0"/>
                <w:color w:val="111827"/>
                <w:sz w:val="12"/>
              </w:rPr>
              <w:t>$188.38</w:t>
            </w:r>
          </w:p>
        </w:tc>
        <w:tc>
          <w:tcPr>
            <w:tcW w:type="dxa" w:w="1008"/>
            <w:vAlign w:val="center"/>
          </w:tcPr>
          <w:p>
            <w:pPr>
              <w:spacing w:after="0" w:before="0" w:line="240" w:lineRule="auto"/>
            </w:pPr>
            <w:r/>
            <w:r>
              <w:rPr>
                <w:rFonts w:ascii="Aptos" w:hAnsi="Aptos"/>
                <w:b w:val="0"/>
                <w:color w:val="111827"/>
                <w:sz w:val="12"/>
              </w:rPr>
              <w:t>$316.52</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Furniture product ($500)</w:t>
            </w:r>
          </w:p>
        </w:tc>
        <w:tc>
          <w:tcPr>
            <w:tcW w:type="dxa" w:w="2232"/>
            <w:vAlign w:val="center"/>
            <w:shd w:fill="F5F7FA"/>
          </w:tcPr>
          <w:p>
            <w:pPr>
              <w:spacing w:after="0" w:before="0" w:line="240" w:lineRule="auto"/>
            </w:pPr>
            <w:r/>
            <w:r>
              <w:rPr>
                <w:rFonts w:ascii="Aptos" w:hAnsi="Aptos"/>
                <w:b w:val="0"/>
                <w:color w:val="111827"/>
                <w:sz w:val="12"/>
              </w:rPr>
              <w:t>Store return</w:t>
            </w:r>
          </w:p>
        </w:tc>
        <w:tc>
          <w:tcPr>
            <w:tcW w:type="dxa" w:w="1080"/>
            <w:vAlign w:val="center"/>
            <w:shd w:fill="F5F7FA"/>
          </w:tcPr>
          <w:p>
            <w:pPr>
              <w:spacing w:after="0" w:before="0" w:line="240" w:lineRule="auto"/>
            </w:pPr>
            <w:r/>
            <w:r>
              <w:rPr>
                <w:rFonts w:ascii="Aptos" w:hAnsi="Aptos"/>
                <w:b w:val="0"/>
                <w:color w:val="111827"/>
                <w:sz w:val="12"/>
              </w:rPr>
              <w:t>$8.00</w:t>
            </w:r>
          </w:p>
        </w:tc>
        <w:tc>
          <w:tcPr>
            <w:tcW w:type="dxa" w:w="1008"/>
            <w:vAlign w:val="center"/>
            <w:shd w:fill="F5F7FA"/>
          </w:tcPr>
          <w:p>
            <w:pPr>
              <w:spacing w:after="0" w:before="0" w:line="240" w:lineRule="auto"/>
            </w:pPr>
            <w:r/>
            <w:r>
              <w:rPr>
                <w:rFonts w:ascii="Aptos" w:hAnsi="Aptos"/>
                <w:b w:val="0"/>
                <w:color w:val="111827"/>
                <w:sz w:val="12"/>
              </w:rPr>
              <w:t>$95.16</w:t>
            </w:r>
          </w:p>
        </w:tc>
        <w:tc>
          <w:tcPr>
            <w:tcW w:type="dxa" w:w="936"/>
            <w:vAlign w:val="center"/>
            <w:shd w:fill="F5F7FA"/>
          </w:tcPr>
          <w:p>
            <w:pPr>
              <w:spacing w:after="0" w:before="0" w:line="240" w:lineRule="auto"/>
            </w:pPr>
            <w:r/>
            <w:r>
              <w:rPr>
                <w:rFonts w:ascii="Aptos" w:hAnsi="Aptos"/>
                <w:b w:val="0"/>
                <w:color w:val="111827"/>
                <w:sz w:val="12"/>
              </w:rPr>
              <w:t>$10.00</w:t>
            </w:r>
          </w:p>
        </w:tc>
        <w:tc>
          <w:tcPr>
            <w:tcW w:type="dxa" w:w="1080"/>
            <w:vAlign w:val="center"/>
            <w:shd w:fill="F5F7FA"/>
          </w:tcPr>
          <w:p>
            <w:pPr>
              <w:spacing w:after="0" w:before="0" w:line="240" w:lineRule="auto"/>
            </w:pPr>
            <w:r/>
            <w:r>
              <w:rPr>
                <w:rFonts w:ascii="Aptos" w:hAnsi="Aptos"/>
                <w:b w:val="0"/>
                <w:color w:val="111827"/>
                <w:sz w:val="12"/>
              </w:rPr>
              <w:t>$77.16</w:t>
            </w:r>
          </w:p>
        </w:tc>
        <w:tc>
          <w:tcPr>
            <w:tcW w:type="dxa" w:w="1008"/>
            <w:vAlign w:val="center"/>
            <w:shd w:fill="F5F7FA"/>
          </w:tcPr>
          <w:p>
            <w:pPr>
              <w:spacing w:after="0" w:before="0" w:line="240" w:lineRule="auto"/>
            </w:pPr>
            <w:r/>
            <w:r>
              <w:rPr>
                <w:rFonts w:ascii="Aptos" w:hAnsi="Aptos"/>
                <w:b w:val="0"/>
                <w:color w:val="111827"/>
                <w:sz w:val="12"/>
              </w:rPr>
              <w:t>$423.14</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Furniture product ($500)</w:t>
            </w:r>
          </w:p>
        </w:tc>
        <w:tc>
          <w:tcPr>
            <w:tcW w:type="dxa" w:w="2232"/>
            <w:vAlign w:val="center"/>
          </w:tcPr>
          <w:p>
            <w:pPr>
              <w:spacing w:after="0" w:before="0" w:line="240" w:lineRule="auto"/>
            </w:pPr>
            <w:r/>
            <w:r>
              <w:rPr>
                <w:rFonts w:ascii="Aptos" w:hAnsi="Aptos"/>
                <w:b w:val="0"/>
                <w:color w:val="111827"/>
                <w:sz w:val="12"/>
              </w:rPr>
              <w:t>Nearby drop-off + consolidation</w:t>
            </w:r>
          </w:p>
        </w:tc>
        <w:tc>
          <w:tcPr>
            <w:tcW w:type="dxa" w:w="1080"/>
            <w:vAlign w:val="center"/>
          </w:tcPr>
          <w:p>
            <w:pPr>
              <w:spacing w:after="0" w:before="0" w:line="240" w:lineRule="auto"/>
            </w:pPr>
            <w:r/>
            <w:r>
              <w:rPr>
                <w:rFonts w:ascii="Aptos" w:hAnsi="Aptos"/>
                <w:b w:val="0"/>
                <w:color w:val="111827"/>
                <w:sz w:val="12"/>
              </w:rPr>
              <w:t>$25.00</w:t>
            </w:r>
          </w:p>
        </w:tc>
        <w:tc>
          <w:tcPr>
            <w:tcW w:type="dxa" w:w="1008"/>
            <w:vAlign w:val="center"/>
          </w:tcPr>
          <w:p>
            <w:pPr>
              <w:spacing w:after="0" w:before="0" w:line="240" w:lineRule="auto"/>
            </w:pPr>
            <w:r/>
            <w:r>
              <w:rPr>
                <w:rFonts w:ascii="Aptos" w:hAnsi="Aptos"/>
                <w:b w:val="0"/>
                <w:color w:val="111827"/>
                <w:sz w:val="12"/>
              </w:rPr>
              <w:t>$95.16</w:t>
            </w:r>
          </w:p>
        </w:tc>
        <w:tc>
          <w:tcPr>
            <w:tcW w:type="dxa" w:w="936"/>
            <w:vAlign w:val="center"/>
          </w:tcPr>
          <w:p>
            <w:pPr>
              <w:spacing w:after="0" w:before="0" w:line="240" w:lineRule="auto"/>
            </w:pPr>
            <w:r/>
            <w:r>
              <w:rPr>
                <w:rFonts w:ascii="Aptos" w:hAnsi="Aptos"/>
                <w:b w:val="0"/>
                <w:color w:val="111827"/>
                <w:sz w:val="12"/>
              </w:rPr>
              <w:t>$10.00</w:t>
            </w:r>
          </w:p>
        </w:tc>
        <w:tc>
          <w:tcPr>
            <w:tcW w:type="dxa" w:w="1080"/>
            <w:vAlign w:val="center"/>
          </w:tcPr>
          <w:p>
            <w:pPr>
              <w:spacing w:after="0" w:before="0" w:line="240" w:lineRule="auto"/>
            </w:pPr>
            <w:r/>
            <w:r>
              <w:rPr>
                <w:rFonts w:ascii="Aptos" w:hAnsi="Aptos"/>
                <w:b w:val="0"/>
                <w:color w:val="111827"/>
                <w:sz w:val="12"/>
              </w:rPr>
              <w:t>$60.16</w:t>
            </w:r>
          </w:p>
        </w:tc>
        <w:tc>
          <w:tcPr>
            <w:tcW w:type="dxa" w:w="1008"/>
            <w:vAlign w:val="center"/>
          </w:tcPr>
          <w:p>
            <w:pPr>
              <w:spacing w:after="0" w:before="0" w:line="240" w:lineRule="auto"/>
            </w:pPr>
            <w:r/>
            <w:r>
              <w:rPr>
                <w:rFonts w:ascii="Aptos" w:hAnsi="Aptos"/>
                <w:b w:val="0"/>
                <w:color w:val="111827"/>
                <w:sz w:val="12"/>
              </w:rPr>
              <w:t>$440.14</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Furniture product ($500)</w:t>
            </w:r>
          </w:p>
        </w:tc>
        <w:tc>
          <w:tcPr>
            <w:tcW w:type="dxa" w:w="2232"/>
            <w:vAlign w:val="center"/>
            <w:shd w:fill="F5F7FA"/>
          </w:tcPr>
          <w:p>
            <w:pPr>
              <w:spacing w:after="0" w:before="0" w:line="240" w:lineRule="auto"/>
            </w:pPr>
            <w:r/>
            <w:r>
              <w:rPr>
                <w:rFonts w:ascii="Aptos" w:hAnsi="Aptos"/>
                <w:b w:val="0"/>
                <w:color w:val="111827"/>
                <w:sz w:val="12"/>
              </w:rPr>
              <w:t>Short-distance parcel</w:t>
            </w:r>
          </w:p>
        </w:tc>
        <w:tc>
          <w:tcPr>
            <w:tcW w:type="dxa" w:w="1080"/>
            <w:vAlign w:val="center"/>
            <w:shd w:fill="F5F7FA"/>
          </w:tcPr>
          <w:p>
            <w:pPr>
              <w:spacing w:after="0" w:before="0" w:line="240" w:lineRule="auto"/>
            </w:pPr>
            <w:r/>
            <w:r>
              <w:rPr>
                <w:rFonts w:ascii="Aptos" w:hAnsi="Aptos"/>
                <w:b w:val="0"/>
                <w:color w:val="111827"/>
                <w:sz w:val="12"/>
              </w:rPr>
              <w:t>$60.00</w:t>
            </w:r>
          </w:p>
        </w:tc>
        <w:tc>
          <w:tcPr>
            <w:tcW w:type="dxa" w:w="1008"/>
            <w:vAlign w:val="center"/>
            <w:shd w:fill="F5F7FA"/>
          </w:tcPr>
          <w:p>
            <w:pPr>
              <w:spacing w:after="0" w:before="0" w:line="240" w:lineRule="auto"/>
            </w:pPr>
            <w:r/>
            <w:r>
              <w:rPr>
                <w:rFonts w:ascii="Aptos" w:hAnsi="Aptos"/>
                <w:b w:val="0"/>
                <w:color w:val="111827"/>
                <w:sz w:val="12"/>
              </w:rPr>
              <w:t>$95.16</w:t>
            </w:r>
          </w:p>
        </w:tc>
        <w:tc>
          <w:tcPr>
            <w:tcW w:type="dxa" w:w="936"/>
            <w:vAlign w:val="center"/>
            <w:shd w:fill="F5F7FA"/>
          </w:tcPr>
          <w:p>
            <w:pPr>
              <w:spacing w:after="0" w:before="0" w:line="240" w:lineRule="auto"/>
            </w:pPr>
            <w:r/>
            <w:r>
              <w:rPr>
                <w:rFonts w:ascii="Aptos" w:hAnsi="Aptos"/>
                <w:b w:val="0"/>
                <w:color w:val="111827"/>
                <w:sz w:val="12"/>
              </w:rPr>
              <w:t>$10.00</w:t>
            </w:r>
          </w:p>
        </w:tc>
        <w:tc>
          <w:tcPr>
            <w:tcW w:type="dxa" w:w="1080"/>
            <w:vAlign w:val="center"/>
            <w:shd w:fill="F5F7FA"/>
          </w:tcPr>
          <w:p>
            <w:pPr>
              <w:spacing w:after="0" w:before="0" w:line="240" w:lineRule="auto"/>
            </w:pPr>
            <w:r/>
            <w:r>
              <w:rPr>
                <w:rFonts w:ascii="Aptos" w:hAnsi="Aptos"/>
                <w:b w:val="0"/>
                <w:color w:val="111827"/>
                <w:sz w:val="12"/>
              </w:rPr>
              <w:t>$25.16</w:t>
            </w:r>
          </w:p>
        </w:tc>
        <w:tc>
          <w:tcPr>
            <w:tcW w:type="dxa" w:w="1008"/>
            <w:vAlign w:val="center"/>
            <w:shd w:fill="F5F7FA"/>
          </w:tcPr>
          <w:p>
            <w:pPr>
              <w:spacing w:after="0" w:before="0" w:line="240" w:lineRule="auto"/>
            </w:pPr>
            <w:r/>
            <w:r>
              <w:rPr>
                <w:rFonts w:ascii="Aptos" w:hAnsi="Aptos"/>
                <w:b w:val="0"/>
                <w:color w:val="111827"/>
                <w:sz w:val="12"/>
              </w:rPr>
              <w:t>$475.14</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Furniture product ($500)</w:t>
            </w:r>
          </w:p>
        </w:tc>
        <w:tc>
          <w:tcPr>
            <w:tcW w:type="dxa" w:w="2232"/>
            <w:vAlign w:val="center"/>
          </w:tcPr>
          <w:p>
            <w:pPr>
              <w:spacing w:after="0" w:before="0" w:line="240" w:lineRule="auto"/>
            </w:pPr>
            <w:r/>
            <w:r>
              <w:rPr>
                <w:rFonts w:ascii="Aptos" w:hAnsi="Aptos"/>
                <w:b w:val="0"/>
                <w:color w:val="111827"/>
                <w:sz w:val="12"/>
              </w:rPr>
              <w:t>Long-distance parcel</w:t>
            </w:r>
          </w:p>
        </w:tc>
        <w:tc>
          <w:tcPr>
            <w:tcW w:type="dxa" w:w="1080"/>
            <w:vAlign w:val="center"/>
          </w:tcPr>
          <w:p>
            <w:pPr>
              <w:spacing w:after="0" w:before="0" w:line="240" w:lineRule="auto"/>
            </w:pPr>
            <w:r/>
            <w:r>
              <w:rPr>
                <w:rFonts w:ascii="Aptos" w:hAnsi="Aptos"/>
                <w:b w:val="0"/>
                <w:color w:val="111827"/>
                <w:sz w:val="12"/>
              </w:rPr>
              <w:t>$110.00</w:t>
            </w:r>
          </w:p>
        </w:tc>
        <w:tc>
          <w:tcPr>
            <w:tcW w:type="dxa" w:w="1008"/>
            <w:vAlign w:val="center"/>
          </w:tcPr>
          <w:p>
            <w:pPr>
              <w:spacing w:after="0" w:before="0" w:line="240" w:lineRule="auto"/>
            </w:pPr>
            <w:r/>
            <w:r>
              <w:rPr>
                <w:rFonts w:ascii="Aptos" w:hAnsi="Aptos"/>
                <w:b w:val="0"/>
                <w:color w:val="111827"/>
                <w:sz w:val="12"/>
              </w:rPr>
              <w:t>$95.16</w:t>
            </w:r>
          </w:p>
        </w:tc>
        <w:tc>
          <w:tcPr>
            <w:tcW w:type="dxa" w:w="936"/>
            <w:vAlign w:val="center"/>
          </w:tcPr>
          <w:p>
            <w:pPr>
              <w:spacing w:after="0" w:before="0" w:line="240" w:lineRule="auto"/>
            </w:pPr>
            <w:r/>
            <w:r>
              <w:rPr>
                <w:rFonts w:ascii="Aptos" w:hAnsi="Aptos"/>
                <w:b w:val="0"/>
                <w:color w:val="111827"/>
                <w:sz w:val="12"/>
              </w:rPr>
              <w:t>$10.00</w:t>
            </w:r>
          </w:p>
        </w:tc>
        <w:tc>
          <w:tcPr>
            <w:tcW w:type="dxa" w:w="1080"/>
            <w:vAlign w:val="center"/>
          </w:tcPr>
          <w:p>
            <w:pPr>
              <w:spacing w:after="0" w:before="0" w:line="240" w:lineRule="auto"/>
            </w:pPr>
            <w:r/>
            <w:r>
              <w:rPr>
                <w:rFonts w:ascii="Aptos" w:hAnsi="Aptos"/>
                <w:b w:val="0"/>
                <w:color w:val="111827"/>
                <w:sz w:val="12"/>
              </w:rPr>
              <w:t>$-24.84</w:t>
            </w:r>
          </w:p>
        </w:tc>
        <w:tc>
          <w:tcPr>
            <w:tcW w:type="dxa" w:w="1008"/>
            <w:vAlign w:val="center"/>
          </w:tcPr>
          <w:p>
            <w:pPr>
              <w:spacing w:after="0" w:before="0" w:line="240" w:lineRule="auto"/>
            </w:pPr>
            <w:r/>
            <w:r>
              <w:rPr>
                <w:rFonts w:ascii="Aptos" w:hAnsi="Aptos"/>
                <w:b w:val="0"/>
                <w:color w:val="111827"/>
                <w:sz w:val="12"/>
              </w:rPr>
              <w:t>$525.14</w:t>
            </w:r>
          </w:p>
        </w:tc>
        <w:tc>
          <w:tcPr>
            <w:tcW w:type="dxa" w:w="720"/>
            <w:vAlign w:val="center"/>
          </w:tcPr>
          <w:p>
            <w:pPr>
              <w:spacing w:after="0" w:before="0" w:line="240" w:lineRule="auto"/>
            </w:pPr>
            <w:r/>
            <w:r>
              <w:rPr>
                <w:rFonts w:ascii="Aptos" w:hAnsi="Aptos"/>
                <w:b w:val="0"/>
                <w:color w:val="111827"/>
                <w:sz w:val="12"/>
              </w:rPr>
              <w:t>No</w:t>
            </w:r>
          </w:p>
        </w:tc>
      </w:tr>
      <w:tr>
        <w:tc>
          <w:tcPr>
            <w:tcW w:type="dxa" w:w="2232"/>
            <w:vAlign w:val="center"/>
            <w:shd w:fill="F5F7FA"/>
          </w:tcPr>
          <w:p>
            <w:pPr>
              <w:spacing w:after="0" w:before="0" w:line="240" w:lineRule="auto"/>
            </w:pPr>
            <w:r/>
            <w:r>
              <w:rPr>
                <w:rFonts w:ascii="Aptos" w:hAnsi="Aptos"/>
                <w:b/>
                <w:color w:val="111827"/>
                <w:sz w:val="12"/>
              </w:rPr>
              <w:t>Furniture product ($500)</w:t>
            </w:r>
          </w:p>
        </w:tc>
        <w:tc>
          <w:tcPr>
            <w:tcW w:type="dxa" w:w="2232"/>
            <w:vAlign w:val="center"/>
            <w:shd w:fill="F5F7FA"/>
          </w:tcPr>
          <w:p>
            <w:pPr>
              <w:spacing w:after="0" w:before="0" w:line="240" w:lineRule="auto"/>
            </w:pPr>
            <w:r/>
            <w:r>
              <w:rPr>
                <w:rFonts w:ascii="Aptos" w:hAnsi="Aptos"/>
                <w:b w:val="0"/>
                <w:color w:val="111827"/>
                <w:sz w:val="12"/>
              </w:rPr>
              <w:t>Oversize shipment</w:t>
            </w:r>
          </w:p>
        </w:tc>
        <w:tc>
          <w:tcPr>
            <w:tcW w:type="dxa" w:w="1080"/>
            <w:vAlign w:val="center"/>
            <w:shd w:fill="F5F7FA"/>
          </w:tcPr>
          <w:p>
            <w:pPr>
              <w:spacing w:after="0" w:before="0" w:line="240" w:lineRule="auto"/>
            </w:pPr>
            <w:r/>
            <w:r>
              <w:rPr>
                <w:rFonts w:ascii="Aptos" w:hAnsi="Aptos"/>
                <w:b w:val="0"/>
                <w:color w:val="111827"/>
                <w:sz w:val="12"/>
              </w:rPr>
              <w:t>$180.00</w:t>
            </w:r>
          </w:p>
        </w:tc>
        <w:tc>
          <w:tcPr>
            <w:tcW w:type="dxa" w:w="1008"/>
            <w:vAlign w:val="center"/>
            <w:shd w:fill="F5F7FA"/>
          </w:tcPr>
          <w:p>
            <w:pPr>
              <w:spacing w:after="0" w:before="0" w:line="240" w:lineRule="auto"/>
            </w:pPr>
            <w:r/>
            <w:r>
              <w:rPr>
                <w:rFonts w:ascii="Aptos" w:hAnsi="Aptos"/>
                <w:b w:val="0"/>
                <w:color w:val="111827"/>
                <w:sz w:val="12"/>
              </w:rPr>
              <w:t>$95.16</w:t>
            </w:r>
          </w:p>
        </w:tc>
        <w:tc>
          <w:tcPr>
            <w:tcW w:type="dxa" w:w="936"/>
            <w:vAlign w:val="center"/>
            <w:shd w:fill="F5F7FA"/>
          </w:tcPr>
          <w:p>
            <w:pPr>
              <w:spacing w:after="0" w:before="0" w:line="240" w:lineRule="auto"/>
            </w:pPr>
            <w:r/>
            <w:r>
              <w:rPr>
                <w:rFonts w:ascii="Aptos" w:hAnsi="Aptos"/>
                <w:b w:val="0"/>
                <w:color w:val="111827"/>
                <w:sz w:val="12"/>
              </w:rPr>
              <w:t>$10.00</w:t>
            </w:r>
          </w:p>
        </w:tc>
        <w:tc>
          <w:tcPr>
            <w:tcW w:type="dxa" w:w="1080"/>
            <w:vAlign w:val="center"/>
            <w:shd w:fill="F5F7FA"/>
          </w:tcPr>
          <w:p>
            <w:pPr>
              <w:spacing w:after="0" w:before="0" w:line="240" w:lineRule="auto"/>
            </w:pPr>
            <w:r/>
            <w:r>
              <w:rPr>
                <w:rFonts w:ascii="Aptos" w:hAnsi="Aptos"/>
                <w:b w:val="0"/>
                <w:color w:val="111827"/>
                <w:sz w:val="12"/>
              </w:rPr>
              <w:t>$-94.84</w:t>
            </w:r>
          </w:p>
        </w:tc>
        <w:tc>
          <w:tcPr>
            <w:tcW w:type="dxa" w:w="1008"/>
            <w:vAlign w:val="center"/>
            <w:shd w:fill="F5F7FA"/>
          </w:tcPr>
          <w:p>
            <w:pPr>
              <w:spacing w:after="0" w:before="0" w:line="240" w:lineRule="auto"/>
            </w:pPr>
            <w:r/>
            <w:r>
              <w:rPr>
                <w:rFonts w:ascii="Aptos" w:hAnsi="Aptos"/>
                <w:b w:val="0"/>
                <w:color w:val="111827"/>
                <w:sz w:val="12"/>
              </w:rPr>
              <w:t>$595.14</w:t>
            </w:r>
          </w:p>
        </w:tc>
        <w:tc>
          <w:tcPr>
            <w:tcW w:type="dxa" w:w="720"/>
            <w:vAlign w:val="center"/>
            <w:shd w:fill="F5F7FA"/>
          </w:tcPr>
          <w:p>
            <w:pPr>
              <w:spacing w:after="0" w:before="0" w:line="240" w:lineRule="auto"/>
            </w:pPr>
            <w:r/>
            <w:r>
              <w:rPr>
                <w:rFonts w:ascii="Aptos" w:hAnsi="Aptos"/>
                <w:b w:val="0"/>
                <w:color w:val="111827"/>
                <w:sz w:val="12"/>
              </w:rPr>
              <w:t>No</w:t>
            </w:r>
          </w:p>
        </w:tc>
      </w:tr>
      <w:tr>
        <w:tc>
          <w:tcPr>
            <w:tcW w:type="dxa" w:w="2232"/>
            <w:vAlign w:val="center"/>
          </w:tcPr>
          <w:p>
            <w:pPr>
              <w:spacing w:after="0" w:before="0" w:line="240" w:lineRule="auto"/>
            </w:pPr>
            <w:r/>
            <w:r>
              <w:rPr>
                <w:rFonts w:ascii="Aptos" w:hAnsi="Aptos"/>
                <w:b/>
                <w:color w:val="111827"/>
                <w:sz w:val="12"/>
              </w:rPr>
              <w:t>Furniture product ($500)</w:t>
            </w:r>
          </w:p>
        </w:tc>
        <w:tc>
          <w:tcPr>
            <w:tcW w:type="dxa" w:w="2232"/>
            <w:vAlign w:val="center"/>
          </w:tcPr>
          <w:p>
            <w:pPr>
              <w:spacing w:after="0" w:before="0" w:line="240" w:lineRule="auto"/>
            </w:pPr>
            <w:r/>
            <w:r>
              <w:rPr>
                <w:rFonts w:ascii="Aptos" w:hAnsi="Aptos"/>
                <w:b w:val="0"/>
                <w:color w:val="111827"/>
                <w:sz w:val="12"/>
              </w:rPr>
              <w:t>Local pickup</w:t>
            </w:r>
          </w:p>
        </w:tc>
        <w:tc>
          <w:tcPr>
            <w:tcW w:type="dxa" w:w="1080"/>
            <w:vAlign w:val="center"/>
          </w:tcPr>
          <w:p>
            <w:pPr>
              <w:spacing w:after="0" w:before="0" w:line="240" w:lineRule="auto"/>
            </w:pPr>
            <w:r/>
            <w:r>
              <w:rPr>
                <w:rFonts w:ascii="Aptos" w:hAnsi="Aptos"/>
                <w:b w:val="0"/>
                <w:color w:val="111827"/>
                <w:sz w:val="12"/>
              </w:rPr>
              <w:t>$65.00</w:t>
            </w:r>
          </w:p>
        </w:tc>
        <w:tc>
          <w:tcPr>
            <w:tcW w:type="dxa" w:w="1008"/>
            <w:vAlign w:val="center"/>
          </w:tcPr>
          <w:p>
            <w:pPr>
              <w:spacing w:after="0" w:before="0" w:line="240" w:lineRule="auto"/>
            </w:pPr>
            <w:r/>
            <w:r>
              <w:rPr>
                <w:rFonts w:ascii="Aptos" w:hAnsi="Aptos"/>
                <w:b w:val="0"/>
                <w:color w:val="111827"/>
                <w:sz w:val="12"/>
              </w:rPr>
              <w:t>$95.16</w:t>
            </w:r>
          </w:p>
        </w:tc>
        <w:tc>
          <w:tcPr>
            <w:tcW w:type="dxa" w:w="936"/>
            <w:vAlign w:val="center"/>
          </w:tcPr>
          <w:p>
            <w:pPr>
              <w:spacing w:after="0" w:before="0" w:line="240" w:lineRule="auto"/>
            </w:pPr>
            <w:r/>
            <w:r>
              <w:rPr>
                <w:rFonts w:ascii="Aptos" w:hAnsi="Aptos"/>
                <w:b w:val="0"/>
                <w:color w:val="111827"/>
                <w:sz w:val="12"/>
              </w:rPr>
              <w:t>$10.00</w:t>
            </w:r>
          </w:p>
        </w:tc>
        <w:tc>
          <w:tcPr>
            <w:tcW w:type="dxa" w:w="1080"/>
            <w:vAlign w:val="center"/>
          </w:tcPr>
          <w:p>
            <w:pPr>
              <w:spacing w:after="0" w:before="0" w:line="240" w:lineRule="auto"/>
            </w:pPr>
            <w:r/>
            <w:r>
              <w:rPr>
                <w:rFonts w:ascii="Aptos" w:hAnsi="Aptos"/>
                <w:b w:val="0"/>
                <w:color w:val="111827"/>
                <w:sz w:val="12"/>
              </w:rPr>
              <w:t>$20.16</w:t>
            </w:r>
          </w:p>
        </w:tc>
        <w:tc>
          <w:tcPr>
            <w:tcW w:type="dxa" w:w="1008"/>
            <w:vAlign w:val="center"/>
          </w:tcPr>
          <w:p>
            <w:pPr>
              <w:spacing w:after="0" w:before="0" w:line="240" w:lineRule="auto"/>
            </w:pPr>
            <w:r/>
            <w:r>
              <w:rPr>
                <w:rFonts w:ascii="Aptos" w:hAnsi="Aptos"/>
                <w:b w:val="0"/>
                <w:color w:val="111827"/>
                <w:sz w:val="12"/>
              </w:rPr>
              <w:t>$480.14</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Furniture product ($500)</w:t>
            </w:r>
          </w:p>
        </w:tc>
        <w:tc>
          <w:tcPr>
            <w:tcW w:type="dxa" w:w="2232"/>
            <w:vAlign w:val="center"/>
            <w:shd w:fill="F5F7FA"/>
          </w:tcPr>
          <w:p>
            <w:pPr>
              <w:spacing w:after="0" w:before="0" w:line="240" w:lineRule="auto"/>
            </w:pPr>
            <w:r/>
            <w:r>
              <w:rPr>
                <w:rFonts w:ascii="Aptos" w:hAnsi="Aptos"/>
                <w:b w:val="0"/>
                <w:color w:val="111827"/>
                <w:sz w:val="12"/>
              </w:rPr>
              <w:t>Pallet liquidation</w:t>
            </w:r>
          </w:p>
        </w:tc>
        <w:tc>
          <w:tcPr>
            <w:tcW w:type="dxa" w:w="1080"/>
            <w:vAlign w:val="center"/>
            <w:shd w:fill="F5F7FA"/>
          </w:tcPr>
          <w:p>
            <w:pPr>
              <w:spacing w:after="0" w:before="0" w:line="240" w:lineRule="auto"/>
            </w:pPr>
            <w:r/>
            <w:r>
              <w:rPr>
                <w:rFonts w:ascii="Aptos" w:hAnsi="Aptos"/>
                <w:b w:val="0"/>
                <w:color w:val="111827"/>
                <w:sz w:val="12"/>
              </w:rPr>
              <w:t>$25.00</w:t>
            </w:r>
          </w:p>
        </w:tc>
        <w:tc>
          <w:tcPr>
            <w:tcW w:type="dxa" w:w="1008"/>
            <w:vAlign w:val="center"/>
            <w:shd w:fill="F5F7FA"/>
          </w:tcPr>
          <w:p>
            <w:pPr>
              <w:spacing w:after="0" w:before="0" w:line="240" w:lineRule="auto"/>
            </w:pPr>
            <w:r/>
            <w:r>
              <w:rPr>
                <w:rFonts w:ascii="Aptos" w:hAnsi="Aptos"/>
                <w:b w:val="0"/>
                <w:color w:val="111827"/>
                <w:sz w:val="12"/>
              </w:rPr>
              <w:t>$95.16</w:t>
            </w:r>
          </w:p>
        </w:tc>
        <w:tc>
          <w:tcPr>
            <w:tcW w:type="dxa" w:w="936"/>
            <w:vAlign w:val="center"/>
            <w:shd w:fill="F5F7FA"/>
          </w:tcPr>
          <w:p>
            <w:pPr>
              <w:spacing w:after="0" w:before="0" w:line="240" w:lineRule="auto"/>
            </w:pPr>
            <w:r/>
            <w:r>
              <w:rPr>
                <w:rFonts w:ascii="Aptos" w:hAnsi="Aptos"/>
                <w:b w:val="0"/>
                <w:color w:val="111827"/>
                <w:sz w:val="12"/>
              </w:rPr>
              <w:t>$10.00</w:t>
            </w:r>
          </w:p>
        </w:tc>
        <w:tc>
          <w:tcPr>
            <w:tcW w:type="dxa" w:w="1080"/>
            <w:vAlign w:val="center"/>
            <w:shd w:fill="F5F7FA"/>
          </w:tcPr>
          <w:p>
            <w:pPr>
              <w:spacing w:after="0" w:before="0" w:line="240" w:lineRule="auto"/>
            </w:pPr>
            <w:r/>
            <w:r>
              <w:rPr>
                <w:rFonts w:ascii="Aptos" w:hAnsi="Aptos"/>
                <w:b w:val="0"/>
                <w:color w:val="111827"/>
                <w:sz w:val="12"/>
              </w:rPr>
              <w:t>$60.16</w:t>
            </w:r>
          </w:p>
        </w:tc>
        <w:tc>
          <w:tcPr>
            <w:tcW w:type="dxa" w:w="1008"/>
            <w:vAlign w:val="center"/>
            <w:shd w:fill="F5F7FA"/>
          </w:tcPr>
          <w:p>
            <w:pPr>
              <w:spacing w:after="0" w:before="0" w:line="240" w:lineRule="auto"/>
            </w:pPr>
            <w:r/>
            <w:r>
              <w:rPr>
                <w:rFonts w:ascii="Aptos" w:hAnsi="Aptos"/>
                <w:b w:val="0"/>
                <w:color w:val="111827"/>
                <w:sz w:val="12"/>
              </w:rPr>
              <w:t>$440.14</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Premium apparel/accessory ($500)</w:t>
            </w:r>
          </w:p>
        </w:tc>
        <w:tc>
          <w:tcPr>
            <w:tcW w:type="dxa" w:w="2232"/>
            <w:vAlign w:val="center"/>
          </w:tcPr>
          <w:p>
            <w:pPr>
              <w:spacing w:after="0" w:before="0" w:line="240" w:lineRule="auto"/>
            </w:pPr>
            <w:r/>
            <w:r>
              <w:rPr>
                <w:rFonts w:ascii="Aptos" w:hAnsi="Aptos"/>
                <w:b w:val="0"/>
                <w:color w:val="111827"/>
                <w:sz w:val="12"/>
              </w:rPr>
              <w:t>Store return</w:t>
            </w:r>
          </w:p>
        </w:tc>
        <w:tc>
          <w:tcPr>
            <w:tcW w:type="dxa" w:w="1080"/>
            <w:vAlign w:val="center"/>
          </w:tcPr>
          <w:p>
            <w:pPr>
              <w:spacing w:after="0" w:before="0" w:line="240" w:lineRule="auto"/>
            </w:pPr>
            <w:r/>
            <w:r>
              <w:rPr>
                <w:rFonts w:ascii="Aptos" w:hAnsi="Aptos"/>
                <w:b w:val="0"/>
                <w:color w:val="111827"/>
                <w:sz w:val="12"/>
              </w:rPr>
              <w:t>$2.50</w:t>
            </w:r>
          </w:p>
        </w:tc>
        <w:tc>
          <w:tcPr>
            <w:tcW w:type="dxa" w:w="1008"/>
            <w:vAlign w:val="center"/>
          </w:tcPr>
          <w:p>
            <w:pPr>
              <w:spacing w:after="0" w:before="0" w:line="240" w:lineRule="auto"/>
            </w:pPr>
            <w:r/>
            <w:r>
              <w:rPr>
                <w:rFonts w:ascii="Aptos" w:hAnsi="Aptos"/>
                <w:b w:val="0"/>
                <w:color w:val="111827"/>
                <w:sz w:val="12"/>
              </w:rPr>
              <w:t>$269.18</w:t>
            </w:r>
          </w:p>
        </w:tc>
        <w:tc>
          <w:tcPr>
            <w:tcW w:type="dxa" w:w="936"/>
            <w:vAlign w:val="center"/>
          </w:tcPr>
          <w:p>
            <w:pPr>
              <w:spacing w:after="0" w:before="0" w:line="240" w:lineRule="auto"/>
            </w:pPr>
            <w:r/>
            <w:r>
              <w:rPr>
                <w:rFonts w:ascii="Aptos" w:hAnsi="Aptos"/>
                <w:b w:val="0"/>
                <w:color w:val="111827"/>
                <w:sz w:val="12"/>
              </w:rPr>
              <w:t>$6.00</w:t>
            </w:r>
          </w:p>
        </w:tc>
        <w:tc>
          <w:tcPr>
            <w:tcW w:type="dxa" w:w="1080"/>
            <w:vAlign w:val="center"/>
          </w:tcPr>
          <w:p>
            <w:pPr>
              <w:spacing w:after="0" w:before="0" w:line="240" w:lineRule="auto"/>
            </w:pPr>
            <w:r/>
            <w:r>
              <w:rPr>
                <w:rFonts w:ascii="Aptos" w:hAnsi="Aptos"/>
                <w:b w:val="0"/>
                <w:color w:val="111827"/>
                <w:sz w:val="12"/>
              </w:rPr>
              <w:t>$260.68</w:t>
            </w:r>
          </w:p>
        </w:tc>
        <w:tc>
          <w:tcPr>
            <w:tcW w:type="dxa" w:w="1008"/>
            <w:vAlign w:val="center"/>
          </w:tcPr>
          <w:p>
            <w:pPr>
              <w:spacing w:after="0" w:before="0" w:line="240" w:lineRule="auto"/>
            </w:pPr>
            <w:r/>
            <w:r>
              <w:rPr>
                <w:rFonts w:ascii="Aptos" w:hAnsi="Aptos"/>
                <w:b w:val="0"/>
                <w:color w:val="111827"/>
                <w:sz w:val="12"/>
              </w:rPr>
              <w:t>$243.17</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Premium apparel/accessory ($500)</w:t>
            </w:r>
          </w:p>
        </w:tc>
        <w:tc>
          <w:tcPr>
            <w:tcW w:type="dxa" w:w="2232"/>
            <w:vAlign w:val="center"/>
            <w:shd w:fill="F5F7FA"/>
          </w:tcPr>
          <w:p>
            <w:pPr>
              <w:spacing w:after="0" w:before="0" w:line="240" w:lineRule="auto"/>
            </w:pPr>
            <w:r/>
            <w:r>
              <w:rPr>
                <w:rFonts w:ascii="Aptos" w:hAnsi="Aptos"/>
                <w:b w:val="0"/>
                <w:color w:val="111827"/>
                <w:sz w:val="12"/>
              </w:rPr>
              <w:t>Nearby drop-off + consolidation</w:t>
            </w:r>
          </w:p>
        </w:tc>
        <w:tc>
          <w:tcPr>
            <w:tcW w:type="dxa" w:w="1080"/>
            <w:vAlign w:val="center"/>
            <w:shd w:fill="F5F7FA"/>
          </w:tcPr>
          <w:p>
            <w:pPr>
              <w:spacing w:after="0" w:before="0" w:line="240" w:lineRule="auto"/>
            </w:pPr>
            <w:r/>
            <w:r>
              <w:rPr>
                <w:rFonts w:ascii="Aptos" w:hAnsi="Aptos"/>
                <w:b w:val="0"/>
                <w:color w:val="111827"/>
                <w:sz w:val="12"/>
              </w:rPr>
              <w:t>$5.25</w:t>
            </w:r>
          </w:p>
        </w:tc>
        <w:tc>
          <w:tcPr>
            <w:tcW w:type="dxa" w:w="1008"/>
            <w:vAlign w:val="center"/>
            <w:shd w:fill="F5F7FA"/>
          </w:tcPr>
          <w:p>
            <w:pPr>
              <w:spacing w:after="0" w:before="0" w:line="240" w:lineRule="auto"/>
            </w:pPr>
            <w:r/>
            <w:r>
              <w:rPr>
                <w:rFonts w:ascii="Aptos" w:hAnsi="Aptos"/>
                <w:b w:val="0"/>
                <w:color w:val="111827"/>
                <w:sz w:val="12"/>
              </w:rPr>
              <w:t>$269.18</w:t>
            </w:r>
          </w:p>
        </w:tc>
        <w:tc>
          <w:tcPr>
            <w:tcW w:type="dxa" w:w="936"/>
            <w:vAlign w:val="center"/>
            <w:shd w:fill="F5F7FA"/>
          </w:tcPr>
          <w:p>
            <w:pPr>
              <w:spacing w:after="0" w:before="0" w:line="240" w:lineRule="auto"/>
            </w:pPr>
            <w:r/>
            <w:r>
              <w:rPr>
                <w:rFonts w:ascii="Aptos" w:hAnsi="Aptos"/>
                <w:b w:val="0"/>
                <w:color w:val="111827"/>
                <w:sz w:val="12"/>
              </w:rPr>
              <w:t>$6.00</w:t>
            </w:r>
          </w:p>
        </w:tc>
        <w:tc>
          <w:tcPr>
            <w:tcW w:type="dxa" w:w="1080"/>
            <w:vAlign w:val="center"/>
            <w:shd w:fill="F5F7FA"/>
          </w:tcPr>
          <w:p>
            <w:pPr>
              <w:spacing w:after="0" w:before="0" w:line="240" w:lineRule="auto"/>
            </w:pPr>
            <w:r/>
            <w:r>
              <w:rPr>
                <w:rFonts w:ascii="Aptos" w:hAnsi="Aptos"/>
                <w:b w:val="0"/>
                <w:color w:val="111827"/>
                <w:sz w:val="12"/>
              </w:rPr>
              <w:t>$257.93</w:t>
            </w:r>
          </w:p>
        </w:tc>
        <w:tc>
          <w:tcPr>
            <w:tcW w:type="dxa" w:w="1008"/>
            <w:vAlign w:val="center"/>
            <w:shd w:fill="F5F7FA"/>
          </w:tcPr>
          <w:p>
            <w:pPr>
              <w:spacing w:after="0" w:before="0" w:line="240" w:lineRule="auto"/>
            </w:pPr>
            <w:r/>
            <w:r>
              <w:rPr>
                <w:rFonts w:ascii="Aptos" w:hAnsi="Aptos"/>
                <w:b w:val="0"/>
                <w:color w:val="111827"/>
                <w:sz w:val="12"/>
              </w:rPr>
              <w:t>$245.92</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Premium apparel/accessory ($500)</w:t>
            </w:r>
          </w:p>
        </w:tc>
        <w:tc>
          <w:tcPr>
            <w:tcW w:type="dxa" w:w="2232"/>
            <w:vAlign w:val="center"/>
          </w:tcPr>
          <w:p>
            <w:pPr>
              <w:spacing w:after="0" w:before="0" w:line="240" w:lineRule="auto"/>
            </w:pPr>
            <w:r/>
            <w:r>
              <w:rPr>
                <w:rFonts w:ascii="Aptos" w:hAnsi="Aptos"/>
                <w:b w:val="0"/>
                <w:color w:val="111827"/>
                <w:sz w:val="12"/>
              </w:rPr>
              <w:t>Short-distance parcel</w:t>
            </w:r>
          </w:p>
        </w:tc>
        <w:tc>
          <w:tcPr>
            <w:tcW w:type="dxa" w:w="1080"/>
            <w:vAlign w:val="center"/>
          </w:tcPr>
          <w:p>
            <w:pPr>
              <w:spacing w:after="0" w:before="0" w:line="240" w:lineRule="auto"/>
            </w:pPr>
            <w:r/>
            <w:r>
              <w:rPr>
                <w:rFonts w:ascii="Aptos" w:hAnsi="Aptos"/>
                <w:b w:val="0"/>
                <w:color w:val="111827"/>
                <w:sz w:val="12"/>
              </w:rPr>
              <w:t>$9.75</w:t>
            </w:r>
          </w:p>
        </w:tc>
        <w:tc>
          <w:tcPr>
            <w:tcW w:type="dxa" w:w="1008"/>
            <w:vAlign w:val="center"/>
          </w:tcPr>
          <w:p>
            <w:pPr>
              <w:spacing w:after="0" w:before="0" w:line="240" w:lineRule="auto"/>
            </w:pPr>
            <w:r/>
            <w:r>
              <w:rPr>
                <w:rFonts w:ascii="Aptos" w:hAnsi="Aptos"/>
                <w:b w:val="0"/>
                <w:color w:val="111827"/>
                <w:sz w:val="12"/>
              </w:rPr>
              <w:t>$269.18</w:t>
            </w:r>
          </w:p>
        </w:tc>
        <w:tc>
          <w:tcPr>
            <w:tcW w:type="dxa" w:w="936"/>
            <w:vAlign w:val="center"/>
          </w:tcPr>
          <w:p>
            <w:pPr>
              <w:spacing w:after="0" w:before="0" w:line="240" w:lineRule="auto"/>
            </w:pPr>
            <w:r/>
            <w:r>
              <w:rPr>
                <w:rFonts w:ascii="Aptos" w:hAnsi="Aptos"/>
                <w:b w:val="0"/>
                <w:color w:val="111827"/>
                <w:sz w:val="12"/>
              </w:rPr>
              <w:t>$6.00</w:t>
            </w:r>
          </w:p>
        </w:tc>
        <w:tc>
          <w:tcPr>
            <w:tcW w:type="dxa" w:w="1080"/>
            <w:vAlign w:val="center"/>
          </w:tcPr>
          <w:p>
            <w:pPr>
              <w:spacing w:after="0" w:before="0" w:line="240" w:lineRule="auto"/>
            </w:pPr>
            <w:r/>
            <w:r>
              <w:rPr>
                <w:rFonts w:ascii="Aptos" w:hAnsi="Aptos"/>
                <w:b w:val="0"/>
                <w:color w:val="111827"/>
                <w:sz w:val="12"/>
              </w:rPr>
              <w:t>$253.43</w:t>
            </w:r>
          </w:p>
        </w:tc>
        <w:tc>
          <w:tcPr>
            <w:tcW w:type="dxa" w:w="1008"/>
            <w:vAlign w:val="center"/>
          </w:tcPr>
          <w:p>
            <w:pPr>
              <w:spacing w:after="0" w:before="0" w:line="240" w:lineRule="auto"/>
            </w:pPr>
            <w:r/>
            <w:r>
              <w:rPr>
                <w:rFonts w:ascii="Aptos" w:hAnsi="Aptos"/>
                <w:b w:val="0"/>
                <w:color w:val="111827"/>
                <w:sz w:val="12"/>
              </w:rPr>
              <w:t>$250.42</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Premium apparel/accessory ($500)</w:t>
            </w:r>
          </w:p>
        </w:tc>
        <w:tc>
          <w:tcPr>
            <w:tcW w:type="dxa" w:w="2232"/>
            <w:vAlign w:val="center"/>
            <w:shd w:fill="F5F7FA"/>
          </w:tcPr>
          <w:p>
            <w:pPr>
              <w:spacing w:after="0" w:before="0" w:line="240" w:lineRule="auto"/>
            </w:pPr>
            <w:r/>
            <w:r>
              <w:rPr>
                <w:rFonts w:ascii="Aptos" w:hAnsi="Aptos"/>
                <w:b w:val="0"/>
                <w:color w:val="111827"/>
                <w:sz w:val="12"/>
              </w:rPr>
              <w:t>Long-distance parcel</w:t>
            </w:r>
          </w:p>
        </w:tc>
        <w:tc>
          <w:tcPr>
            <w:tcW w:type="dxa" w:w="1080"/>
            <w:vAlign w:val="center"/>
            <w:shd w:fill="F5F7FA"/>
          </w:tcPr>
          <w:p>
            <w:pPr>
              <w:spacing w:after="0" w:before="0" w:line="240" w:lineRule="auto"/>
            </w:pPr>
            <w:r/>
            <w:r>
              <w:rPr>
                <w:rFonts w:ascii="Aptos" w:hAnsi="Aptos"/>
                <w:b w:val="0"/>
                <w:color w:val="111827"/>
                <w:sz w:val="12"/>
              </w:rPr>
              <w:t>$15.00</w:t>
            </w:r>
          </w:p>
        </w:tc>
        <w:tc>
          <w:tcPr>
            <w:tcW w:type="dxa" w:w="1008"/>
            <w:vAlign w:val="center"/>
            <w:shd w:fill="F5F7FA"/>
          </w:tcPr>
          <w:p>
            <w:pPr>
              <w:spacing w:after="0" w:before="0" w:line="240" w:lineRule="auto"/>
            </w:pPr>
            <w:r/>
            <w:r>
              <w:rPr>
                <w:rFonts w:ascii="Aptos" w:hAnsi="Aptos"/>
                <w:b w:val="0"/>
                <w:color w:val="111827"/>
                <w:sz w:val="12"/>
              </w:rPr>
              <w:t>$269.18</w:t>
            </w:r>
          </w:p>
        </w:tc>
        <w:tc>
          <w:tcPr>
            <w:tcW w:type="dxa" w:w="936"/>
            <w:vAlign w:val="center"/>
            <w:shd w:fill="F5F7FA"/>
          </w:tcPr>
          <w:p>
            <w:pPr>
              <w:spacing w:after="0" w:before="0" w:line="240" w:lineRule="auto"/>
            </w:pPr>
            <w:r/>
            <w:r>
              <w:rPr>
                <w:rFonts w:ascii="Aptos" w:hAnsi="Aptos"/>
                <w:b w:val="0"/>
                <w:color w:val="111827"/>
                <w:sz w:val="12"/>
              </w:rPr>
              <w:t>$6.00</w:t>
            </w:r>
          </w:p>
        </w:tc>
        <w:tc>
          <w:tcPr>
            <w:tcW w:type="dxa" w:w="1080"/>
            <w:vAlign w:val="center"/>
            <w:shd w:fill="F5F7FA"/>
          </w:tcPr>
          <w:p>
            <w:pPr>
              <w:spacing w:after="0" w:before="0" w:line="240" w:lineRule="auto"/>
            </w:pPr>
            <w:r/>
            <w:r>
              <w:rPr>
                <w:rFonts w:ascii="Aptos" w:hAnsi="Aptos"/>
                <w:b w:val="0"/>
                <w:color w:val="111827"/>
                <w:sz w:val="12"/>
              </w:rPr>
              <w:t>$248.18</w:t>
            </w:r>
          </w:p>
        </w:tc>
        <w:tc>
          <w:tcPr>
            <w:tcW w:type="dxa" w:w="1008"/>
            <w:vAlign w:val="center"/>
            <w:shd w:fill="F5F7FA"/>
          </w:tcPr>
          <w:p>
            <w:pPr>
              <w:spacing w:after="0" w:before="0" w:line="240" w:lineRule="auto"/>
            </w:pPr>
            <w:r/>
            <w:r>
              <w:rPr>
                <w:rFonts w:ascii="Aptos" w:hAnsi="Aptos"/>
                <w:b w:val="0"/>
                <w:color w:val="111827"/>
                <w:sz w:val="12"/>
              </w:rPr>
              <w:t>$255.67</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Premium apparel/accessory ($500)</w:t>
            </w:r>
          </w:p>
        </w:tc>
        <w:tc>
          <w:tcPr>
            <w:tcW w:type="dxa" w:w="2232"/>
            <w:vAlign w:val="center"/>
          </w:tcPr>
          <w:p>
            <w:pPr>
              <w:spacing w:after="0" w:before="0" w:line="240" w:lineRule="auto"/>
            </w:pPr>
            <w:r/>
            <w:r>
              <w:rPr>
                <w:rFonts w:ascii="Aptos" w:hAnsi="Aptos"/>
                <w:b w:val="0"/>
                <w:color w:val="111827"/>
                <w:sz w:val="12"/>
              </w:rPr>
              <w:t>Oversize shipment</w:t>
            </w:r>
          </w:p>
        </w:tc>
        <w:tc>
          <w:tcPr>
            <w:tcW w:type="dxa" w:w="1080"/>
            <w:vAlign w:val="center"/>
          </w:tcPr>
          <w:p>
            <w:pPr>
              <w:spacing w:after="0" w:before="0" w:line="240" w:lineRule="auto"/>
            </w:pPr>
            <w:r/>
            <w:r>
              <w:rPr>
                <w:rFonts w:ascii="Aptos" w:hAnsi="Aptos"/>
                <w:b w:val="0"/>
                <w:color w:val="111827"/>
                <w:sz w:val="12"/>
              </w:rPr>
              <w:t>$42.00</w:t>
            </w:r>
          </w:p>
        </w:tc>
        <w:tc>
          <w:tcPr>
            <w:tcW w:type="dxa" w:w="1008"/>
            <w:vAlign w:val="center"/>
          </w:tcPr>
          <w:p>
            <w:pPr>
              <w:spacing w:after="0" w:before="0" w:line="240" w:lineRule="auto"/>
            </w:pPr>
            <w:r/>
            <w:r>
              <w:rPr>
                <w:rFonts w:ascii="Aptos" w:hAnsi="Aptos"/>
                <w:b w:val="0"/>
                <w:color w:val="111827"/>
                <w:sz w:val="12"/>
              </w:rPr>
              <w:t>$269.18</w:t>
            </w:r>
          </w:p>
        </w:tc>
        <w:tc>
          <w:tcPr>
            <w:tcW w:type="dxa" w:w="936"/>
            <w:vAlign w:val="center"/>
          </w:tcPr>
          <w:p>
            <w:pPr>
              <w:spacing w:after="0" w:before="0" w:line="240" w:lineRule="auto"/>
            </w:pPr>
            <w:r/>
            <w:r>
              <w:rPr>
                <w:rFonts w:ascii="Aptos" w:hAnsi="Aptos"/>
                <w:b w:val="0"/>
                <w:color w:val="111827"/>
                <w:sz w:val="12"/>
              </w:rPr>
              <w:t>$6.00</w:t>
            </w:r>
          </w:p>
        </w:tc>
        <w:tc>
          <w:tcPr>
            <w:tcW w:type="dxa" w:w="1080"/>
            <w:vAlign w:val="center"/>
          </w:tcPr>
          <w:p>
            <w:pPr>
              <w:spacing w:after="0" w:before="0" w:line="240" w:lineRule="auto"/>
            </w:pPr>
            <w:r/>
            <w:r>
              <w:rPr>
                <w:rFonts w:ascii="Aptos" w:hAnsi="Aptos"/>
                <w:b w:val="0"/>
                <w:color w:val="111827"/>
                <w:sz w:val="12"/>
              </w:rPr>
              <w:t>$221.18</w:t>
            </w:r>
          </w:p>
        </w:tc>
        <w:tc>
          <w:tcPr>
            <w:tcW w:type="dxa" w:w="1008"/>
            <w:vAlign w:val="center"/>
          </w:tcPr>
          <w:p>
            <w:pPr>
              <w:spacing w:after="0" w:before="0" w:line="240" w:lineRule="auto"/>
            </w:pPr>
            <w:r/>
            <w:r>
              <w:rPr>
                <w:rFonts w:ascii="Aptos" w:hAnsi="Aptos"/>
                <w:b w:val="0"/>
                <w:color w:val="111827"/>
                <w:sz w:val="12"/>
              </w:rPr>
              <w:t>$282.67</w:t>
            </w:r>
          </w:p>
        </w:tc>
        <w:tc>
          <w:tcPr>
            <w:tcW w:type="dxa" w:w="720"/>
            <w:vAlign w:val="center"/>
          </w:tcPr>
          <w:p>
            <w:pPr>
              <w:spacing w:after="0" w:before="0" w:line="240" w:lineRule="auto"/>
            </w:pPr>
            <w:r/>
            <w:r>
              <w:rPr>
                <w:rFonts w:ascii="Aptos" w:hAnsi="Aptos"/>
                <w:b w:val="0"/>
                <w:color w:val="111827"/>
                <w:sz w:val="12"/>
              </w:rPr>
              <w:t>Yes</w:t>
            </w:r>
          </w:p>
        </w:tc>
      </w:tr>
      <w:tr>
        <w:tc>
          <w:tcPr>
            <w:tcW w:type="dxa" w:w="2232"/>
            <w:vAlign w:val="center"/>
            <w:shd w:fill="F5F7FA"/>
          </w:tcPr>
          <w:p>
            <w:pPr>
              <w:spacing w:after="0" w:before="0" w:line="240" w:lineRule="auto"/>
            </w:pPr>
            <w:r/>
            <w:r>
              <w:rPr>
                <w:rFonts w:ascii="Aptos" w:hAnsi="Aptos"/>
                <w:b/>
                <w:color w:val="111827"/>
                <w:sz w:val="12"/>
              </w:rPr>
              <w:t>Premium apparel/accessory ($500)</w:t>
            </w:r>
          </w:p>
        </w:tc>
        <w:tc>
          <w:tcPr>
            <w:tcW w:type="dxa" w:w="2232"/>
            <w:vAlign w:val="center"/>
            <w:shd w:fill="F5F7FA"/>
          </w:tcPr>
          <w:p>
            <w:pPr>
              <w:spacing w:after="0" w:before="0" w:line="240" w:lineRule="auto"/>
            </w:pPr>
            <w:r/>
            <w:r>
              <w:rPr>
                <w:rFonts w:ascii="Aptos" w:hAnsi="Aptos"/>
                <w:b w:val="0"/>
                <w:color w:val="111827"/>
                <w:sz w:val="12"/>
              </w:rPr>
              <w:t>Local pickup</w:t>
            </w:r>
          </w:p>
        </w:tc>
        <w:tc>
          <w:tcPr>
            <w:tcW w:type="dxa" w:w="1080"/>
            <w:vAlign w:val="center"/>
            <w:shd w:fill="F5F7FA"/>
          </w:tcPr>
          <w:p>
            <w:pPr>
              <w:spacing w:after="0" w:before="0" w:line="240" w:lineRule="auto"/>
            </w:pPr>
            <w:r/>
            <w:r>
              <w:rPr>
                <w:rFonts w:ascii="Aptos" w:hAnsi="Aptos"/>
                <w:b w:val="0"/>
                <w:color w:val="111827"/>
                <w:sz w:val="12"/>
              </w:rPr>
              <w:t>$40.00</w:t>
            </w:r>
          </w:p>
        </w:tc>
        <w:tc>
          <w:tcPr>
            <w:tcW w:type="dxa" w:w="1008"/>
            <w:vAlign w:val="center"/>
            <w:shd w:fill="F5F7FA"/>
          </w:tcPr>
          <w:p>
            <w:pPr>
              <w:spacing w:after="0" w:before="0" w:line="240" w:lineRule="auto"/>
            </w:pPr>
            <w:r/>
            <w:r>
              <w:rPr>
                <w:rFonts w:ascii="Aptos" w:hAnsi="Aptos"/>
                <w:b w:val="0"/>
                <w:color w:val="111827"/>
                <w:sz w:val="12"/>
              </w:rPr>
              <w:t>$269.18</w:t>
            </w:r>
          </w:p>
        </w:tc>
        <w:tc>
          <w:tcPr>
            <w:tcW w:type="dxa" w:w="936"/>
            <w:vAlign w:val="center"/>
            <w:shd w:fill="F5F7FA"/>
          </w:tcPr>
          <w:p>
            <w:pPr>
              <w:spacing w:after="0" w:before="0" w:line="240" w:lineRule="auto"/>
            </w:pPr>
            <w:r/>
            <w:r>
              <w:rPr>
                <w:rFonts w:ascii="Aptos" w:hAnsi="Aptos"/>
                <w:b w:val="0"/>
                <w:color w:val="111827"/>
                <w:sz w:val="12"/>
              </w:rPr>
              <w:t>$6.00</w:t>
            </w:r>
          </w:p>
        </w:tc>
        <w:tc>
          <w:tcPr>
            <w:tcW w:type="dxa" w:w="1080"/>
            <w:vAlign w:val="center"/>
            <w:shd w:fill="F5F7FA"/>
          </w:tcPr>
          <w:p>
            <w:pPr>
              <w:spacing w:after="0" w:before="0" w:line="240" w:lineRule="auto"/>
            </w:pPr>
            <w:r/>
            <w:r>
              <w:rPr>
                <w:rFonts w:ascii="Aptos" w:hAnsi="Aptos"/>
                <w:b w:val="0"/>
                <w:color w:val="111827"/>
                <w:sz w:val="12"/>
              </w:rPr>
              <w:t>$223.18</w:t>
            </w:r>
          </w:p>
        </w:tc>
        <w:tc>
          <w:tcPr>
            <w:tcW w:type="dxa" w:w="1008"/>
            <w:vAlign w:val="center"/>
            <w:shd w:fill="F5F7FA"/>
          </w:tcPr>
          <w:p>
            <w:pPr>
              <w:spacing w:after="0" w:before="0" w:line="240" w:lineRule="auto"/>
            </w:pPr>
            <w:r/>
            <w:r>
              <w:rPr>
                <w:rFonts w:ascii="Aptos" w:hAnsi="Aptos"/>
                <w:b w:val="0"/>
                <w:color w:val="111827"/>
                <w:sz w:val="12"/>
              </w:rPr>
              <w:t>$280.67</w:t>
            </w:r>
          </w:p>
        </w:tc>
        <w:tc>
          <w:tcPr>
            <w:tcW w:type="dxa" w:w="720"/>
            <w:vAlign w:val="center"/>
            <w:shd w:fill="F5F7FA"/>
          </w:tcPr>
          <w:p>
            <w:pPr>
              <w:spacing w:after="0" w:before="0" w:line="240" w:lineRule="auto"/>
            </w:pPr>
            <w:r/>
            <w:r>
              <w:rPr>
                <w:rFonts w:ascii="Aptos" w:hAnsi="Aptos"/>
                <w:b w:val="0"/>
                <w:color w:val="111827"/>
                <w:sz w:val="12"/>
              </w:rPr>
              <w:t>Yes</w:t>
            </w:r>
          </w:p>
        </w:tc>
      </w:tr>
      <w:tr>
        <w:tc>
          <w:tcPr>
            <w:tcW w:type="dxa" w:w="2232"/>
            <w:vAlign w:val="center"/>
          </w:tcPr>
          <w:p>
            <w:pPr>
              <w:spacing w:after="0" w:before="0" w:line="240" w:lineRule="auto"/>
            </w:pPr>
            <w:r/>
            <w:r>
              <w:rPr>
                <w:rFonts w:ascii="Aptos" w:hAnsi="Aptos"/>
                <w:b/>
                <w:color w:val="111827"/>
                <w:sz w:val="12"/>
              </w:rPr>
              <w:t>Premium apparel/accessory ($500)</w:t>
            </w:r>
          </w:p>
        </w:tc>
        <w:tc>
          <w:tcPr>
            <w:tcW w:type="dxa" w:w="2232"/>
            <w:vAlign w:val="center"/>
          </w:tcPr>
          <w:p>
            <w:pPr>
              <w:spacing w:after="0" w:before="0" w:line="240" w:lineRule="auto"/>
            </w:pPr>
            <w:r/>
            <w:r>
              <w:rPr>
                <w:rFonts w:ascii="Aptos" w:hAnsi="Aptos"/>
                <w:b w:val="0"/>
                <w:color w:val="111827"/>
                <w:sz w:val="12"/>
              </w:rPr>
              <w:t>Pallet liquidation</w:t>
            </w:r>
          </w:p>
        </w:tc>
        <w:tc>
          <w:tcPr>
            <w:tcW w:type="dxa" w:w="1080"/>
            <w:vAlign w:val="center"/>
          </w:tcPr>
          <w:p>
            <w:pPr>
              <w:spacing w:after="0" w:before="0" w:line="240" w:lineRule="auto"/>
            </w:pPr>
            <w:r/>
            <w:r>
              <w:rPr>
                <w:rFonts w:ascii="Aptos" w:hAnsi="Aptos"/>
                <w:b w:val="0"/>
                <w:color w:val="111827"/>
                <w:sz w:val="12"/>
              </w:rPr>
              <w:t>$2.00</w:t>
            </w:r>
          </w:p>
        </w:tc>
        <w:tc>
          <w:tcPr>
            <w:tcW w:type="dxa" w:w="1008"/>
            <w:vAlign w:val="center"/>
          </w:tcPr>
          <w:p>
            <w:pPr>
              <w:spacing w:after="0" w:before="0" w:line="240" w:lineRule="auto"/>
            </w:pPr>
            <w:r/>
            <w:r>
              <w:rPr>
                <w:rFonts w:ascii="Aptos" w:hAnsi="Aptos"/>
                <w:b w:val="0"/>
                <w:color w:val="111827"/>
                <w:sz w:val="12"/>
              </w:rPr>
              <w:t>$269.18</w:t>
            </w:r>
          </w:p>
        </w:tc>
        <w:tc>
          <w:tcPr>
            <w:tcW w:type="dxa" w:w="936"/>
            <w:vAlign w:val="center"/>
          </w:tcPr>
          <w:p>
            <w:pPr>
              <w:spacing w:after="0" w:before="0" w:line="240" w:lineRule="auto"/>
            </w:pPr>
            <w:r/>
            <w:r>
              <w:rPr>
                <w:rFonts w:ascii="Aptos" w:hAnsi="Aptos"/>
                <w:b w:val="0"/>
                <w:color w:val="111827"/>
                <w:sz w:val="12"/>
              </w:rPr>
              <w:t>$6.00</w:t>
            </w:r>
          </w:p>
        </w:tc>
        <w:tc>
          <w:tcPr>
            <w:tcW w:type="dxa" w:w="1080"/>
            <w:vAlign w:val="center"/>
          </w:tcPr>
          <w:p>
            <w:pPr>
              <w:spacing w:after="0" w:before="0" w:line="240" w:lineRule="auto"/>
            </w:pPr>
            <w:r/>
            <w:r>
              <w:rPr>
                <w:rFonts w:ascii="Aptos" w:hAnsi="Aptos"/>
                <w:b w:val="0"/>
                <w:color w:val="111827"/>
                <w:sz w:val="12"/>
              </w:rPr>
              <w:t>$261.18</w:t>
            </w:r>
          </w:p>
        </w:tc>
        <w:tc>
          <w:tcPr>
            <w:tcW w:type="dxa" w:w="1008"/>
            <w:vAlign w:val="center"/>
          </w:tcPr>
          <w:p>
            <w:pPr>
              <w:spacing w:after="0" w:before="0" w:line="240" w:lineRule="auto"/>
            </w:pPr>
            <w:r/>
            <w:r>
              <w:rPr>
                <w:rFonts w:ascii="Aptos" w:hAnsi="Aptos"/>
                <w:b w:val="0"/>
                <w:color w:val="111827"/>
                <w:sz w:val="12"/>
              </w:rPr>
              <w:t>$242.67</w:t>
            </w:r>
          </w:p>
        </w:tc>
        <w:tc>
          <w:tcPr>
            <w:tcW w:type="dxa" w:w="720"/>
            <w:vAlign w:val="center"/>
          </w:tcPr>
          <w:p>
            <w:pPr>
              <w:spacing w:after="0" w:before="0" w:line="240" w:lineRule="auto"/>
            </w:pPr>
            <w:r/>
            <w:r>
              <w:rPr>
                <w:rFonts w:ascii="Aptos" w:hAnsi="Aptos"/>
                <w:b w:val="0"/>
                <w:color w:val="111827"/>
                <w:sz w:val="12"/>
              </w:rPr>
              <w:t>Yes</w:t>
            </w:r>
          </w:p>
        </w:tc>
      </w:tr>
    </w:tbl>
    <w:p>
      <w:pPr>
        <w:spacing w:after="0"/>
      </w:pPr>
    </w:p>
    <w:p>
      <w:pPr>
        <w:pStyle w:val="Caption"/>
        <w:jc w:val="left"/>
      </w:pPr>
      <w:r>
        <w:rPr>
          <w:b/>
        </w:rPr>
        <w:t>Appendix Table A3. Logistics scenarios</w:t>
      </w:r>
      <w:r>
        <w:rPr>
          <w:i/>
          <w:color w:val="6B7280"/>
        </w:rPr>
        <w:t xml:space="preserve">  Source: Pallet liquidation is a secondary transfer-cost scenario, not a customer return method.</w:t>
      </w:r>
    </w:p>
    <w:p>
      <w:pPr>
        <w:sectPr>
          <w:pgSz w:w="15840" w:h="12240" w:orient="landscape"/>
          <w:pgMar w:top="792" w:right="792" w:bottom="792" w:left="792" w:header="720" w:footer="720" w:gutter="0"/>
          <w:cols w:space="720"/>
          <w:docGrid w:linePitch="360"/>
        </w:sectPr>
      </w:pPr>
    </w:p>
    <w:p>
      <w:pPr>
        <w:pStyle w:val="Heading1"/>
      </w:pPr>
      <w:r>
        <w:t>Exhibits and chart specifications</w:t>
      </w:r>
    </w:p>
    <w:tbl>
      <w:tblPr>
        <w:tblStyle w:val="TableGrid"/>
        <w:tblW w:type="auto" w:w="0"/>
        <w:jc w:val="center"/>
        <w:tblLayout w:type="fixed"/>
        <w:tblLook w:firstColumn="1" w:firstRow="1" w:lastColumn="0" w:lastRow="0" w:noHBand="0" w:noVBand="1" w:val="04A0"/>
      </w:tblPr>
      <w:tblGrid>
        <w:gridCol w:w="1656"/>
        <w:gridCol w:w="1656"/>
        <w:gridCol w:w="1656"/>
        <w:gridCol w:w="1656"/>
        <w:gridCol w:w="1656"/>
        <w:gridCol w:w="1656"/>
      </w:tblGrid>
      <w:tr>
        <w:trPr>
          <w:tblHeader w:val="true"/>
        </w:trPr>
        <w:tc>
          <w:tcPr>
            <w:tcW w:type="dxa" w:w="432"/>
            <w:vAlign w:val="center"/>
            <w:shd w:fill="17324D"/>
            <w:tcBorders>
              <w:bottom w:val="single" w:sz="8" w:color="FFFFFF"/>
            </w:tcBorders>
          </w:tcPr>
          <w:p>
            <w:pPr>
              <w:spacing w:after="0" w:before="0" w:line="240" w:lineRule="auto"/>
              <w:jc w:val="left"/>
            </w:pPr>
            <w:r/>
            <w:r>
              <w:rPr>
                <w:rFonts w:ascii="Aptos" w:hAnsi="Aptos"/>
                <w:b/>
                <w:color w:val="FFFFFF"/>
                <w:sz w:val="13"/>
              </w:rPr>
              <w:t>#</w:t>
            </w:r>
          </w:p>
        </w:tc>
        <w:tc>
          <w:tcPr>
            <w:tcW w:type="dxa" w:w="2016"/>
            <w:vAlign w:val="center"/>
            <w:shd w:fill="17324D"/>
            <w:tcBorders>
              <w:bottom w:val="single" w:sz="8" w:color="FFFFFF"/>
            </w:tcBorders>
          </w:tcPr>
          <w:p>
            <w:pPr>
              <w:spacing w:after="0" w:before="0" w:line="240" w:lineRule="auto"/>
              <w:jc w:val="left"/>
            </w:pPr>
            <w:r/>
            <w:r>
              <w:rPr>
                <w:rFonts w:ascii="Aptos" w:hAnsi="Aptos"/>
                <w:b/>
                <w:color w:val="FFFFFF"/>
                <w:sz w:val="13"/>
              </w:rPr>
              <w:t>Title</w:t>
            </w:r>
          </w:p>
        </w:tc>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3"/>
              </w:rPr>
              <w:t>Format</w:t>
            </w:r>
          </w:p>
        </w:tc>
        <w:tc>
          <w:tcPr>
            <w:tcW w:type="dxa" w:w="2592"/>
            <w:vAlign w:val="center"/>
            <w:shd w:fill="17324D"/>
            <w:tcBorders>
              <w:bottom w:val="single" w:sz="8" w:color="FFFFFF"/>
            </w:tcBorders>
          </w:tcPr>
          <w:p>
            <w:pPr>
              <w:spacing w:after="0" w:before="0" w:line="240" w:lineRule="auto"/>
              <w:jc w:val="left"/>
            </w:pPr>
            <w:r/>
            <w:r>
              <w:rPr>
                <w:rFonts w:ascii="Aptos" w:hAnsi="Aptos"/>
                <w:b/>
                <w:color w:val="FFFFFF"/>
                <w:sz w:val="13"/>
              </w:rPr>
              <w:t>Core fields</w:t>
            </w:r>
          </w:p>
        </w:tc>
        <w:tc>
          <w:tcPr>
            <w:tcW w:type="dxa" w:w="2880"/>
            <w:vAlign w:val="center"/>
            <w:shd w:fill="17324D"/>
            <w:tcBorders>
              <w:bottom w:val="single" w:sz="8" w:color="FFFFFF"/>
            </w:tcBorders>
          </w:tcPr>
          <w:p>
            <w:pPr>
              <w:spacing w:after="0" w:before="0" w:line="240" w:lineRule="auto"/>
              <w:jc w:val="left"/>
            </w:pPr>
            <w:r/>
            <w:r>
              <w:rPr>
                <w:rFonts w:ascii="Aptos" w:hAnsi="Aptos"/>
                <w:b/>
                <w:color w:val="FFFFFF"/>
                <w:sz w:val="13"/>
              </w:rPr>
              <w:t>Analytical point</w:t>
            </w:r>
          </w:p>
        </w:tc>
        <w:tc>
          <w:tcPr>
            <w:tcW w:type="dxa" w:w="1296"/>
            <w:vAlign w:val="center"/>
            <w:shd w:fill="17324D"/>
            <w:tcBorders>
              <w:bottom w:val="single" w:sz="8" w:color="FFFFFF"/>
            </w:tcBorders>
          </w:tcPr>
          <w:p>
            <w:pPr>
              <w:spacing w:after="0" w:before="0" w:line="240" w:lineRule="auto"/>
              <w:jc w:val="left"/>
            </w:pPr>
            <w:r/>
            <w:r>
              <w:rPr>
                <w:rFonts w:ascii="Aptos" w:hAnsi="Aptos"/>
                <w:b/>
                <w:color w:val="FFFFFF"/>
                <w:sz w:val="13"/>
              </w:rPr>
              <w:t>Primary sources</w:t>
            </w:r>
          </w:p>
        </w:tc>
      </w:tr>
      <w:tr>
        <w:tc>
          <w:tcPr>
            <w:tcW w:type="dxa" w:w="432"/>
            <w:vAlign w:val="center"/>
          </w:tcPr>
          <w:p>
            <w:pPr>
              <w:spacing w:after="0" w:before="0" w:line="240" w:lineRule="auto"/>
            </w:pPr>
            <w:r/>
            <w:r>
              <w:rPr>
                <w:rFonts w:ascii="Aptos" w:hAnsi="Aptos"/>
                <w:b/>
                <w:color w:val="111827"/>
                <w:sz w:val="13"/>
              </w:rPr>
              <w:t>1</w:t>
            </w:r>
          </w:p>
        </w:tc>
        <w:tc>
          <w:tcPr>
            <w:tcW w:type="dxa" w:w="2016"/>
            <w:vAlign w:val="center"/>
          </w:tcPr>
          <w:p>
            <w:pPr>
              <w:spacing w:after="0" w:before="0" w:line="240" w:lineRule="auto"/>
            </w:pPr>
            <w:r/>
            <w:r>
              <w:rPr>
                <w:rFonts w:ascii="Aptos" w:hAnsi="Aptos"/>
                <w:b w:val="0"/>
                <w:color w:val="111827"/>
                <w:sz w:val="13"/>
              </w:rPr>
              <w:t>End-to-end return flow</w:t>
            </w:r>
          </w:p>
        </w:tc>
        <w:tc>
          <w:tcPr>
            <w:tcW w:type="dxa" w:w="1152"/>
            <w:vAlign w:val="center"/>
          </w:tcPr>
          <w:p>
            <w:pPr>
              <w:spacing w:after="0" w:before="0" w:line="240" w:lineRule="auto"/>
            </w:pPr>
            <w:r/>
            <w:r>
              <w:rPr>
                <w:rFonts w:ascii="Aptos" w:hAnsi="Aptos"/>
                <w:b w:val="0"/>
                <w:color w:val="111827"/>
                <w:sz w:val="13"/>
              </w:rPr>
              <w:t>Process diagram</w:t>
            </w:r>
          </w:p>
        </w:tc>
        <w:tc>
          <w:tcPr>
            <w:tcW w:type="dxa" w:w="2592"/>
            <w:vAlign w:val="center"/>
          </w:tcPr>
          <w:p>
            <w:pPr>
              <w:spacing w:after="0" w:before="0" w:line="240" w:lineRule="auto"/>
            </w:pPr>
            <w:r/>
            <w:r>
              <w:rPr>
                <w:rFonts w:ascii="Aptos" w:hAnsi="Aptos"/>
                <w:b w:val="0"/>
                <w:color w:val="111827"/>
                <w:sz w:val="13"/>
              </w:rPr>
              <w:t>Authorization; movement; consolidation; verification; grading; disposition; settlement</w:t>
            </w:r>
          </w:p>
        </w:tc>
        <w:tc>
          <w:tcPr>
            <w:tcW w:type="dxa" w:w="2880"/>
            <w:vAlign w:val="center"/>
          </w:tcPr>
          <w:p>
            <w:pPr>
              <w:spacing w:after="0" w:before="0" w:line="240" w:lineRule="auto"/>
            </w:pPr>
            <w:r/>
            <w:r>
              <w:rPr>
                <w:rFonts w:ascii="Aptos" w:hAnsi="Aptos"/>
                <w:b w:val="0"/>
                <w:color w:val="111827"/>
                <w:sz w:val="13"/>
              </w:rPr>
              <w:t>Refund timing and product ownership move on different clocks.</w:t>
            </w:r>
          </w:p>
        </w:tc>
        <w:tc>
          <w:tcPr>
            <w:tcW w:type="dxa" w:w="1296"/>
            <w:vAlign w:val="center"/>
          </w:tcPr>
          <w:p>
            <w:pPr>
              <w:spacing w:after="0" w:before="0" w:line="240" w:lineRule="auto"/>
            </w:pPr>
            <w:r/>
            <w:r>
              <w:rPr>
                <w:rFonts w:ascii="Aptos" w:hAnsi="Aptos"/>
                <w:b w:val="0"/>
                <w:color w:val="111827"/>
                <w:sz w:val="13"/>
              </w:rPr>
              <w:t>P01; S02-S07; S21</w:t>
            </w:r>
          </w:p>
        </w:tc>
      </w:tr>
      <w:tr>
        <w:tc>
          <w:tcPr>
            <w:tcW w:type="dxa" w:w="432"/>
            <w:vAlign w:val="center"/>
            <w:shd w:fill="F5F7FA"/>
          </w:tcPr>
          <w:p>
            <w:pPr>
              <w:spacing w:after="0" w:before="0" w:line="240" w:lineRule="auto"/>
            </w:pPr>
            <w:r/>
            <w:r>
              <w:rPr>
                <w:rFonts w:ascii="Aptos" w:hAnsi="Aptos"/>
                <w:b/>
                <w:color w:val="111827"/>
                <w:sz w:val="13"/>
              </w:rPr>
              <w:t>2</w:t>
            </w:r>
          </w:p>
        </w:tc>
        <w:tc>
          <w:tcPr>
            <w:tcW w:type="dxa" w:w="2016"/>
            <w:vAlign w:val="center"/>
            <w:shd w:fill="F5F7FA"/>
          </w:tcPr>
          <w:p>
            <w:pPr>
              <w:spacing w:after="0" w:before="0" w:line="240" w:lineRule="auto"/>
            </w:pPr>
            <w:r/>
            <w:r>
              <w:rPr>
                <w:rFonts w:ascii="Aptos" w:hAnsi="Aptos"/>
                <w:b w:val="0"/>
                <w:color w:val="111827"/>
                <w:sz w:val="13"/>
              </w:rPr>
              <w:t>Ownership and loss-allocation diagram</w:t>
            </w:r>
          </w:p>
        </w:tc>
        <w:tc>
          <w:tcPr>
            <w:tcW w:type="dxa" w:w="1152"/>
            <w:vAlign w:val="center"/>
            <w:shd w:fill="F5F7FA"/>
          </w:tcPr>
          <w:p>
            <w:pPr>
              <w:spacing w:after="0" w:before="0" w:line="240" w:lineRule="auto"/>
            </w:pPr>
            <w:r/>
            <w:r>
              <w:rPr>
                <w:rFonts w:ascii="Aptos" w:hAnsi="Aptos"/>
                <w:b w:val="0"/>
                <w:color w:val="111827"/>
                <w:sz w:val="13"/>
              </w:rPr>
              <w:t>Swimlane diagram</w:t>
            </w:r>
          </w:p>
        </w:tc>
        <w:tc>
          <w:tcPr>
            <w:tcW w:type="dxa" w:w="2592"/>
            <w:vAlign w:val="center"/>
            <w:shd w:fill="F5F7FA"/>
          </w:tcPr>
          <w:p>
            <w:pPr>
              <w:spacing w:after="0" w:before="0" w:line="240" w:lineRule="auto"/>
            </w:pPr>
            <w:r/>
            <w:r>
              <w:rPr>
                <w:rFonts w:ascii="Aptos" w:hAnsi="Aptos"/>
                <w:b w:val="0"/>
                <w:color w:val="111827"/>
                <w:sz w:val="13"/>
              </w:rPr>
              <w:t>Customer; retailer/platform; seller/vendor; carrier/3PL; liquidator/reseller; waste handler</w:t>
            </w:r>
          </w:p>
        </w:tc>
        <w:tc>
          <w:tcPr>
            <w:tcW w:type="dxa" w:w="2880"/>
            <w:vAlign w:val="center"/>
            <w:shd w:fill="F5F7FA"/>
          </w:tcPr>
          <w:p>
            <w:pPr>
              <w:spacing w:after="0" w:before="0" w:line="240" w:lineRule="auto"/>
            </w:pPr>
            <w:r/>
            <w:r>
              <w:rPr>
                <w:rFonts w:ascii="Aptos" w:hAnsi="Aptos"/>
                <w:b w:val="0"/>
                <w:color w:val="111827"/>
                <w:sz w:val="13"/>
              </w:rPr>
              <w:t>Physical handler, inventory owner, refund payer, and loss bearer often differ.</w:t>
            </w:r>
          </w:p>
        </w:tc>
        <w:tc>
          <w:tcPr>
            <w:tcW w:type="dxa" w:w="1296"/>
            <w:vAlign w:val="center"/>
            <w:shd w:fill="F5F7FA"/>
          </w:tcPr>
          <w:p>
            <w:pPr>
              <w:spacing w:after="0" w:before="0" w:line="240" w:lineRule="auto"/>
            </w:pPr>
            <w:r/>
            <w:r>
              <w:rPr>
                <w:rFonts w:ascii="Aptos" w:hAnsi="Aptos"/>
                <w:b w:val="0"/>
                <w:color w:val="111827"/>
                <w:sz w:val="13"/>
              </w:rPr>
              <w:t>P01; S01-S07; S21; S45</w:t>
            </w:r>
          </w:p>
        </w:tc>
      </w:tr>
      <w:tr>
        <w:tc>
          <w:tcPr>
            <w:tcW w:type="dxa" w:w="432"/>
            <w:vAlign w:val="center"/>
          </w:tcPr>
          <w:p>
            <w:pPr>
              <w:spacing w:after="0" w:before="0" w:line="240" w:lineRule="auto"/>
            </w:pPr>
            <w:r/>
            <w:r>
              <w:rPr>
                <w:rFonts w:ascii="Aptos" w:hAnsi="Aptos"/>
                <w:b/>
                <w:color w:val="111827"/>
                <w:sz w:val="13"/>
              </w:rPr>
              <w:t>3</w:t>
            </w:r>
          </w:p>
        </w:tc>
        <w:tc>
          <w:tcPr>
            <w:tcW w:type="dxa" w:w="2016"/>
            <w:vAlign w:val="center"/>
          </w:tcPr>
          <w:p>
            <w:pPr>
              <w:spacing w:after="0" w:before="0" w:line="240" w:lineRule="auto"/>
            </w:pPr>
            <w:r/>
            <w:r>
              <w:rPr>
                <w:rFonts w:ascii="Aptos" w:hAnsi="Aptos"/>
                <w:b w:val="0"/>
                <w:color w:val="111827"/>
                <w:sz w:val="13"/>
              </w:rPr>
              <w:t>Returnless-refund decision tree</w:t>
            </w:r>
          </w:p>
        </w:tc>
        <w:tc>
          <w:tcPr>
            <w:tcW w:type="dxa" w:w="1152"/>
            <w:vAlign w:val="center"/>
          </w:tcPr>
          <w:p>
            <w:pPr>
              <w:spacing w:after="0" w:before="0" w:line="240" w:lineRule="auto"/>
            </w:pPr>
            <w:r/>
            <w:r>
              <w:rPr>
                <w:rFonts w:ascii="Aptos" w:hAnsi="Aptos"/>
                <w:b w:val="0"/>
                <w:color w:val="111827"/>
                <w:sz w:val="13"/>
              </w:rPr>
              <w:t>Decision tree</w:t>
            </w:r>
          </w:p>
        </w:tc>
        <w:tc>
          <w:tcPr>
            <w:tcW w:type="dxa" w:w="2592"/>
            <w:vAlign w:val="center"/>
          </w:tcPr>
          <w:p>
            <w:pPr>
              <w:spacing w:after="0" w:before="0" w:line="240" w:lineRule="auto"/>
            </w:pPr>
            <w:r/>
            <w:r>
              <w:rPr>
                <w:rFonts w:ascii="Aptos" w:hAnsi="Aptos"/>
                <w:b w:val="0"/>
                <w:color w:val="111827"/>
                <w:sz w:val="13"/>
              </w:rPr>
              <w:t>Expected net recovery; reverse freight; inspection; correct-item probability; strategic overrides</w:t>
            </w:r>
          </w:p>
        </w:tc>
        <w:tc>
          <w:tcPr>
            <w:tcW w:type="dxa" w:w="2880"/>
            <w:vAlign w:val="center"/>
          </w:tcPr>
          <w:p>
            <w:pPr>
              <w:spacing w:after="0" w:before="0" w:line="240" w:lineRule="auto"/>
            </w:pPr>
            <w:r/>
            <w:r>
              <w:rPr>
                <w:rFonts w:ascii="Aptos" w:hAnsi="Aptos"/>
                <w:b w:val="0"/>
                <w:color w:val="111827"/>
                <w:sz w:val="13"/>
              </w:rPr>
              <w:t>Returnless refunds minimize immediate loss when retrieval value is negative, but policy can override.</w:t>
            </w:r>
          </w:p>
        </w:tc>
        <w:tc>
          <w:tcPr>
            <w:tcW w:type="dxa" w:w="1296"/>
            <w:vAlign w:val="center"/>
          </w:tcPr>
          <w:p>
            <w:pPr>
              <w:spacing w:after="0" w:before="0" w:line="240" w:lineRule="auto"/>
            </w:pPr>
            <w:r/>
            <w:r>
              <w:rPr>
                <w:rFonts w:ascii="Aptos" w:hAnsi="Aptos"/>
                <w:b w:val="0"/>
                <w:color w:val="111827"/>
                <w:sz w:val="13"/>
              </w:rPr>
              <w:t>S02; S07; P01; model</w:t>
            </w:r>
          </w:p>
        </w:tc>
      </w:tr>
      <w:tr>
        <w:tc>
          <w:tcPr>
            <w:tcW w:type="dxa" w:w="432"/>
            <w:vAlign w:val="center"/>
            <w:shd w:fill="F5F7FA"/>
          </w:tcPr>
          <w:p>
            <w:pPr>
              <w:spacing w:after="0" w:before="0" w:line="240" w:lineRule="auto"/>
            </w:pPr>
            <w:r/>
            <w:r>
              <w:rPr>
                <w:rFonts w:ascii="Aptos" w:hAnsi="Aptos"/>
                <w:b/>
                <w:color w:val="111827"/>
                <w:sz w:val="13"/>
              </w:rPr>
              <w:t>4</w:t>
            </w:r>
          </w:p>
        </w:tc>
        <w:tc>
          <w:tcPr>
            <w:tcW w:type="dxa" w:w="2016"/>
            <w:vAlign w:val="center"/>
            <w:shd w:fill="F5F7FA"/>
          </w:tcPr>
          <w:p>
            <w:pPr>
              <w:spacing w:after="0" w:before="0" w:line="240" w:lineRule="auto"/>
            </w:pPr>
            <w:r/>
            <w:r>
              <w:rPr>
                <w:rFonts w:ascii="Aptos" w:hAnsi="Aptos"/>
                <w:b w:val="0"/>
                <w:color w:val="111827"/>
                <w:sz w:val="13"/>
              </w:rPr>
              <w:t>Disposition decision tree</w:t>
            </w:r>
          </w:p>
        </w:tc>
        <w:tc>
          <w:tcPr>
            <w:tcW w:type="dxa" w:w="1152"/>
            <w:vAlign w:val="center"/>
            <w:shd w:fill="F5F7FA"/>
          </w:tcPr>
          <w:p>
            <w:pPr>
              <w:spacing w:after="0" w:before="0" w:line="240" w:lineRule="auto"/>
            </w:pPr>
            <w:r/>
            <w:r>
              <w:rPr>
                <w:rFonts w:ascii="Aptos" w:hAnsi="Aptos"/>
                <w:b w:val="0"/>
                <w:color w:val="111827"/>
                <w:sz w:val="13"/>
              </w:rPr>
              <w:t>Decision tree</w:t>
            </w:r>
          </w:p>
        </w:tc>
        <w:tc>
          <w:tcPr>
            <w:tcW w:type="dxa" w:w="2592"/>
            <w:vAlign w:val="center"/>
            <w:shd w:fill="F5F7FA"/>
          </w:tcPr>
          <w:p>
            <w:pPr>
              <w:spacing w:after="0" w:before="0" w:line="240" w:lineRule="auto"/>
            </w:pPr>
            <w:r/>
            <w:r>
              <w:rPr>
                <w:rFonts w:ascii="Aptos" w:hAnsi="Aptos"/>
                <w:b w:val="0"/>
                <w:color w:val="111827"/>
                <w:sz w:val="13"/>
              </w:rPr>
              <w:t>Safety; identity; condition; eligible channels; maximum PV net proceeds</w:t>
            </w:r>
          </w:p>
        </w:tc>
        <w:tc>
          <w:tcPr>
            <w:tcW w:type="dxa" w:w="2880"/>
            <w:vAlign w:val="center"/>
            <w:shd w:fill="F5F7FA"/>
          </w:tcPr>
          <w:p>
            <w:pPr>
              <w:spacing w:after="0" w:before="0" w:line="240" w:lineRule="auto"/>
            </w:pPr>
            <w:r/>
            <w:r>
              <w:rPr>
                <w:rFonts w:ascii="Aptos" w:hAnsi="Aptos"/>
                <w:b w:val="0"/>
                <w:color w:val="111827"/>
                <w:sz w:val="13"/>
              </w:rPr>
              <w:t>No universal recovery rate; route is an argmax subject to constraints.</w:t>
            </w:r>
          </w:p>
        </w:tc>
        <w:tc>
          <w:tcPr>
            <w:tcW w:type="dxa" w:w="1296"/>
            <w:vAlign w:val="center"/>
            <w:shd w:fill="F5F7FA"/>
          </w:tcPr>
          <w:p>
            <w:pPr>
              <w:spacing w:after="0" w:before="0" w:line="240" w:lineRule="auto"/>
            </w:pPr>
            <w:r/>
            <w:r>
              <w:rPr>
                <w:rFonts w:ascii="Aptos" w:hAnsi="Aptos"/>
                <w:b w:val="0"/>
                <w:color w:val="111827"/>
                <w:sz w:val="13"/>
              </w:rPr>
              <w:t>S06-S08; S11; S16; S29; model</w:t>
            </w:r>
          </w:p>
        </w:tc>
      </w:tr>
      <w:tr>
        <w:tc>
          <w:tcPr>
            <w:tcW w:type="dxa" w:w="432"/>
            <w:vAlign w:val="center"/>
          </w:tcPr>
          <w:p>
            <w:pPr>
              <w:spacing w:after="0" w:before="0" w:line="240" w:lineRule="auto"/>
            </w:pPr>
            <w:r/>
            <w:r>
              <w:rPr>
                <w:rFonts w:ascii="Aptos" w:hAnsi="Aptos"/>
                <w:b/>
                <w:color w:val="111827"/>
                <w:sz w:val="13"/>
              </w:rPr>
              <w:t>5</w:t>
            </w:r>
          </w:p>
        </w:tc>
        <w:tc>
          <w:tcPr>
            <w:tcW w:type="dxa" w:w="2016"/>
            <w:vAlign w:val="center"/>
          </w:tcPr>
          <w:p>
            <w:pPr>
              <w:spacing w:after="0" w:before="0" w:line="240" w:lineRule="auto"/>
            </w:pPr>
            <w:r/>
            <w:r>
              <w:rPr>
                <w:rFonts w:ascii="Aptos" w:hAnsi="Aptos"/>
                <w:b w:val="0"/>
                <w:color w:val="111827"/>
                <w:sz w:val="13"/>
              </w:rPr>
              <w:t>$20 product recovery waterfall</w:t>
            </w:r>
          </w:p>
        </w:tc>
        <w:tc>
          <w:tcPr>
            <w:tcW w:type="dxa" w:w="1152"/>
            <w:vAlign w:val="center"/>
          </w:tcPr>
          <w:p>
            <w:pPr>
              <w:spacing w:after="0" w:before="0" w:line="240" w:lineRule="auto"/>
            </w:pPr>
            <w:r/>
            <w:r>
              <w:rPr>
                <w:rFonts w:ascii="Aptos" w:hAnsi="Aptos"/>
                <w:b w:val="0"/>
                <w:color w:val="111827"/>
                <w:sz w:val="13"/>
              </w:rPr>
              <w:t>Waterfall</w:t>
            </w:r>
          </w:p>
        </w:tc>
        <w:tc>
          <w:tcPr>
            <w:tcW w:type="dxa" w:w="2592"/>
            <w:vAlign w:val="center"/>
          </w:tcPr>
          <w:p>
            <w:pPr>
              <w:spacing w:after="0" w:before="0" w:line="240" w:lineRule="auto"/>
            </w:pPr>
            <w:r/>
            <w:r>
              <w:rPr>
                <w:rFonts w:ascii="Aptos" w:hAnsi="Aptos"/>
                <w:b w:val="0"/>
                <w:color w:val="111827"/>
                <w:sz w:val="13"/>
              </w:rPr>
              <w:t>Small household returned order vs returnless alternative</w:t>
            </w:r>
          </w:p>
        </w:tc>
        <w:tc>
          <w:tcPr>
            <w:tcW w:type="dxa" w:w="2880"/>
            <w:vAlign w:val="center"/>
          </w:tcPr>
          <w:p>
            <w:pPr>
              <w:spacing w:after="0" w:before="0" w:line="240" w:lineRule="auto"/>
            </w:pPr>
            <w:r/>
            <w:r>
              <w:rPr>
                <w:rFonts w:ascii="Aptos" w:hAnsi="Aptos"/>
                <w:b w:val="0"/>
                <w:color w:val="111827"/>
                <w:sz w:val="13"/>
              </w:rPr>
              <w:t>DIM freight and handling can make a physically useful item uneconomic to retrieve.</w:t>
            </w:r>
          </w:p>
        </w:tc>
        <w:tc>
          <w:tcPr>
            <w:tcW w:type="dxa" w:w="1296"/>
            <w:vAlign w:val="center"/>
          </w:tcPr>
          <w:p>
            <w:pPr>
              <w:spacing w:after="0" w:before="0" w:line="240" w:lineRule="auto"/>
            </w:pPr>
            <w:r/>
            <w:r>
              <w:rPr>
                <w:rFonts w:ascii="Aptos" w:hAnsi="Aptos"/>
                <w:b w:val="0"/>
                <w:color w:val="111827"/>
                <w:sz w:val="13"/>
              </w:rPr>
              <w:t>S17; S21-S26; P02; model</w:t>
            </w:r>
          </w:p>
        </w:tc>
      </w:tr>
      <w:tr>
        <w:tc>
          <w:tcPr>
            <w:tcW w:type="dxa" w:w="432"/>
            <w:vAlign w:val="center"/>
            <w:shd w:fill="F5F7FA"/>
          </w:tcPr>
          <w:p>
            <w:pPr>
              <w:spacing w:after="0" w:before="0" w:line="240" w:lineRule="auto"/>
            </w:pPr>
            <w:r/>
            <w:r>
              <w:rPr>
                <w:rFonts w:ascii="Aptos" w:hAnsi="Aptos"/>
                <w:b/>
                <w:color w:val="111827"/>
                <w:sz w:val="13"/>
              </w:rPr>
              <w:t>6</w:t>
            </w:r>
          </w:p>
        </w:tc>
        <w:tc>
          <w:tcPr>
            <w:tcW w:type="dxa" w:w="2016"/>
            <w:vAlign w:val="center"/>
            <w:shd w:fill="F5F7FA"/>
          </w:tcPr>
          <w:p>
            <w:pPr>
              <w:spacing w:after="0" w:before="0" w:line="240" w:lineRule="auto"/>
            </w:pPr>
            <w:r/>
            <w:r>
              <w:rPr>
                <w:rFonts w:ascii="Aptos" w:hAnsi="Aptos"/>
                <w:b w:val="0"/>
                <w:color w:val="111827"/>
                <w:sz w:val="13"/>
              </w:rPr>
              <w:t>$100 product recovery waterfall</w:t>
            </w:r>
          </w:p>
        </w:tc>
        <w:tc>
          <w:tcPr>
            <w:tcW w:type="dxa" w:w="1152"/>
            <w:vAlign w:val="center"/>
            <w:shd w:fill="F5F7FA"/>
          </w:tcPr>
          <w:p>
            <w:pPr>
              <w:spacing w:after="0" w:before="0" w:line="240" w:lineRule="auto"/>
            </w:pPr>
            <w:r/>
            <w:r>
              <w:rPr>
                <w:rFonts w:ascii="Aptos" w:hAnsi="Aptos"/>
                <w:b w:val="0"/>
                <w:color w:val="111827"/>
                <w:sz w:val="13"/>
              </w:rPr>
              <w:t>Waterfall</w:t>
            </w:r>
          </w:p>
        </w:tc>
        <w:tc>
          <w:tcPr>
            <w:tcW w:type="dxa" w:w="2592"/>
            <w:vAlign w:val="center"/>
            <w:shd w:fill="F5F7FA"/>
          </w:tcPr>
          <w:p>
            <w:pPr>
              <w:spacing w:after="0" w:before="0" w:line="240" w:lineRule="auto"/>
            </w:pPr>
            <w:r/>
            <w:r>
              <w:rPr>
                <w:rFonts w:ascii="Aptos" w:hAnsi="Aptos"/>
                <w:b w:val="0"/>
                <w:color w:val="111827"/>
                <w:sz w:val="13"/>
              </w:rPr>
              <w:t>Headphones: refund, reverse costs, testing, open-box/refurb proceeds</w:t>
            </w:r>
          </w:p>
        </w:tc>
        <w:tc>
          <w:tcPr>
            <w:tcW w:type="dxa" w:w="2880"/>
            <w:vAlign w:val="center"/>
            <w:shd w:fill="F5F7FA"/>
          </w:tcPr>
          <w:p>
            <w:pPr>
              <w:spacing w:after="0" w:before="0" w:line="240" w:lineRule="auto"/>
            </w:pPr>
            <w:r/>
            <w:r>
              <w:rPr>
                <w:rFonts w:ascii="Aptos" w:hAnsi="Aptos"/>
                <w:b w:val="0"/>
                <w:color w:val="111827"/>
                <w:sz w:val="13"/>
              </w:rPr>
              <w:t>Testing preserves enough value to justify retrieval, but most original contribution is lost.</w:t>
            </w:r>
          </w:p>
        </w:tc>
        <w:tc>
          <w:tcPr>
            <w:tcW w:type="dxa" w:w="1296"/>
            <w:vAlign w:val="center"/>
            <w:shd w:fill="F5F7FA"/>
          </w:tcPr>
          <w:p>
            <w:pPr>
              <w:spacing w:after="0" w:before="0" w:line="240" w:lineRule="auto"/>
            </w:pPr>
            <w:r/>
            <w:r>
              <w:rPr>
                <w:rFonts w:ascii="Aptos" w:hAnsi="Aptos"/>
                <w:b w:val="0"/>
                <w:color w:val="111827"/>
                <w:sz w:val="13"/>
              </w:rPr>
              <w:t>S11; S39; model</w:t>
            </w:r>
          </w:p>
        </w:tc>
      </w:tr>
      <w:tr>
        <w:tc>
          <w:tcPr>
            <w:tcW w:type="dxa" w:w="432"/>
            <w:vAlign w:val="center"/>
          </w:tcPr>
          <w:p>
            <w:pPr>
              <w:spacing w:after="0" w:before="0" w:line="240" w:lineRule="auto"/>
            </w:pPr>
            <w:r/>
            <w:r>
              <w:rPr>
                <w:rFonts w:ascii="Aptos" w:hAnsi="Aptos"/>
                <w:b/>
                <w:color w:val="111827"/>
                <w:sz w:val="13"/>
              </w:rPr>
              <w:t>7</w:t>
            </w:r>
          </w:p>
        </w:tc>
        <w:tc>
          <w:tcPr>
            <w:tcW w:type="dxa" w:w="2016"/>
            <w:vAlign w:val="center"/>
          </w:tcPr>
          <w:p>
            <w:pPr>
              <w:spacing w:after="0" w:before="0" w:line="240" w:lineRule="auto"/>
            </w:pPr>
            <w:r/>
            <w:r>
              <w:rPr>
                <w:rFonts w:ascii="Aptos" w:hAnsi="Aptos"/>
                <w:b w:val="0"/>
                <w:color w:val="111827"/>
                <w:sz w:val="13"/>
              </w:rPr>
              <w:t>$500 product recovery waterfall</w:t>
            </w:r>
          </w:p>
        </w:tc>
        <w:tc>
          <w:tcPr>
            <w:tcW w:type="dxa" w:w="1152"/>
            <w:vAlign w:val="center"/>
          </w:tcPr>
          <w:p>
            <w:pPr>
              <w:spacing w:after="0" w:before="0" w:line="240" w:lineRule="auto"/>
            </w:pPr>
            <w:r/>
            <w:r>
              <w:rPr>
                <w:rFonts w:ascii="Aptos" w:hAnsi="Aptos"/>
                <w:b w:val="0"/>
                <w:color w:val="111827"/>
                <w:sz w:val="13"/>
              </w:rPr>
              <w:t>Waterfall</w:t>
            </w:r>
          </w:p>
        </w:tc>
        <w:tc>
          <w:tcPr>
            <w:tcW w:type="dxa" w:w="2592"/>
            <w:vAlign w:val="center"/>
          </w:tcPr>
          <w:p>
            <w:pPr>
              <w:spacing w:after="0" w:before="0" w:line="240" w:lineRule="auto"/>
            </w:pPr>
            <w:r/>
            <w:r>
              <w:rPr>
                <w:rFonts w:ascii="Aptos" w:hAnsi="Aptos"/>
                <w:b w:val="0"/>
                <w:color w:val="111827"/>
                <w:sz w:val="13"/>
              </w:rPr>
              <w:t>Furniture under weighted centralized route; local-route comparison</w:t>
            </w:r>
          </w:p>
        </w:tc>
        <w:tc>
          <w:tcPr>
            <w:tcW w:type="dxa" w:w="2880"/>
            <w:vAlign w:val="center"/>
          </w:tcPr>
          <w:p>
            <w:pPr>
              <w:spacing w:after="0" w:before="0" w:line="240" w:lineRule="auto"/>
            </w:pPr>
            <w:r/>
            <w:r>
              <w:rPr>
                <w:rFonts w:ascii="Aptos" w:hAnsi="Aptos"/>
                <w:b w:val="0"/>
                <w:color w:val="111827"/>
                <w:sz w:val="13"/>
              </w:rPr>
              <w:t>High ticket price does not protect recovery when value density is low.</w:t>
            </w:r>
          </w:p>
        </w:tc>
        <w:tc>
          <w:tcPr>
            <w:tcW w:type="dxa" w:w="1296"/>
            <w:vAlign w:val="center"/>
          </w:tcPr>
          <w:p>
            <w:pPr>
              <w:spacing w:after="0" w:before="0" w:line="240" w:lineRule="auto"/>
            </w:pPr>
            <w:r/>
            <w:r>
              <w:rPr>
                <w:rFonts w:ascii="Aptos" w:hAnsi="Aptos"/>
                <w:b w:val="0"/>
                <w:color w:val="111827"/>
                <w:sz w:val="13"/>
              </w:rPr>
              <w:t>S12; S21-S24; S40; model</w:t>
            </w:r>
          </w:p>
        </w:tc>
      </w:tr>
      <w:tr>
        <w:tc>
          <w:tcPr>
            <w:tcW w:type="dxa" w:w="432"/>
            <w:vAlign w:val="center"/>
            <w:shd w:fill="F5F7FA"/>
          </w:tcPr>
          <w:p>
            <w:pPr>
              <w:spacing w:after="0" w:before="0" w:line="240" w:lineRule="auto"/>
            </w:pPr>
            <w:r/>
            <w:r>
              <w:rPr>
                <w:rFonts w:ascii="Aptos" w:hAnsi="Aptos"/>
                <w:b/>
                <w:color w:val="111827"/>
                <w:sz w:val="13"/>
              </w:rPr>
              <w:t>8</w:t>
            </w:r>
          </w:p>
        </w:tc>
        <w:tc>
          <w:tcPr>
            <w:tcW w:type="dxa" w:w="2016"/>
            <w:vAlign w:val="center"/>
            <w:shd w:fill="F5F7FA"/>
          </w:tcPr>
          <w:p>
            <w:pPr>
              <w:spacing w:after="0" w:before="0" w:line="240" w:lineRule="auto"/>
            </w:pPr>
            <w:r/>
            <w:r>
              <w:rPr>
                <w:rFonts w:ascii="Aptos" w:hAnsi="Aptos"/>
                <w:b w:val="0"/>
                <w:color w:val="111827"/>
                <w:sz w:val="13"/>
              </w:rPr>
              <w:t>Category comparison</w:t>
            </w:r>
          </w:p>
        </w:tc>
        <w:tc>
          <w:tcPr>
            <w:tcW w:type="dxa" w:w="1152"/>
            <w:vAlign w:val="center"/>
            <w:shd w:fill="F5F7FA"/>
          </w:tcPr>
          <w:p>
            <w:pPr>
              <w:spacing w:after="0" w:before="0" w:line="240" w:lineRule="auto"/>
            </w:pPr>
            <w:r/>
            <w:r>
              <w:rPr>
                <w:rFonts w:ascii="Aptos" w:hAnsi="Aptos"/>
                <w:b w:val="0"/>
                <w:color w:val="111827"/>
                <w:sz w:val="13"/>
              </w:rPr>
              <w:t>Table</w:t>
            </w:r>
          </w:p>
        </w:tc>
        <w:tc>
          <w:tcPr>
            <w:tcW w:type="dxa" w:w="2592"/>
            <w:vAlign w:val="center"/>
            <w:shd w:fill="F5F7FA"/>
          </w:tcPr>
          <w:p>
            <w:pPr>
              <w:spacing w:after="0" w:before="0" w:line="240" w:lineRule="auto"/>
            </w:pPr>
            <w:r/>
            <w:r>
              <w:rPr>
                <w:rFonts w:ascii="Aptos" w:hAnsi="Aptos"/>
                <w:b w:val="0"/>
                <w:color w:val="111827"/>
                <w:sz w:val="13"/>
              </w:rPr>
              <w:t>Drivers; rates; value density; inspection; safety; fraud; depreciation; route; recovery; uncertainty</w:t>
            </w:r>
          </w:p>
        </w:tc>
        <w:tc>
          <w:tcPr>
            <w:tcW w:type="dxa" w:w="2880"/>
            <w:vAlign w:val="center"/>
            <w:shd w:fill="F5F7FA"/>
          </w:tcPr>
          <w:p>
            <w:pPr>
              <w:spacing w:after="0" w:before="0" w:line="240" w:lineRule="auto"/>
            </w:pPr>
            <w:r/>
            <w:r>
              <w:rPr>
                <w:rFonts w:ascii="Aptos" w:hAnsi="Aptos"/>
                <w:b w:val="0"/>
                <w:color w:val="111827"/>
                <w:sz w:val="13"/>
              </w:rPr>
              <w:t>Category constraints, not price alone, determine value survival.</w:t>
            </w:r>
          </w:p>
        </w:tc>
        <w:tc>
          <w:tcPr>
            <w:tcW w:type="dxa" w:w="1296"/>
            <w:vAlign w:val="center"/>
            <w:shd w:fill="F5F7FA"/>
          </w:tcPr>
          <w:p>
            <w:pPr>
              <w:spacing w:after="0" w:before="0" w:line="240" w:lineRule="auto"/>
            </w:pPr>
            <w:r/>
            <w:r>
              <w:rPr>
                <w:rFonts w:ascii="Aptos" w:hAnsi="Aptos"/>
                <w:b w:val="0"/>
                <w:color w:val="111827"/>
                <w:sz w:val="13"/>
              </w:rPr>
              <w:t>P01; P02; model</w:t>
            </w:r>
          </w:p>
        </w:tc>
      </w:tr>
      <w:tr>
        <w:tc>
          <w:tcPr>
            <w:tcW w:type="dxa" w:w="432"/>
            <w:vAlign w:val="center"/>
          </w:tcPr>
          <w:p>
            <w:pPr>
              <w:spacing w:after="0" w:before="0" w:line="240" w:lineRule="auto"/>
            </w:pPr>
            <w:r/>
            <w:r>
              <w:rPr>
                <w:rFonts w:ascii="Aptos" w:hAnsi="Aptos"/>
                <w:b/>
                <w:color w:val="111827"/>
                <w:sz w:val="13"/>
              </w:rPr>
              <w:t>9</w:t>
            </w:r>
          </w:p>
        </w:tc>
        <w:tc>
          <w:tcPr>
            <w:tcW w:type="dxa" w:w="2016"/>
            <w:vAlign w:val="center"/>
          </w:tcPr>
          <w:p>
            <w:pPr>
              <w:spacing w:after="0" w:before="0" w:line="240" w:lineRule="auto"/>
            </w:pPr>
            <w:r/>
            <w:r>
              <w:rPr>
                <w:rFonts w:ascii="Aptos" w:hAnsi="Aptos"/>
                <w:b w:val="0"/>
                <w:color w:val="111827"/>
                <w:sz w:val="13"/>
              </w:rPr>
              <w:t>Auction recovery distribution</w:t>
            </w:r>
          </w:p>
        </w:tc>
        <w:tc>
          <w:tcPr>
            <w:tcW w:type="dxa" w:w="1152"/>
            <w:vAlign w:val="center"/>
          </w:tcPr>
          <w:p>
            <w:pPr>
              <w:spacing w:after="0" w:before="0" w:line="240" w:lineRule="auto"/>
            </w:pPr>
            <w:r/>
            <w:r>
              <w:rPr>
                <w:rFonts w:ascii="Aptos" w:hAnsi="Aptos"/>
                <w:b w:val="0"/>
                <w:color w:val="111827"/>
                <w:sz w:val="13"/>
              </w:rPr>
              <w:t>Dot/interval plot</w:t>
            </w:r>
          </w:p>
        </w:tc>
        <w:tc>
          <w:tcPr>
            <w:tcW w:type="dxa" w:w="2592"/>
            <w:vAlign w:val="center"/>
          </w:tcPr>
          <w:p>
            <w:pPr>
              <w:spacing w:after="0" w:before="0" w:line="240" w:lineRule="auto"/>
            </w:pPr>
            <w:r/>
            <w:r>
              <w:rPr>
                <w:rFonts w:ascii="Aptos" w:hAnsi="Aptos"/>
                <w:b w:val="0"/>
                <w:color w:val="111827"/>
                <w:sz w:val="13"/>
              </w:rPr>
              <w:t>Bid/stated; bid/adjusted; delivered/stated; delivered/adjusted; benchmark bands</w:t>
            </w:r>
          </w:p>
        </w:tc>
        <w:tc>
          <w:tcPr>
            <w:tcW w:type="dxa" w:w="2880"/>
            <w:vAlign w:val="center"/>
          </w:tcPr>
          <w:p>
            <w:pPr>
              <w:spacing w:after="0" w:before="0" w:line="240" w:lineRule="auto"/>
            </w:pPr>
            <w:r/>
            <w:r>
              <w:rPr>
                <w:rFonts w:ascii="Aptos" w:hAnsi="Aptos"/>
                <w:b w:val="0"/>
                <w:color w:val="111827"/>
                <w:sz w:val="13"/>
              </w:rPr>
              <w:t>Retailer recovery and buyer delivered cost are different; n=2 lot sample remains nonrepresentative.</w:t>
            </w:r>
          </w:p>
        </w:tc>
        <w:tc>
          <w:tcPr>
            <w:tcW w:type="dxa" w:w="1296"/>
            <w:vAlign w:val="center"/>
          </w:tcPr>
          <w:p>
            <w:pPr>
              <w:spacing w:after="0" w:before="0" w:line="240" w:lineRule="auto"/>
            </w:pPr>
            <w:r/>
            <w:r>
              <w:rPr>
                <w:rFonts w:ascii="Aptos" w:hAnsi="Aptos"/>
                <w:b w:val="0"/>
                <w:color w:val="111827"/>
                <w:sz w:val="13"/>
              </w:rPr>
              <w:t>S32; S35-S37; S42; model assumptions</w:t>
            </w:r>
          </w:p>
        </w:tc>
      </w:tr>
      <w:tr>
        <w:tc>
          <w:tcPr>
            <w:tcW w:type="dxa" w:w="432"/>
            <w:vAlign w:val="center"/>
            <w:shd w:fill="F5F7FA"/>
          </w:tcPr>
          <w:p>
            <w:pPr>
              <w:spacing w:after="0" w:before="0" w:line="240" w:lineRule="auto"/>
            </w:pPr>
            <w:r/>
            <w:r>
              <w:rPr>
                <w:rFonts w:ascii="Aptos" w:hAnsi="Aptos"/>
                <w:b/>
                <w:color w:val="111827"/>
                <w:sz w:val="13"/>
              </w:rPr>
              <w:t>10</w:t>
            </w:r>
          </w:p>
        </w:tc>
        <w:tc>
          <w:tcPr>
            <w:tcW w:type="dxa" w:w="2016"/>
            <w:vAlign w:val="center"/>
            <w:shd w:fill="F5F7FA"/>
          </w:tcPr>
          <w:p>
            <w:pPr>
              <w:spacing w:after="0" w:before="0" w:line="240" w:lineRule="auto"/>
            </w:pPr>
            <w:r/>
            <w:r>
              <w:rPr>
                <w:rFonts w:ascii="Aptos" w:hAnsi="Aptos"/>
                <w:b w:val="0"/>
                <w:color w:val="111827"/>
                <w:sz w:val="13"/>
              </w:rPr>
              <w:t>Freight burden by product type</w:t>
            </w:r>
          </w:p>
        </w:tc>
        <w:tc>
          <w:tcPr>
            <w:tcW w:type="dxa" w:w="1152"/>
            <w:vAlign w:val="center"/>
            <w:shd w:fill="F5F7FA"/>
          </w:tcPr>
          <w:p>
            <w:pPr>
              <w:spacing w:after="0" w:before="0" w:line="240" w:lineRule="auto"/>
            </w:pPr>
            <w:r/>
            <w:r>
              <w:rPr>
                <w:rFonts w:ascii="Aptos" w:hAnsi="Aptos"/>
                <w:b w:val="0"/>
                <w:color w:val="111827"/>
                <w:sz w:val="13"/>
              </w:rPr>
              <w:t>Scatter/bar chart</w:t>
            </w:r>
          </w:p>
        </w:tc>
        <w:tc>
          <w:tcPr>
            <w:tcW w:type="dxa" w:w="2592"/>
            <w:vAlign w:val="center"/>
            <w:shd w:fill="F5F7FA"/>
          </w:tcPr>
          <w:p>
            <w:pPr>
              <w:spacing w:after="0" w:before="0" w:line="240" w:lineRule="auto"/>
            </w:pPr>
            <w:r/>
            <w:r>
              <w:rPr>
                <w:rFonts w:ascii="Aptos" w:hAnsi="Aptos"/>
                <w:b w:val="0"/>
                <w:color w:val="111827"/>
                <w:sz w:val="13"/>
              </w:rPr>
              <w:t>Billable weight; value per billable lb; reverse freight % retail; max economical freight</w:t>
            </w:r>
          </w:p>
        </w:tc>
        <w:tc>
          <w:tcPr>
            <w:tcW w:type="dxa" w:w="2880"/>
            <w:vAlign w:val="center"/>
            <w:shd w:fill="F5F7FA"/>
          </w:tcPr>
          <w:p>
            <w:pPr>
              <w:spacing w:after="0" w:before="0" w:line="240" w:lineRule="auto"/>
            </w:pPr>
            <w:r/>
            <w:r>
              <w:rPr>
                <w:rFonts w:ascii="Aptos" w:hAnsi="Aptos"/>
                <w:b w:val="0"/>
                <w:color w:val="111827"/>
                <w:sz w:val="13"/>
              </w:rPr>
              <w:t>Value density explains more than sticker price for parcel and bulky goods.</w:t>
            </w:r>
          </w:p>
        </w:tc>
        <w:tc>
          <w:tcPr>
            <w:tcW w:type="dxa" w:w="1296"/>
            <w:vAlign w:val="center"/>
            <w:shd w:fill="F5F7FA"/>
          </w:tcPr>
          <w:p>
            <w:pPr>
              <w:spacing w:after="0" w:before="0" w:line="240" w:lineRule="auto"/>
            </w:pPr>
            <w:r/>
            <w:r>
              <w:rPr>
                <w:rFonts w:ascii="Aptos" w:hAnsi="Aptos"/>
                <w:b w:val="0"/>
                <w:color w:val="111827"/>
                <w:sz w:val="13"/>
              </w:rPr>
              <w:t>S17; S21-S26; model</w:t>
            </w:r>
          </w:p>
        </w:tc>
      </w:tr>
      <w:tr>
        <w:tc>
          <w:tcPr>
            <w:tcW w:type="dxa" w:w="432"/>
            <w:vAlign w:val="center"/>
          </w:tcPr>
          <w:p>
            <w:pPr>
              <w:spacing w:after="0" w:before="0" w:line="240" w:lineRule="auto"/>
            </w:pPr>
            <w:r/>
            <w:r>
              <w:rPr>
                <w:rFonts w:ascii="Aptos" w:hAnsi="Aptos"/>
                <w:b/>
                <w:color w:val="111827"/>
                <w:sz w:val="13"/>
              </w:rPr>
              <w:t>11</w:t>
            </w:r>
          </w:p>
        </w:tc>
        <w:tc>
          <w:tcPr>
            <w:tcW w:type="dxa" w:w="2016"/>
            <w:vAlign w:val="center"/>
          </w:tcPr>
          <w:p>
            <w:pPr>
              <w:spacing w:after="0" w:before="0" w:line="240" w:lineRule="auto"/>
            </w:pPr>
            <w:r/>
            <w:r>
              <w:rPr>
                <w:rFonts w:ascii="Aptos" w:hAnsi="Aptos"/>
                <w:b w:val="0"/>
                <w:color w:val="111827"/>
                <w:sz w:val="13"/>
              </w:rPr>
              <w:t>Retailer-to-reseller value waterfall</w:t>
            </w:r>
          </w:p>
        </w:tc>
        <w:tc>
          <w:tcPr>
            <w:tcW w:type="dxa" w:w="1152"/>
            <w:vAlign w:val="center"/>
          </w:tcPr>
          <w:p>
            <w:pPr>
              <w:spacing w:after="0" w:before="0" w:line="240" w:lineRule="auto"/>
            </w:pPr>
            <w:r/>
            <w:r>
              <w:rPr>
                <w:rFonts w:ascii="Aptos" w:hAnsi="Aptos"/>
                <w:b w:val="0"/>
                <w:color w:val="111827"/>
                <w:sz w:val="13"/>
              </w:rPr>
              <w:t>Two-stage bridge</w:t>
            </w:r>
          </w:p>
        </w:tc>
        <w:tc>
          <w:tcPr>
            <w:tcW w:type="dxa" w:w="2592"/>
            <w:vAlign w:val="center"/>
          </w:tcPr>
          <w:p>
            <w:pPr>
              <w:spacing w:after="0" w:before="0" w:line="240" w:lineRule="auto"/>
            </w:pPr>
            <w:r/>
            <w:r>
              <w:rPr>
                <w:rFonts w:ascii="Aptos" w:hAnsi="Aptos"/>
                <w:b w:val="0"/>
                <w:color w:val="111827"/>
                <w:sz w:val="13"/>
              </w:rPr>
              <w:t>Stated retail; adjusted current retail; retailer net recovery; buyer delivered cost; reseller processing; break-even proceeds</w:t>
            </w:r>
          </w:p>
        </w:tc>
        <w:tc>
          <w:tcPr>
            <w:tcW w:type="dxa" w:w="2880"/>
            <w:vAlign w:val="center"/>
          </w:tcPr>
          <w:p>
            <w:pPr>
              <w:spacing w:after="0" w:before="0" w:line="240" w:lineRule="auto"/>
            </w:pPr>
            <w:r/>
            <w:r>
              <w:rPr>
                <w:rFonts w:ascii="Aptos" w:hAnsi="Aptos"/>
                <w:b w:val="0"/>
                <w:color w:val="111827"/>
                <w:sz w:val="13"/>
              </w:rPr>
              <w:t>Downstream spread pays for freight, labor, risk, and selling costs; it is not pure profit.</w:t>
            </w:r>
          </w:p>
        </w:tc>
        <w:tc>
          <w:tcPr>
            <w:tcW w:type="dxa" w:w="1296"/>
            <w:vAlign w:val="center"/>
          </w:tcPr>
          <w:p>
            <w:pPr>
              <w:spacing w:after="0" w:before="0" w:line="240" w:lineRule="auto"/>
            </w:pPr>
            <w:r/>
            <w:r>
              <w:rPr>
                <w:rFonts w:ascii="Aptos" w:hAnsi="Aptos"/>
                <w:b w:val="0"/>
                <w:color w:val="111827"/>
                <w:sz w:val="13"/>
              </w:rPr>
              <w:t>S36; S37; S45; S49; model assumptions</w:t>
            </w:r>
          </w:p>
        </w:tc>
      </w:tr>
      <w:tr>
        <w:tc>
          <w:tcPr>
            <w:tcW w:type="dxa" w:w="432"/>
            <w:vAlign w:val="center"/>
            <w:shd w:fill="F5F7FA"/>
          </w:tcPr>
          <w:p>
            <w:pPr>
              <w:spacing w:after="0" w:before="0" w:line="240" w:lineRule="auto"/>
            </w:pPr>
            <w:r/>
            <w:r>
              <w:rPr>
                <w:rFonts w:ascii="Aptos" w:hAnsi="Aptos"/>
                <w:b/>
                <w:color w:val="111827"/>
                <w:sz w:val="13"/>
              </w:rPr>
              <w:t>12</w:t>
            </w:r>
          </w:p>
        </w:tc>
        <w:tc>
          <w:tcPr>
            <w:tcW w:type="dxa" w:w="2016"/>
            <w:vAlign w:val="center"/>
            <w:shd w:fill="F5F7FA"/>
          </w:tcPr>
          <w:p>
            <w:pPr>
              <w:spacing w:after="0" w:before="0" w:line="240" w:lineRule="auto"/>
            </w:pPr>
            <w:r/>
            <w:r>
              <w:rPr>
                <w:rFonts w:ascii="Aptos" w:hAnsi="Aptos"/>
                <w:b w:val="0"/>
                <w:color w:val="111827"/>
                <w:sz w:val="13"/>
              </w:rPr>
              <w:t>Fraud expected-loss sensitivity</w:t>
            </w:r>
          </w:p>
        </w:tc>
        <w:tc>
          <w:tcPr>
            <w:tcW w:type="dxa" w:w="1152"/>
            <w:vAlign w:val="center"/>
            <w:shd w:fill="F5F7FA"/>
          </w:tcPr>
          <w:p>
            <w:pPr>
              <w:spacing w:after="0" w:before="0" w:line="240" w:lineRule="auto"/>
            </w:pPr>
            <w:r/>
            <w:r>
              <w:rPr>
                <w:rFonts w:ascii="Aptos" w:hAnsi="Aptos"/>
                <w:b w:val="0"/>
                <w:color w:val="111827"/>
                <w:sz w:val="13"/>
              </w:rPr>
              <w:t>Line chart / table</w:t>
            </w:r>
          </w:p>
        </w:tc>
        <w:tc>
          <w:tcPr>
            <w:tcW w:type="dxa" w:w="2592"/>
            <w:vAlign w:val="center"/>
            <w:shd w:fill="F5F7FA"/>
          </w:tcPr>
          <w:p>
            <w:pPr>
              <w:spacing w:after="0" w:before="0" w:line="240" w:lineRule="auto"/>
            </w:pPr>
            <w:r/>
            <w:r>
              <w:rPr>
                <w:rFonts w:ascii="Aptos" w:hAnsi="Aptos"/>
                <w:b w:val="0"/>
                <w:color w:val="111827"/>
                <w:sz w:val="13"/>
              </w:rPr>
              <w:t>p_f; LGD; lost recovery; admin cost; false-positive/control scenario</w:t>
            </w:r>
          </w:p>
        </w:tc>
        <w:tc>
          <w:tcPr>
            <w:tcW w:type="dxa" w:w="2880"/>
            <w:vAlign w:val="center"/>
            <w:shd w:fill="F5F7FA"/>
          </w:tcPr>
          <w:p>
            <w:pPr>
              <w:spacing w:after="0" w:before="0" w:line="240" w:lineRule="auto"/>
            </w:pPr>
            <w:r/>
            <w:r>
              <w:rPr>
                <w:rFonts w:ascii="Aptos" w:hAnsi="Aptos"/>
                <w:b w:val="0"/>
                <w:color w:val="111827"/>
                <w:sz w:val="13"/>
              </w:rPr>
              <w:t>Aggressive controls clear the hurdle on premium goods more readily than on $100 apparel or headphones.</w:t>
            </w:r>
          </w:p>
        </w:tc>
        <w:tc>
          <w:tcPr>
            <w:tcW w:type="dxa" w:w="1296"/>
            <w:vAlign w:val="center"/>
            <w:shd w:fill="F5F7FA"/>
          </w:tcPr>
          <w:p>
            <w:pPr>
              <w:spacing w:after="0" w:before="0" w:line="240" w:lineRule="auto"/>
            </w:pPr>
            <w:r/>
            <w:r>
              <w:rPr>
                <w:rFonts w:ascii="Aptos" w:hAnsi="Aptos"/>
                <w:b w:val="0"/>
                <w:color w:val="111827"/>
                <w:sz w:val="13"/>
              </w:rPr>
              <w:t>S31; P01; model assumptions</w:t>
            </w:r>
          </w:p>
        </w:tc>
      </w:tr>
      <w:tr>
        <w:tc>
          <w:tcPr>
            <w:tcW w:type="dxa" w:w="432"/>
            <w:vAlign w:val="center"/>
          </w:tcPr>
          <w:p>
            <w:pPr>
              <w:spacing w:after="0" w:before="0" w:line="240" w:lineRule="auto"/>
            </w:pPr>
            <w:r/>
            <w:r>
              <w:rPr>
                <w:rFonts w:ascii="Aptos" w:hAnsi="Aptos"/>
                <w:b/>
                <w:color w:val="111827"/>
                <w:sz w:val="13"/>
              </w:rPr>
              <w:t>13</w:t>
            </w:r>
          </w:p>
        </w:tc>
        <w:tc>
          <w:tcPr>
            <w:tcW w:type="dxa" w:w="2016"/>
            <w:vAlign w:val="center"/>
          </w:tcPr>
          <w:p>
            <w:pPr>
              <w:spacing w:after="0" w:before="0" w:line="240" w:lineRule="auto"/>
            </w:pPr>
            <w:r/>
            <w:r>
              <w:rPr>
                <w:rFonts w:ascii="Aptos" w:hAnsi="Aptos"/>
                <w:b w:val="0"/>
                <w:color w:val="111827"/>
                <w:sz w:val="13"/>
              </w:rPr>
              <w:t>Sustainability claims audit</w:t>
            </w:r>
          </w:p>
        </w:tc>
        <w:tc>
          <w:tcPr>
            <w:tcW w:type="dxa" w:w="1152"/>
            <w:vAlign w:val="center"/>
          </w:tcPr>
          <w:p>
            <w:pPr>
              <w:spacing w:after="0" w:before="0" w:line="240" w:lineRule="auto"/>
            </w:pPr>
            <w:r/>
            <w:r>
              <w:rPr>
                <w:rFonts w:ascii="Aptos" w:hAnsi="Aptos"/>
                <w:b w:val="0"/>
                <w:color w:val="111827"/>
                <w:sz w:val="13"/>
              </w:rPr>
              <w:t>Audit matrix</w:t>
            </w:r>
          </w:p>
        </w:tc>
        <w:tc>
          <w:tcPr>
            <w:tcW w:type="dxa" w:w="2592"/>
            <w:vAlign w:val="center"/>
          </w:tcPr>
          <w:p>
            <w:pPr>
              <w:spacing w:after="0" w:before="0" w:line="240" w:lineRule="auto"/>
            </w:pPr>
            <w:r/>
            <w:r>
              <w:rPr>
                <w:rFonts w:ascii="Aptos" w:hAnsi="Aptos"/>
                <w:b w:val="0"/>
                <w:color w:val="111827"/>
                <w:sz w:val="13"/>
              </w:rPr>
              <w:t>Claim; denominator; returns-only?; third-party?; recycling definition; destruction; endpoint observability</w:t>
            </w:r>
          </w:p>
        </w:tc>
        <w:tc>
          <w:tcPr>
            <w:tcW w:type="dxa" w:w="2880"/>
            <w:vAlign w:val="center"/>
          </w:tcPr>
          <w:p>
            <w:pPr>
              <w:spacing w:after="0" w:before="0" w:line="240" w:lineRule="auto"/>
            </w:pPr>
            <w:r/>
            <w:r>
              <w:rPr>
                <w:rFonts w:ascii="Aptos" w:hAnsi="Aptos"/>
                <w:b w:val="0"/>
                <w:color w:val="111827"/>
                <w:sz w:val="13"/>
              </w:rPr>
              <w:t>Program numerators do not establish customer-return diversion rates.</w:t>
            </w:r>
          </w:p>
        </w:tc>
        <w:tc>
          <w:tcPr>
            <w:tcW w:type="dxa" w:w="1296"/>
            <w:vAlign w:val="center"/>
          </w:tcPr>
          <w:p>
            <w:pPr>
              <w:spacing w:after="0" w:before="0" w:line="240" w:lineRule="auto"/>
            </w:pPr>
            <w:r/>
            <w:r>
              <w:rPr>
                <w:rFonts w:ascii="Aptos" w:hAnsi="Aptos"/>
                <w:b w:val="0"/>
                <w:color w:val="111827"/>
                <w:sz w:val="13"/>
              </w:rPr>
              <w:t>S04; S08; S30; P01; P02</w:t>
            </w:r>
          </w:p>
        </w:tc>
      </w:tr>
      <w:tr>
        <w:tc>
          <w:tcPr>
            <w:tcW w:type="dxa" w:w="432"/>
            <w:vAlign w:val="center"/>
            <w:shd w:fill="F5F7FA"/>
          </w:tcPr>
          <w:p>
            <w:pPr>
              <w:spacing w:after="0" w:before="0" w:line="240" w:lineRule="auto"/>
            </w:pPr>
            <w:r/>
            <w:r>
              <w:rPr>
                <w:rFonts w:ascii="Aptos" w:hAnsi="Aptos"/>
                <w:b/>
                <w:color w:val="111827"/>
                <w:sz w:val="13"/>
              </w:rPr>
              <w:t>14</w:t>
            </w:r>
          </w:p>
        </w:tc>
        <w:tc>
          <w:tcPr>
            <w:tcW w:type="dxa" w:w="2016"/>
            <w:vAlign w:val="center"/>
            <w:shd w:fill="F5F7FA"/>
          </w:tcPr>
          <w:p>
            <w:pPr>
              <w:spacing w:after="0" w:before="0" w:line="240" w:lineRule="auto"/>
            </w:pPr>
            <w:r/>
            <w:r>
              <w:rPr>
                <w:rFonts w:ascii="Aptos" w:hAnsi="Aptos"/>
                <w:b w:val="0"/>
                <w:color w:val="111827"/>
                <w:sz w:val="13"/>
              </w:rPr>
              <w:t>Evidence-confidence table</w:t>
            </w:r>
          </w:p>
        </w:tc>
        <w:tc>
          <w:tcPr>
            <w:tcW w:type="dxa" w:w="1152"/>
            <w:vAlign w:val="center"/>
            <w:shd w:fill="F5F7FA"/>
          </w:tcPr>
          <w:p>
            <w:pPr>
              <w:spacing w:after="0" w:before="0" w:line="240" w:lineRule="auto"/>
            </w:pPr>
            <w:r/>
            <w:r>
              <w:rPr>
                <w:rFonts w:ascii="Aptos" w:hAnsi="Aptos"/>
                <w:b w:val="0"/>
                <w:color w:val="111827"/>
                <w:sz w:val="13"/>
              </w:rPr>
              <w:t>Heat-mapped table</w:t>
            </w:r>
          </w:p>
        </w:tc>
        <w:tc>
          <w:tcPr>
            <w:tcW w:type="dxa" w:w="2592"/>
            <w:vAlign w:val="center"/>
            <w:shd w:fill="F5F7FA"/>
          </w:tcPr>
          <w:p>
            <w:pPr>
              <w:spacing w:after="0" w:before="0" w:line="240" w:lineRule="auto"/>
            </w:pPr>
            <w:r/>
            <w:r>
              <w:rPr>
                <w:rFonts w:ascii="Aptos" w:hAnsi="Aptos"/>
                <w:b w:val="0"/>
                <w:color w:val="111827"/>
                <w:sz w:val="13"/>
              </w:rPr>
              <w:t>Claim/input; evidence type; directness; confidence; model use; limitation</w:t>
            </w:r>
          </w:p>
        </w:tc>
        <w:tc>
          <w:tcPr>
            <w:tcW w:type="dxa" w:w="2880"/>
            <w:vAlign w:val="center"/>
            <w:shd w:fill="F5F7FA"/>
          </w:tcPr>
          <w:p>
            <w:pPr>
              <w:spacing w:after="0" w:before="0" w:line="240" w:lineRule="auto"/>
            </w:pPr>
            <w:r/>
            <w:r>
              <w:rPr>
                <w:rFonts w:ascii="Aptos" w:hAnsi="Aptos"/>
                <w:b w:val="0"/>
                <w:color w:val="111827"/>
                <w:sz w:val="13"/>
              </w:rPr>
              <w:t>Strong evidence covers policies and fees; weak evidence covers route shares and labor.</w:t>
            </w:r>
          </w:p>
        </w:tc>
        <w:tc>
          <w:tcPr>
            <w:tcW w:type="dxa" w:w="1296"/>
            <w:vAlign w:val="center"/>
            <w:shd w:fill="F5F7FA"/>
          </w:tcPr>
          <w:p>
            <w:pPr>
              <w:spacing w:after="0" w:before="0" w:line="240" w:lineRule="auto"/>
            </w:pPr>
            <w:r/>
            <w:r>
              <w:rPr>
                <w:rFonts w:ascii="Aptos" w:hAnsi="Aptos"/>
                <w:b w:val="0"/>
                <w:color w:val="111827"/>
                <w:sz w:val="13"/>
              </w:rPr>
              <w:t>Source ledger</w:t>
            </w:r>
          </w:p>
        </w:tc>
      </w:tr>
    </w:tbl>
    <w:p>
      <w:pPr>
        <w:spacing w:after="0"/>
      </w:pPr>
    </w:p>
    <w:p>
      <w:pPr>
        <w:sectPr>
          <w:pgSz w:w="12240" w:h="15840"/>
          <w:pgMar w:top="1008" w:right="1152" w:bottom="1008" w:left="1152" w:header="720" w:footer="720" w:gutter="0"/>
          <w:cols w:space="720"/>
          <w:docGrid w:linePitch="360"/>
        </w:sectPr>
      </w:pPr>
    </w:p>
    <w:p>
      <w:pPr>
        <w:pStyle w:val="Heading1"/>
      </w:pPr>
      <w:r>
        <w:t>Exhibit 14. Evidence-confidence table</w:t>
      </w:r>
    </w:p>
    <w:tbl>
      <w:tblPr>
        <w:tblStyle w:val="TableGrid"/>
        <w:tblW w:type="auto" w:w="0"/>
        <w:jc w:val="center"/>
        <w:tblLayout w:type="fixed"/>
        <w:tblLook w:firstColumn="1" w:firstRow="1" w:lastColumn="0" w:lastRow="0" w:noHBand="0" w:noVBand="1" w:val="04A0"/>
      </w:tblPr>
      <w:tblGrid>
        <w:gridCol w:w="2037"/>
        <w:gridCol w:w="2037"/>
        <w:gridCol w:w="2037"/>
        <w:gridCol w:w="2037"/>
        <w:gridCol w:w="2037"/>
        <w:gridCol w:w="2037"/>
        <w:gridCol w:w="2037"/>
      </w:tblGrid>
      <w:tr>
        <w:trPr>
          <w:tblHeader w:val="true"/>
        </w:trPr>
        <w:tc>
          <w:tcPr>
            <w:tcW w:type="dxa" w:w="2880"/>
            <w:vAlign w:val="center"/>
            <w:shd w:fill="17324D"/>
            <w:tcBorders>
              <w:bottom w:val="single" w:sz="8" w:color="FFFFFF"/>
            </w:tcBorders>
          </w:tcPr>
          <w:p>
            <w:pPr>
              <w:spacing w:after="0" w:before="0" w:line="240" w:lineRule="auto"/>
              <w:jc w:val="left"/>
            </w:pPr>
            <w:r/>
            <w:r>
              <w:rPr>
                <w:rFonts w:ascii="Aptos" w:hAnsi="Aptos"/>
                <w:b/>
                <w:color w:val="FFFFFF"/>
                <w:sz w:val="13"/>
              </w:rPr>
              <w:t>Claim/input</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3"/>
              </w:rPr>
              <w:t>Evidence type</w:t>
            </w:r>
          </w:p>
        </w:tc>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3"/>
              </w:rPr>
              <w:t>Directness</w:t>
            </w:r>
          </w:p>
        </w:tc>
        <w:tc>
          <w:tcPr>
            <w:tcW w:type="dxa" w:w="1152"/>
            <w:vAlign w:val="center"/>
            <w:shd w:fill="17324D"/>
            <w:tcBorders>
              <w:bottom w:val="single" w:sz="8" w:color="FFFFFF"/>
            </w:tcBorders>
          </w:tcPr>
          <w:p>
            <w:pPr>
              <w:spacing w:after="0" w:before="0" w:line="240" w:lineRule="auto"/>
              <w:jc w:val="left"/>
            </w:pPr>
            <w:r/>
            <w:r>
              <w:rPr>
                <w:rFonts w:ascii="Aptos" w:hAnsi="Aptos"/>
                <w:b/>
                <w:color w:val="FFFFFF"/>
                <w:sz w:val="13"/>
              </w:rPr>
              <w:t>Confidence</w:t>
            </w:r>
          </w:p>
        </w:tc>
        <w:tc>
          <w:tcPr>
            <w:tcW w:type="dxa" w:w="2592"/>
            <w:vAlign w:val="center"/>
            <w:shd w:fill="17324D"/>
            <w:tcBorders>
              <w:bottom w:val="single" w:sz="8" w:color="FFFFFF"/>
            </w:tcBorders>
          </w:tcPr>
          <w:p>
            <w:pPr>
              <w:spacing w:after="0" w:before="0" w:line="240" w:lineRule="auto"/>
              <w:jc w:val="left"/>
            </w:pPr>
            <w:r/>
            <w:r>
              <w:rPr>
                <w:rFonts w:ascii="Aptos" w:hAnsi="Aptos"/>
                <w:b/>
                <w:color w:val="FFFFFF"/>
                <w:sz w:val="13"/>
              </w:rPr>
              <w:t>Model use</w:t>
            </w:r>
          </w:p>
        </w:tc>
        <w:tc>
          <w:tcPr>
            <w:tcW w:type="dxa" w:w="3024"/>
            <w:vAlign w:val="center"/>
            <w:shd w:fill="17324D"/>
            <w:tcBorders>
              <w:bottom w:val="single" w:sz="8" w:color="FFFFFF"/>
            </w:tcBorders>
          </w:tcPr>
          <w:p>
            <w:pPr>
              <w:spacing w:after="0" w:before="0" w:line="240" w:lineRule="auto"/>
              <w:jc w:val="left"/>
            </w:pPr>
            <w:r/>
            <w:r>
              <w:rPr>
                <w:rFonts w:ascii="Aptos" w:hAnsi="Aptos"/>
                <w:b/>
                <w:color w:val="FFFFFF"/>
                <w:sz w:val="13"/>
              </w:rPr>
              <w:t>Main limitation</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3"/>
              </w:rPr>
              <w:t>Sources</w:t>
            </w:r>
          </w:p>
        </w:tc>
      </w:tr>
      <w:tr>
        <w:tc>
          <w:tcPr>
            <w:tcW w:type="dxa" w:w="2880"/>
            <w:vAlign w:val="center"/>
          </w:tcPr>
          <w:p>
            <w:pPr>
              <w:spacing w:after="0" w:before="0" w:line="240" w:lineRule="auto"/>
            </w:pPr>
            <w:r/>
            <w:r>
              <w:rPr>
                <w:rFonts w:ascii="Aptos" w:hAnsi="Aptos"/>
                <w:b/>
                <w:color w:val="111827"/>
                <w:sz w:val="13"/>
              </w:rPr>
              <w:t>Amazon return liability and return asset are separate accounting balances</w:t>
            </w:r>
          </w:p>
        </w:tc>
        <w:tc>
          <w:tcPr>
            <w:tcW w:type="dxa" w:w="1728"/>
            <w:vAlign w:val="center"/>
          </w:tcPr>
          <w:p>
            <w:pPr>
              <w:spacing w:after="0" w:before="0" w:line="240" w:lineRule="auto"/>
            </w:pPr>
            <w:r/>
            <w:r>
              <w:rPr>
                <w:rFonts w:ascii="Aptos" w:hAnsi="Aptos"/>
                <w:b w:val="0"/>
                <w:color w:val="111827"/>
                <w:sz w:val="13"/>
              </w:rPr>
              <w:t>SEC filing</w:t>
            </w:r>
          </w:p>
        </w:tc>
        <w:tc>
          <w:tcPr>
            <w:tcW w:type="dxa" w:w="1728"/>
            <w:vAlign w:val="center"/>
          </w:tcPr>
          <w:p>
            <w:pPr>
              <w:spacing w:after="0" w:before="0" w:line="240" w:lineRule="auto"/>
            </w:pPr>
            <w:r/>
            <w:r>
              <w:rPr>
                <w:rFonts w:ascii="Aptos" w:hAnsi="Aptos"/>
                <w:b w:val="0"/>
                <w:color w:val="111827"/>
                <w:sz w:val="13"/>
              </w:rPr>
              <w:t>Direct disclosure</w:t>
            </w:r>
          </w:p>
        </w:tc>
        <w:tc>
          <w:tcPr>
            <w:tcW w:type="dxa" w:w="1152"/>
            <w:vAlign w:val="center"/>
          </w:tcPr>
          <w:p>
            <w:pPr>
              <w:spacing w:after="0" w:before="0" w:line="240" w:lineRule="auto"/>
            </w:pPr>
            <w:r/>
            <w:r>
              <w:rPr>
                <w:rFonts w:ascii="Aptos" w:hAnsi="Aptos"/>
                <w:b w:val="0"/>
                <w:color w:val="111827"/>
                <w:sz w:val="13"/>
              </w:rPr>
              <w:t>High</w:t>
            </w:r>
          </w:p>
        </w:tc>
        <w:tc>
          <w:tcPr>
            <w:tcW w:type="dxa" w:w="2592"/>
            <w:vAlign w:val="center"/>
          </w:tcPr>
          <w:p>
            <w:pPr>
              <w:spacing w:after="0" w:before="0" w:line="240" w:lineRule="auto"/>
            </w:pPr>
            <w:r/>
            <w:r>
              <w:rPr>
                <w:rFonts w:ascii="Aptos" w:hAnsi="Aptos"/>
                <w:b w:val="0"/>
                <w:color w:val="111827"/>
                <w:sz w:val="13"/>
              </w:rPr>
              <w:t>Supports separation of refund obligation and recovery asset</w:t>
            </w:r>
          </w:p>
        </w:tc>
        <w:tc>
          <w:tcPr>
            <w:tcW w:type="dxa" w:w="3024"/>
            <w:vAlign w:val="center"/>
          </w:tcPr>
          <w:p>
            <w:pPr>
              <w:spacing w:after="0" w:before="0" w:line="240" w:lineRule="auto"/>
            </w:pPr>
            <w:r/>
            <w:r>
              <w:rPr>
                <w:rFonts w:ascii="Aptos" w:hAnsi="Aptos"/>
                <w:b w:val="0"/>
                <w:color w:val="111827"/>
                <w:sz w:val="13"/>
              </w:rPr>
              <w:t>Company-wide balance, not unit route share</w:t>
            </w:r>
          </w:p>
        </w:tc>
        <w:tc>
          <w:tcPr>
            <w:tcW w:type="dxa" w:w="1008"/>
            <w:vAlign w:val="center"/>
          </w:tcPr>
          <w:p>
            <w:pPr>
              <w:spacing w:after="0" w:before="0" w:line="240" w:lineRule="auto"/>
            </w:pPr>
            <w:r/>
            <w:r>
              <w:rPr>
                <w:rFonts w:ascii="Aptos" w:hAnsi="Aptos"/>
                <w:b w:val="0"/>
                <w:color w:val="111827"/>
                <w:sz w:val="13"/>
              </w:rPr>
              <w:t>S01</w:t>
            </w:r>
          </w:p>
        </w:tc>
      </w:tr>
      <w:tr>
        <w:tc>
          <w:tcPr>
            <w:tcW w:type="dxa" w:w="2880"/>
            <w:vAlign w:val="center"/>
            <w:shd w:fill="F5F7FA"/>
          </w:tcPr>
          <w:p>
            <w:pPr>
              <w:spacing w:after="0" w:before="0" w:line="240" w:lineRule="auto"/>
            </w:pPr>
            <w:r/>
            <w:r>
              <w:rPr>
                <w:rFonts w:ascii="Aptos" w:hAnsi="Aptos"/>
                <w:b/>
                <w:color w:val="111827"/>
                <w:sz w:val="13"/>
              </w:rPr>
              <w:t>Nike sales-return reserve is distinct from inventory reserve</w:t>
            </w:r>
          </w:p>
        </w:tc>
        <w:tc>
          <w:tcPr>
            <w:tcW w:type="dxa" w:w="1728"/>
            <w:vAlign w:val="center"/>
            <w:shd w:fill="F5F7FA"/>
          </w:tcPr>
          <w:p>
            <w:pPr>
              <w:spacing w:after="0" w:before="0" w:line="240" w:lineRule="auto"/>
            </w:pPr>
            <w:r/>
            <w:r>
              <w:rPr>
                <w:rFonts w:ascii="Aptos" w:hAnsi="Aptos"/>
                <w:b w:val="0"/>
                <w:color w:val="111827"/>
                <w:sz w:val="13"/>
              </w:rPr>
              <w:t>SEC filing</w:t>
            </w:r>
          </w:p>
        </w:tc>
        <w:tc>
          <w:tcPr>
            <w:tcW w:type="dxa" w:w="1728"/>
            <w:vAlign w:val="center"/>
            <w:shd w:fill="F5F7FA"/>
          </w:tcPr>
          <w:p>
            <w:pPr>
              <w:spacing w:after="0" w:before="0" w:line="240" w:lineRule="auto"/>
            </w:pPr>
            <w:r/>
            <w:r>
              <w:rPr>
                <w:rFonts w:ascii="Aptos" w:hAnsi="Aptos"/>
                <w:b w:val="0"/>
                <w:color w:val="111827"/>
                <w:sz w:val="13"/>
              </w:rPr>
              <w:t>Direct disclosure</w:t>
            </w:r>
          </w:p>
        </w:tc>
        <w:tc>
          <w:tcPr>
            <w:tcW w:type="dxa" w:w="1152"/>
            <w:vAlign w:val="center"/>
            <w:shd w:fill="F5F7FA"/>
          </w:tcPr>
          <w:p>
            <w:pPr>
              <w:spacing w:after="0" w:before="0" w:line="240" w:lineRule="auto"/>
            </w:pPr>
            <w:r/>
            <w:r>
              <w:rPr>
                <w:rFonts w:ascii="Aptos" w:hAnsi="Aptos"/>
                <w:b w:val="0"/>
                <w:color w:val="111827"/>
                <w:sz w:val="13"/>
              </w:rPr>
              <w:t>High</w:t>
            </w:r>
          </w:p>
        </w:tc>
        <w:tc>
          <w:tcPr>
            <w:tcW w:type="dxa" w:w="2592"/>
            <w:vAlign w:val="center"/>
            <w:shd w:fill="F5F7FA"/>
          </w:tcPr>
          <w:p>
            <w:pPr>
              <w:spacing w:after="0" w:before="0" w:line="240" w:lineRule="auto"/>
            </w:pPr>
            <w:r/>
            <w:r>
              <w:rPr>
                <w:rFonts w:ascii="Aptos" w:hAnsi="Aptos"/>
                <w:b w:val="0"/>
                <w:color w:val="111827"/>
                <w:sz w:val="13"/>
              </w:rPr>
              <w:t>Supports refund vs inventory-value distinction</w:t>
            </w:r>
          </w:p>
        </w:tc>
        <w:tc>
          <w:tcPr>
            <w:tcW w:type="dxa" w:w="3024"/>
            <w:vAlign w:val="center"/>
            <w:shd w:fill="F5F7FA"/>
          </w:tcPr>
          <w:p>
            <w:pPr>
              <w:spacing w:after="0" w:before="0" w:line="240" w:lineRule="auto"/>
            </w:pPr>
            <w:r/>
            <w:r>
              <w:rPr>
                <w:rFonts w:ascii="Aptos" w:hAnsi="Aptos"/>
                <w:b w:val="0"/>
                <w:color w:val="111827"/>
                <w:sz w:val="13"/>
              </w:rPr>
              <w:t>Not category-unit economics</w:t>
            </w:r>
          </w:p>
        </w:tc>
        <w:tc>
          <w:tcPr>
            <w:tcW w:type="dxa" w:w="1008"/>
            <w:vAlign w:val="center"/>
            <w:shd w:fill="F5F7FA"/>
          </w:tcPr>
          <w:p>
            <w:pPr>
              <w:spacing w:after="0" w:before="0" w:line="240" w:lineRule="auto"/>
            </w:pPr>
            <w:r/>
            <w:r>
              <w:rPr>
                <w:rFonts w:ascii="Aptos" w:hAnsi="Aptos"/>
                <w:b w:val="0"/>
                <w:color w:val="111827"/>
                <w:sz w:val="13"/>
              </w:rPr>
              <w:t>S20</w:t>
            </w:r>
          </w:p>
        </w:tc>
      </w:tr>
      <w:tr>
        <w:tc>
          <w:tcPr>
            <w:tcW w:type="dxa" w:w="2880"/>
            <w:vAlign w:val="center"/>
          </w:tcPr>
          <w:p>
            <w:pPr>
              <w:spacing w:after="0" w:before="0" w:line="240" w:lineRule="auto"/>
            </w:pPr>
            <w:r/>
            <w:r>
              <w:rPr>
                <w:rFonts w:ascii="Aptos" w:hAnsi="Aptos"/>
                <w:b/>
                <w:color w:val="111827"/>
                <w:sz w:val="13"/>
              </w:rPr>
              <w:t>WFS standard and big-and-bulky return fees</w:t>
            </w:r>
          </w:p>
        </w:tc>
        <w:tc>
          <w:tcPr>
            <w:tcW w:type="dxa" w:w="1728"/>
            <w:vAlign w:val="center"/>
          </w:tcPr>
          <w:p>
            <w:pPr>
              <w:spacing w:after="0" w:before="0" w:line="240" w:lineRule="auto"/>
            </w:pPr>
            <w:r/>
            <w:r>
              <w:rPr>
                <w:rFonts w:ascii="Aptos" w:hAnsi="Aptos"/>
                <w:b w:val="0"/>
                <w:color w:val="111827"/>
                <w:sz w:val="13"/>
              </w:rPr>
              <w:t>Official fee schedule</w:t>
            </w:r>
          </w:p>
        </w:tc>
        <w:tc>
          <w:tcPr>
            <w:tcW w:type="dxa" w:w="1728"/>
            <w:vAlign w:val="center"/>
          </w:tcPr>
          <w:p>
            <w:pPr>
              <w:spacing w:after="0" w:before="0" w:line="240" w:lineRule="auto"/>
            </w:pPr>
            <w:r/>
            <w:r>
              <w:rPr>
                <w:rFonts w:ascii="Aptos" w:hAnsi="Aptos"/>
                <w:b w:val="0"/>
                <w:color w:val="111827"/>
                <w:sz w:val="13"/>
              </w:rPr>
              <w:t>Direct disclosure</w:t>
            </w:r>
          </w:p>
        </w:tc>
        <w:tc>
          <w:tcPr>
            <w:tcW w:type="dxa" w:w="1152"/>
            <w:vAlign w:val="center"/>
          </w:tcPr>
          <w:p>
            <w:pPr>
              <w:spacing w:after="0" w:before="0" w:line="240" w:lineRule="auto"/>
            </w:pPr>
            <w:r/>
            <w:r>
              <w:rPr>
                <w:rFonts w:ascii="Aptos" w:hAnsi="Aptos"/>
                <w:b w:val="0"/>
                <w:color w:val="111827"/>
                <w:sz w:val="13"/>
              </w:rPr>
              <w:t>High</w:t>
            </w:r>
          </w:p>
        </w:tc>
        <w:tc>
          <w:tcPr>
            <w:tcW w:type="dxa" w:w="2592"/>
            <w:vAlign w:val="center"/>
          </w:tcPr>
          <w:p>
            <w:pPr>
              <w:spacing w:after="0" w:before="0" w:line="240" w:lineRule="auto"/>
            </w:pPr>
            <w:r/>
            <w:r>
              <w:rPr>
                <w:rFonts w:ascii="Aptos" w:hAnsi="Aptos"/>
                <w:b w:val="0"/>
                <w:color w:val="111827"/>
                <w:sz w:val="13"/>
              </w:rPr>
              <w:t>Reverse handling/freight anchors</w:t>
            </w:r>
          </w:p>
        </w:tc>
        <w:tc>
          <w:tcPr>
            <w:tcW w:type="dxa" w:w="3024"/>
            <w:vAlign w:val="center"/>
          </w:tcPr>
          <w:p>
            <w:pPr>
              <w:spacing w:after="0" w:before="0" w:line="240" w:lineRule="auto"/>
            </w:pPr>
            <w:r/>
            <w:r>
              <w:rPr>
                <w:rFonts w:ascii="Aptos" w:hAnsi="Aptos"/>
                <w:b w:val="0"/>
                <w:color w:val="111827"/>
                <w:sz w:val="13"/>
              </w:rPr>
              <w:t>Program-specific and may change</w:t>
            </w:r>
          </w:p>
        </w:tc>
        <w:tc>
          <w:tcPr>
            <w:tcW w:type="dxa" w:w="1008"/>
            <w:vAlign w:val="center"/>
          </w:tcPr>
          <w:p>
            <w:pPr>
              <w:spacing w:after="0" w:before="0" w:line="240" w:lineRule="auto"/>
            </w:pPr>
            <w:r/>
            <w:r>
              <w:rPr>
                <w:rFonts w:ascii="Aptos" w:hAnsi="Aptos"/>
                <w:b w:val="0"/>
                <w:color w:val="111827"/>
                <w:sz w:val="13"/>
              </w:rPr>
              <w:t>S21</w:t>
            </w:r>
          </w:p>
        </w:tc>
      </w:tr>
      <w:tr>
        <w:tc>
          <w:tcPr>
            <w:tcW w:type="dxa" w:w="2880"/>
            <w:vAlign w:val="center"/>
            <w:shd w:fill="F5F7FA"/>
          </w:tcPr>
          <w:p>
            <w:pPr>
              <w:spacing w:after="0" w:before="0" w:line="240" w:lineRule="auto"/>
            </w:pPr>
            <w:r/>
            <w:r>
              <w:rPr>
                <w:rFonts w:ascii="Aptos" w:hAnsi="Aptos"/>
                <w:b/>
                <w:color w:val="111827"/>
                <w:sz w:val="13"/>
              </w:rPr>
              <w:t>UPS/FedEx/USPS list-price surcharges and DIM mechanics</w:t>
            </w:r>
          </w:p>
        </w:tc>
        <w:tc>
          <w:tcPr>
            <w:tcW w:type="dxa" w:w="1728"/>
            <w:vAlign w:val="center"/>
            <w:shd w:fill="F5F7FA"/>
          </w:tcPr>
          <w:p>
            <w:pPr>
              <w:spacing w:after="0" w:before="0" w:line="240" w:lineRule="auto"/>
            </w:pPr>
            <w:r/>
            <w:r>
              <w:rPr>
                <w:rFonts w:ascii="Aptos" w:hAnsi="Aptos"/>
                <w:b w:val="0"/>
                <w:color w:val="111827"/>
                <w:sz w:val="13"/>
              </w:rPr>
              <w:t>Official tariff/guidance</w:t>
            </w:r>
          </w:p>
        </w:tc>
        <w:tc>
          <w:tcPr>
            <w:tcW w:type="dxa" w:w="1728"/>
            <w:vAlign w:val="center"/>
            <w:shd w:fill="F5F7FA"/>
          </w:tcPr>
          <w:p>
            <w:pPr>
              <w:spacing w:after="0" w:before="0" w:line="240" w:lineRule="auto"/>
            </w:pPr>
            <w:r/>
            <w:r>
              <w:rPr>
                <w:rFonts w:ascii="Aptos" w:hAnsi="Aptos"/>
                <w:b w:val="0"/>
                <w:color w:val="111827"/>
                <w:sz w:val="13"/>
              </w:rPr>
              <w:t>Direct disclosure</w:t>
            </w:r>
          </w:p>
        </w:tc>
        <w:tc>
          <w:tcPr>
            <w:tcW w:type="dxa" w:w="1152"/>
            <w:vAlign w:val="center"/>
            <w:shd w:fill="F5F7FA"/>
          </w:tcPr>
          <w:p>
            <w:pPr>
              <w:spacing w:after="0" w:before="0" w:line="240" w:lineRule="auto"/>
            </w:pPr>
            <w:r/>
            <w:r>
              <w:rPr>
                <w:rFonts w:ascii="Aptos" w:hAnsi="Aptos"/>
                <w:b w:val="0"/>
                <w:color w:val="111827"/>
                <w:sz w:val="13"/>
              </w:rPr>
              <w:t>High for tariff; medium for realized cost</w:t>
            </w:r>
          </w:p>
        </w:tc>
        <w:tc>
          <w:tcPr>
            <w:tcW w:type="dxa" w:w="2592"/>
            <w:vAlign w:val="center"/>
            <w:shd w:fill="F5F7FA"/>
          </w:tcPr>
          <w:p>
            <w:pPr>
              <w:spacing w:after="0" w:before="0" w:line="240" w:lineRule="auto"/>
            </w:pPr>
            <w:r/>
            <w:r>
              <w:rPr>
                <w:rFonts w:ascii="Aptos" w:hAnsi="Aptos"/>
                <w:b w:val="0"/>
                <w:color w:val="111827"/>
                <w:sz w:val="13"/>
              </w:rPr>
              <w:t>Freight proxy and dimensional-weight sensitivity</w:t>
            </w:r>
          </w:p>
        </w:tc>
        <w:tc>
          <w:tcPr>
            <w:tcW w:type="dxa" w:w="3024"/>
            <w:vAlign w:val="center"/>
            <w:shd w:fill="F5F7FA"/>
          </w:tcPr>
          <w:p>
            <w:pPr>
              <w:spacing w:after="0" w:before="0" w:line="240" w:lineRule="auto"/>
            </w:pPr>
            <w:r/>
            <w:r>
              <w:rPr>
                <w:rFonts w:ascii="Aptos" w:hAnsi="Aptos"/>
                <w:b w:val="0"/>
                <w:color w:val="111827"/>
                <w:sz w:val="13"/>
              </w:rPr>
              <w:t>Large merchants negotiate discounts</w:t>
            </w:r>
          </w:p>
        </w:tc>
        <w:tc>
          <w:tcPr>
            <w:tcW w:type="dxa" w:w="1008"/>
            <w:vAlign w:val="center"/>
            <w:shd w:fill="F5F7FA"/>
          </w:tcPr>
          <w:p>
            <w:pPr>
              <w:spacing w:after="0" w:before="0" w:line="240" w:lineRule="auto"/>
            </w:pPr>
            <w:r/>
            <w:r>
              <w:rPr>
                <w:rFonts w:ascii="Aptos" w:hAnsi="Aptos"/>
                <w:b w:val="0"/>
                <w:color w:val="111827"/>
                <w:sz w:val="13"/>
              </w:rPr>
              <w:t>S17; S22-S26</w:t>
            </w:r>
          </w:p>
        </w:tc>
      </w:tr>
      <w:tr>
        <w:tc>
          <w:tcPr>
            <w:tcW w:type="dxa" w:w="2880"/>
            <w:vAlign w:val="center"/>
          </w:tcPr>
          <w:p>
            <w:pPr>
              <w:spacing w:after="0" w:before="0" w:line="240" w:lineRule="auto"/>
            </w:pPr>
            <w:r/>
            <w:r>
              <w:rPr>
                <w:rFonts w:ascii="Aptos" w:hAnsi="Aptos"/>
                <w:b/>
                <w:color w:val="111827"/>
                <w:sz w:val="13"/>
              </w:rPr>
              <w:t>Amazon FBA Liquidations typical 5%-10% recovery</w:t>
            </w:r>
          </w:p>
        </w:tc>
        <w:tc>
          <w:tcPr>
            <w:tcW w:type="dxa" w:w="1728"/>
            <w:vAlign w:val="center"/>
          </w:tcPr>
          <w:p>
            <w:pPr>
              <w:spacing w:after="0" w:before="0" w:line="240" w:lineRule="auto"/>
            </w:pPr>
            <w:r/>
            <w:r>
              <w:rPr>
                <w:rFonts w:ascii="Aptos" w:hAnsi="Aptos"/>
                <w:b w:val="0"/>
                <w:color w:val="111827"/>
                <w:sz w:val="13"/>
              </w:rPr>
              <w:t>Official seller communication</w:t>
            </w:r>
          </w:p>
        </w:tc>
        <w:tc>
          <w:tcPr>
            <w:tcW w:type="dxa" w:w="1728"/>
            <w:vAlign w:val="center"/>
          </w:tcPr>
          <w:p>
            <w:pPr>
              <w:spacing w:after="0" w:before="0" w:line="240" w:lineRule="auto"/>
            </w:pPr>
            <w:r/>
            <w:r>
              <w:rPr>
                <w:rFonts w:ascii="Aptos" w:hAnsi="Aptos"/>
                <w:b w:val="0"/>
                <w:color w:val="111827"/>
                <w:sz w:val="13"/>
              </w:rPr>
              <w:t>Direct program claim</w:t>
            </w:r>
          </w:p>
        </w:tc>
        <w:tc>
          <w:tcPr>
            <w:tcW w:type="dxa" w:w="1152"/>
            <w:vAlign w:val="center"/>
          </w:tcPr>
          <w:p>
            <w:pPr>
              <w:spacing w:after="0" w:before="0" w:line="240" w:lineRule="auto"/>
            </w:pPr>
            <w:r/>
            <w:r>
              <w:rPr>
                <w:rFonts w:ascii="Aptos" w:hAnsi="Aptos"/>
                <w:b w:val="0"/>
                <w:color w:val="111827"/>
                <w:sz w:val="13"/>
              </w:rPr>
              <w:t>High within program</w:t>
            </w:r>
          </w:p>
        </w:tc>
        <w:tc>
          <w:tcPr>
            <w:tcW w:type="dxa" w:w="2592"/>
            <w:vAlign w:val="center"/>
          </w:tcPr>
          <w:p>
            <w:pPr>
              <w:spacing w:after="0" w:before="0" w:line="240" w:lineRule="auto"/>
            </w:pPr>
            <w:r/>
            <w:r>
              <w:rPr>
                <w:rFonts w:ascii="Aptos" w:hAnsi="Aptos"/>
                <w:b w:val="0"/>
                <w:color w:val="111827"/>
                <w:sz w:val="13"/>
              </w:rPr>
              <w:t>Liquidation downside anchor</w:t>
            </w:r>
          </w:p>
        </w:tc>
        <w:tc>
          <w:tcPr>
            <w:tcW w:type="dxa" w:w="3024"/>
            <w:vAlign w:val="center"/>
          </w:tcPr>
          <w:p>
            <w:pPr>
              <w:spacing w:after="0" w:before="0" w:line="240" w:lineRule="auto"/>
            </w:pPr>
            <w:r/>
            <w:r>
              <w:rPr>
                <w:rFonts w:ascii="Aptos" w:hAnsi="Aptos"/>
                <w:b w:val="0"/>
                <w:color w:val="111827"/>
                <w:sz w:val="13"/>
              </w:rPr>
              <w:t>Not representative of all retailers/categories</w:t>
            </w:r>
          </w:p>
        </w:tc>
        <w:tc>
          <w:tcPr>
            <w:tcW w:type="dxa" w:w="1008"/>
            <w:vAlign w:val="center"/>
          </w:tcPr>
          <w:p>
            <w:pPr>
              <w:spacing w:after="0" w:before="0" w:line="240" w:lineRule="auto"/>
            </w:pPr>
            <w:r/>
            <w:r>
              <w:rPr>
                <w:rFonts w:ascii="Aptos" w:hAnsi="Aptos"/>
                <w:b w:val="0"/>
                <w:color w:val="111827"/>
                <w:sz w:val="13"/>
              </w:rPr>
              <w:t>S35</w:t>
            </w:r>
          </w:p>
        </w:tc>
      </w:tr>
      <w:tr>
        <w:tc>
          <w:tcPr>
            <w:tcW w:type="dxa" w:w="2880"/>
            <w:vAlign w:val="center"/>
            <w:shd w:fill="F5F7FA"/>
          </w:tcPr>
          <w:p>
            <w:pPr>
              <w:spacing w:after="0" w:before="0" w:line="240" w:lineRule="auto"/>
            </w:pPr>
            <w:r/>
            <w:r>
              <w:rPr>
                <w:rFonts w:ascii="Aptos" w:hAnsi="Aptos"/>
                <w:b/>
                <w:color w:val="111827"/>
                <w:sz w:val="13"/>
              </w:rPr>
              <w:t>Apparel online-auction recovery of 13.11%-16.339%</w:t>
            </w:r>
          </w:p>
        </w:tc>
        <w:tc>
          <w:tcPr>
            <w:tcW w:type="dxa" w:w="1728"/>
            <w:vAlign w:val="center"/>
            <w:shd w:fill="F5F7FA"/>
          </w:tcPr>
          <w:p>
            <w:pPr>
              <w:spacing w:after="0" w:before="0" w:line="240" w:lineRule="auto"/>
            </w:pPr>
            <w:r/>
            <w:r>
              <w:rPr>
                <w:rFonts w:ascii="Aptos" w:hAnsi="Aptos"/>
                <w:b w:val="0"/>
                <w:color w:val="111827"/>
                <w:sz w:val="13"/>
              </w:rPr>
              <w:t>Academic field study</w:t>
            </w:r>
          </w:p>
        </w:tc>
        <w:tc>
          <w:tcPr>
            <w:tcW w:type="dxa" w:w="1728"/>
            <w:vAlign w:val="center"/>
            <w:shd w:fill="F5F7FA"/>
          </w:tcPr>
          <w:p>
            <w:pPr>
              <w:spacing w:after="0" w:before="0" w:line="240" w:lineRule="auto"/>
            </w:pPr>
            <w:r/>
            <w:r>
              <w:rPr>
                <w:rFonts w:ascii="Aptos" w:hAnsi="Aptos"/>
                <w:b w:val="0"/>
                <w:color w:val="111827"/>
                <w:sz w:val="13"/>
              </w:rPr>
              <w:t>Observed sample of 11,879 auctions</w:t>
            </w:r>
          </w:p>
        </w:tc>
        <w:tc>
          <w:tcPr>
            <w:tcW w:type="dxa" w:w="1152"/>
            <w:vAlign w:val="center"/>
            <w:shd w:fill="F5F7FA"/>
          </w:tcPr>
          <w:p>
            <w:pPr>
              <w:spacing w:after="0" w:before="0" w:line="240" w:lineRule="auto"/>
            </w:pPr>
            <w:r/>
            <w:r>
              <w:rPr>
                <w:rFonts w:ascii="Aptos" w:hAnsi="Aptos"/>
                <w:b w:val="0"/>
                <w:color w:val="111827"/>
                <w:sz w:val="13"/>
              </w:rPr>
              <w:t>Medium-high</w:t>
            </w:r>
          </w:p>
        </w:tc>
        <w:tc>
          <w:tcPr>
            <w:tcW w:type="dxa" w:w="2592"/>
            <w:vAlign w:val="center"/>
            <w:shd w:fill="F5F7FA"/>
          </w:tcPr>
          <w:p>
            <w:pPr>
              <w:spacing w:after="0" w:before="0" w:line="240" w:lineRule="auto"/>
            </w:pPr>
            <w:r/>
            <w:r>
              <w:rPr>
                <w:rFonts w:ascii="Aptos" w:hAnsi="Aptos"/>
                <w:b w:val="0"/>
                <w:color w:val="111827"/>
                <w:sz w:val="13"/>
              </w:rPr>
              <w:t>Apparel liquidation recovery anchor</w:t>
            </w:r>
          </w:p>
        </w:tc>
        <w:tc>
          <w:tcPr>
            <w:tcW w:type="dxa" w:w="3024"/>
            <w:vAlign w:val="center"/>
            <w:shd w:fill="F5F7FA"/>
          </w:tcPr>
          <w:p>
            <w:pPr>
              <w:spacing w:after="0" w:before="0" w:line="240" w:lineRule="auto"/>
            </w:pPr>
            <w:r/>
            <w:r>
              <w:rPr>
                <w:rFonts w:ascii="Aptos" w:hAnsi="Aptos"/>
                <w:b w:val="0"/>
                <w:color w:val="111827"/>
                <w:sz w:val="13"/>
              </w:rPr>
              <w:t>Older, end-of-life inventory, category-specific</w:t>
            </w:r>
          </w:p>
        </w:tc>
        <w:tc>
          <w:tcPr>
            <w:tcW w:type="dxa" w:w="1008"/>
            <w:vAlign w:val="center"/>
            <w:shd w:fill="F5F7FA"/>
          </w:tcPr>
          <w:p>
            <w:pPr>
              <w:spacing w:after="0" w:before="0" w:line="240" w:lineRule="auto"/>
            </w:pPr>
            <w:r/>
            <w:r>
              <w:rPr>
                <w:rFonts w:ascii="Aptos" w:hAnsi="Aptos"/>
                <w:b w:val="0"/>
                <w:color w:val="111827"/>
                <w:sz w:val="13"/>
              </w:rPr>
              <w:t>S32</w:t>
            </w:r>
          </w:p>
        </w:tc>
      </w:tr>
      <w:tr>
        <w:tc>
          <w:tcPr>
            <w:tcW w:type="dxa" w:w="2880"/>
            <w:vAlign w:val="center"/>
          </w:tcPr>
          <w:p>
            <w:pPr>
              <w:spacing w:after="0" w:before="0" w:line="240" w:lineRule="auto"/>
            </w:pPr>
            <w:r/>
            <w:r>
              <w:rPr>
                <w:rFonts w:ascii="Aptos" w:hAnsi="Aptos"/>
                <w:b/>
                <w:color w:val="111827"/>
                <w:sz w:val="13"/>
              </w:rPr>
              <w:t>Public microwave and eBike auction bid recovery</w:t>
            </w:r>
          </w:p>
        </w:tc>
        <w:tc>
          <w:tcPr>
            <w:tcW w:type="dxa" w:w="1728"/>
            <w:vAlign w:val="center"/>
          </w:tcPr>
          <w:p>
            <w:pPr>
              <w:spacing w:after="0" w:before="0" w:line="240" w:lineRule="auto"/>
            </w:pPr>
            <w:r/>
            <w:r>
              <w:rPr>
                <w:rFonts w:ascii="Aptos" w:hAnsi="Aptos"/>
                <w:b w:val="0"/>
                <w:color w:val="111827"/>
                <w:sz w:val="13"/>
              </w:rPr>
              <w:t>Closed auction pages</w:t>
            </w:r>
          </w:p>
        </w:tc>
        <w:tc>
          <w:tcPr>
            <w:tcW w:type="dxa" w:w="1728"/>
            <w:vAlign w:val="center"/>
          </w:tcPr>
          <w:p>
            <w:pPr>
              <w:spacing w:after="0" w:before="0" w:line="240" w:lineRule="auto"/>
            </w:pPr>
            <w:r/>
            <w:r>
              <w:rPr>
                <w:rFonts w:ascii="Aptos" w:hAnsi="Aptos"/>
                <w:b w:val="0"/>
                <w:color w:val="111827"/>
                <w:sz w:val="13"/>
              </w:rPr>
              <w:t>Observed/inferred from next bid increment</w:t>
            </w:r>
          </w:p>
        </w:tc>
        <w:tc>
          <w:tcPr>
            <w:tcW w:type="dxa" w:w="1152"/>
            <w:vAlign w:val="center"/>
          </w:tcPr>
          <w:p>
            <w:pPr>
              <w:spacing w:after="0" w:before="0" w:line="240" w:lineRule="auto"/>
            </w:pPr>
            <w:r/>
            <w:r>
              <w:rPr>
                <w:rFonts w:ascii="Aptos" w:hAnsi="Aptos"/>
                <w:b w:val="0"/>
                <w:color w:val="111827"/>
                <w:sz w:val="13"/>
              </w:rPr>
              <w:t>Medium-high for arithmetic</w:t>
            </w:r>
          </w:p>
        </w:tc>
        <w:tc>
          <w:tcPr>
            <w:tcW w:type="dxa" w:w="2592"/>
            <w:vAlign w:val="center"/>
          </w:tcPr>
          <w:p>
            <w:pPr>
              <w:spacing w:after="0" w:before="0" w:line="240" w:lineRule="auto"/>
            </w:pPr>
            <w:r/>
            <w:r>
              <w:rPr>
                <w:rFonts w:ascii="Aptos" w:hAnsi="Aptos"/>
                <w:b w:val="0"/>
                <w:color w:val="111827"/>
                <w:sz w:val="13"/>
              </w:rPr>
              <w:t>Two lot-level checks</w:t>
            </w:r>
          </w:p>
        </w:tc>
        <w:tc>
          <w:tcPr>
            <w:tcW w:type="dxa" w:w="3024"/>
            <w:vAlign w:val="center"/>
          </w:tcPr>
          <w:p>
            <w:pPr>
              <w:spacing w:after="0" w:before="0" w:line="240" w:lineRule="auto"/>
            </w:pPr>
            <w:r/>
            <w:r>
              <w:rPr>
                <w:rFonts w:ascii="Aptos" w:hAnsi="Aptos"/>
                <w:b w:val="0"/>
                <w:color w:val="111827"/>
                <w:sz w:val="13"/>
              </w:rPr>
              <w:t>n=2; final fee/freight/condition hidden</w:t>
            </w:r>
          </w:p>
        </w:tc>
        <w:tc>
          <w:tcPr>
            <w:tcW w:type="dxa" w:w="1008"/>
            <w:vAlign w:val="center"/>
          </w:tcPr>
          <w:p>
            <w:pPr>
              <w:spacing w:after="0" w:before="0" w:line="240" w:lineRule="auto"/>
            </w:pPr>
            <w:r/>
            <w:r>
              <w:rPr>
                <w:rFonts w:ascii="Aptos" w:hAnsi="Aptos"/>
                <w:b w:val="0"/>
                <w:color w:val="111827"/>
                <w:sz w:val="13"/>
              </w:rPr>
              <w:t>S36; S37</w:t>
            </w:r>
          </w:p>
        </w:tc>
      </w:tr>
      <w:tr>
        <w:tc>
          <w:tcPr>
            <w:tcW w:type="dxa" w:w="2880"/>
            <w:vAlign w:val="center"/>
            <w:shd w:fill="F5F7FA"/>
          </w:tcPr>
          <w:p>
            <w:pPr>
              <w:spacing w:after="0" w:before="0" w:line="240" w:lineRule="auto"/>
            </w:pPr>
            <w:r/>
            <w:r>
              <w:rPr>
                <w:rFonts w:ascii="Aptos" w:hAnsi="Aptos"/>
                <w:b/>
                <w:color w:val="111827"/>
                <w:sz w:val="13"/>
              </w:rPr>
              <w:t>Open-box/refurbished consumer resale can retain 57%-85% of retail</w:t>
            </w:r>
          </w:p>
        </w:tc>
        <w:tc>
          <w:tcPr>
            <w:tcW w:type="dxa" w:w="1728"/>
            <w:vAlign w:val="center"/>
            <w:shd w:fill="F5F7FA"/>
          </w:tcPr>
          <w:p>
            <w:pPr>
              <w:spacing w:after="0" w:before="0" w:line="240" w:lineRule="auto"/>
            </w:pPr>
            <w:r/>
            <w:r>
              <w:rPr>
                <w:rFonts w:ascii="Aptos" w:hAnsi="Aptos"/>
                <w:b w:val="0"/>
                <w:color w:val="111827"/>
                <w:sz w:val="13"/>
              </w:rPr>
              <w:t>Observed storefronts summarized in package</w:t>
            </w:r>
          </w:p>
        </w:tc>
        <w:tc>
          <w:tcPr>
            <w:tcW w:type="dxa" w:w="1728"/>
            <w:vAlign w:val="center"/>
            <w:shd w:fill="F5F7FA"/>
          </w:tcPr>
          <w:p>
            <w:pPr>
              <w:spacing w:after="0" w:before="0" w:line="240" w:lineRule="auto"/>
            </w:pPr>
            <w:r/>
            <w:r>
              <w:rPr>
                <w:rFonts w:ascii="Aptos" w:hAnsi="Aptos"/>
                <w:b w:val="0"/>
                <w:color w:val="111827"/>
                <w:sz w:val="13"/>
              </w:rPr>
              <w:t>Market observation</w:t>
            </w:r>
          </w:p>
        </w:tc>
        <w:tc>
          <w:tcPr>
            <w:tcW w:type="dxa" w:w="1152"/>
            <w:vAlign w:val="center"/>
            <w:shd w:fill="F5F7FA"/>
          </w:tcPr>
          <w:p>
            <w:pPr>
              <w:spacing w:after="0" w:before="0" w:line="240" w:lineRule="auto"/>
            </w:pPr>
            <w:r/>
            <w:r>
              <w:rPr>
                <w:rFonts w:ascii="Aptos" w:hAnsi="Aptos"/>
                <w:b w:val="0"/>
                <w:color w:val="111827"/>
                <w:sz w:val="13"/>
              </w:rPr>
              <w:t>Medium</w:t>
            </w:r>
          </w:p>
        </w:tc>
        <w:tc>
          <w:tcPr>
            <w:tcW w:type="dxa" w:w="2592"/>
            <w:vAlign w:val="center"/>
            <w:shd w:fill="F5F7FA"/>
          </w:tcPr>
          <w:p>
            <w:pPr>
              <w:spacing w:after="0" w:before="0" w:line="240" w:lineRule="auto"/>
            </w:pPr>
            <w:r/>
            <w:r>
              <w:rPr>
                <w:rFonts w:ascii="Aptos" w:hAnsi="Aptos"/>
                <w:b w:val="0"/>
                <w:color w:val="111827"/>
                <w:sz w:val="13"/>
              </w:rPr>
              <w:t>Final consumer-facing recovery ceilings</w:t>
            </w:r>
          </w:p>
        </w:tc>
        <w:tc>
          <w:tcPr>
            <w:tcW w:type="dxa" w:w="3024"/>
            <w:vAlign w:val="center"/>
            <w:shd w:fill="F5F7FA"/>
          </w:tcPr>
          <w:p>
            <w:pPr>
              <w:spacing w:after="0" w:before="0" w:line="240" w:lineRule="auto"/>
            </w:pPr>
            <w:r/>
            <w:r>
              <w:rPr>
                <w:rFonts w:ascii="Aptos" w:hAnsi="Aptos"/>
                <w:b w:val="0"/>
                <w:color w:val="111827"/>
                <w:sz w:val="13"/>
              </w:rPr>
              <w:t>Not retailer first-sale recovery; selection of clean units</w:t>
            </w:r>
          </w:p>
        </w:tc>
        <w:tc>
          <w:tcPr>
            <w:tcW w:type="dxa" w:w="1008"/>
            <w:vAlign w:val="center"/>
            <w:shd w:fill="F5F7FA"/>
          </w:tcPr>
          <w:p>
            <w:pPr>
              <w:spacing w:after="0" w:before="0" w:line="240" w:lineRule="auto"/>
            </w:pPr>
            <w:r/>
            <w:r>
              <w:rPr>
                <w:rFonts w:ascii="Aptos" w:hAnsi="Aptos"/>
                <w:b w:val="0"/>
                <w:color w:val="111827"/>
                <w:sz w:val="13"/>
              </w:rPr>
              <w:t>S33; P02</w:t>
            </w:r>
          </w:p>
        </w:tc>
      </w:tr>
      <w:tr>
        <w:tc>
          <w:tcPr>
            <w:tcW w:type="dxa" w:w="2880"/>
            <w:vAlign w:val="center"/>
          </w:tcPr>
          <w:p>
            <w:pPr>
              <w:spacing w:after="0" w:before="0" w:line="240" w:lineRule="auto"/>
            </w:pPr>
            <w:r/>
            <w:r>
              <w:rPr>
                <w:rFonts w:ascii="Aptos" w:hAnsi="Aptos"/>
                <w:b/>
                <w:color w:val="111827"/>
                <w:sz w:val="13"/>
              </w:rPr>
              <w:t>Condition mix by product archetype</w:t>
            </w:r>
          </w:p>
        </w:tc>
        <w:tc>
          <w:tcPr>
            <w:tcW w:type="dxa" w:w="1728"/>
            <w:vAlign w:val="center"/>
          </w:tcPr>
          <w:p>
            <w:pPr>
              <w:spacing w:after="0" w:before="0" w:line="240" w:lineRule="auto"/>
            </w:pPr>
            <w:r/>
            <w:r>
              <w:rPr>
                <w:rFonts w:ascii="Aptos" w:hAnsi="Aptos"/>
                <w:b w:val="0"/>
                <w:color w:val="111827"/>
                <w:sz w:val="13"/>
              </w:rPr>
              <w:t>Model assumption</w:t>
            </w:r>
          </w:p>
        </w:tc>
        <w:tc>
          <w:tcPr>
            <w:tcW w:type="dxa" w:w="1728"/>
            <w:vAlign w:val="center"/>
          </w:tcPr>
          <w:p>
            <w:pPr>
              <w:spacing w:after="0" w:before="0" w:line="240" w:lineRule="auto"/>
            </w:pPr>
            <w:r/>
            <w:r>
              <w:rPr>
                <w:rFonts w:ascii="Aptos" w:hAnsi="Aptos"/>
                <w:b w:val="0"/>
                <w:color w:val="111827"/>
                <w:sz w:val="13"/>
              </w:rPr>
              <w:t>Not disclosed</w:t>
            </w:r>
          </w:p>
        </w:tc>
        <w:tc>
          <w:tcPr>
            <w:tcW w:type="dxa" w:w="1152"/>
            <w:vAlign w:val="center"/>
          </w:tcPr>
          <w:p>
            <w:pPr>
              <w:spacing w:after="0" w:before="0" w:line="240" w:lineRule="auto"/>
            </w:pPr>
            <w:r/>
            <w:r>
              <w:rPr>
                <w:rFonts w:ascii="Aptos" w:hAnsi="Aptos"/>
                <w:b w:val="0"/>
                <w:color w:val="111827"/>
                <w:sz w:val="13"/>
              </w:rPr>
              <w:t>Low-medium</w:t>
            </w:r>
          </w:p>
        </w:tc>
        <w:tc>
          <w:tcPr>
            <w:tcW w:type="dxa" w:w="2592"/>
            <w:vAlign w:val="center"/>
          </w:tcPr>
          <w:p>
            <w:pPr>
              <w:spacing w:after="0" w:before="0" w:line="240" w:lineRule="auto"/>
            </w:pPr>
            <w:r/>
            <w:r>
              <w:rPr>
                <w:rFonts w:ascii="Aptos" w:hAnsi="Aptos"/>
                <w:b w:val="0"/>
                <w:color w:val="111827"/>
                <w:sz w:val="13"/>
              </w:rPr>
              <w:t>Primary probability weights Qj</w:t>
            </w:r>
          </w:p>
        </w:tc>
        <w:tc>
          <w:tcPr>
            <w:tcW w:type="dxa" w:w="3024"/>
            <w:vAlign w:val="center"/>
          </w:tcPr>
          <w:p>
            <w:pPr>
              <w:spacing w:after="0" w:before="0" w:line="240" w:lineRule="auto"/>
            </w:pPr>
            <w:r/>
            <w:r>
              <w:rPr>
                <w:rFonts w:ascii="Aptos" w:hAnsi="Aptos"/>
                <w:b w:val="0"/>
                <w:color w:val="111827"/>
                <w:sz w:val="13"/>
              </w:rPr>
              <w:t>Needs interviews or retailer data</w:t>
            </w:r>
          </w:p>
        </w:tc>
        <w:tc>
          <w:tcPr>
            <w:tcW w:type="dxa" w:w="1008"/>
            <w:vAlign w:val="center"/>
          </w:tcPr>
          <w:p>
            <w:pPr>
              <w:spacing w:after="0" w:before="0" w:line="240" w:lineRule="auto"/>
            </w:pPr>
            <w:r/>
            <w:r>
              <w:rPr>
                <w:rFonts w:ascii="Aptos" w:hAnsi="Aptos"/>
                <w:b w:val="0"/>
                <w:color w:val="111827"/>
                <w:sz w:val="13"/>
              </w:rPr>
              <w:t>P01; P02</w:t>
            </w:r>
          </w:p>
        </w:tc>
      </w:tr>
      <w:tr>
        <w:tc>
          <w:tcPr>
            <w:tcW w:type="dxa" w:w="2880"/>
            <w:vAlign w:val="center"/>
            <w:shd w:fill="F5F7FA"/>
          </w:tcPr>
          <w:p>
            <w:pPr>
              <w:spacing w:after="0" w:before="0" w:line="240" w:lineRule="auto"/>
            </w:pPr>
            <w:r/>
            <w:r>
              <w:rPr>
                <w:rFonts w:ascii="Aptos" w:hAnsi="Aptos"/>
                <w:b/>
                <w:color w:val="111827"/>
                <w:sz w:val="13"/>
              </w:rPr>
              <w:t>Inspection and refurbishment minutes/costs</w:t>
            </w:r>
          </w:p>
        </w:tc>
        <w:tc>
          <w:tcPr>
            <w:tcW w:type="dxa" w:w="1728"/>
            <w:vAlign w:val="center"/>
            <w:shd w:fill="F5F7FA"/>
          </w:tcPr>
          <w:p>
            <w:pPr>
              <w:spacing w:after="0" w:before="0" w:line="240" w:lineRule="auto"/>
            </w:pPr>
            <w:r/>
            <w:r>
              <w:rPr>
                <w:rFonts w:ascii="Aptos" w:hAnsi="Aptos"/>
                <w:b w:val="0"/>
                <w:color w:val="111827"/>
                <w:sz w:val="13"/>
              </w:rPr>
              <w:t>Model assumption/proxy</w:t>
            </w:r>
          </w:p>
        </w:tc>
        <w:tc>
          <w:tcPr>
            <w:tcW w:type="dxa" w:w="1728"/>
            <w:vAlign w:val="center"/>
            <w:shd w:fill="F5F7FA"/>
          </w:tcPr>
          <w:p>
            <w:pPr>
              <w:spacing w:after="0" w:before="0" w:line="240" w:lineRule="auto"/>
            </w:pPr>
            <w:r/>
            <w:r>
              <w:rPr>
                <w:rFonts w:ascii="Aptos" w:hAnsi="Aptos"/>
                <w:b w:val="0"/>
                <w:color w:val="111827"/>
                <w:sz w:val="13"/>
              </w:rPr>
              <w:t>Not disclosed</w:t>
            </w:r>
          </w:p>
        </w:tc>
        <w:tc>
          <w:tcPr>
            <w:tcW w:type="dxa" w:w="1152"/>
            <w:vAlign w:val="center"/>
            <w:shd w:fill="F5F7FA"/>
          </w:tcPr>
          <w:p>
            <w:pPr>
              <w:spacing w:after="0" w:before="0" w:line="240" w:lineRule="auto"/>
            </w:pPr>
            <w:r/>
            <w:r>
              <w:rPr>
                <w:rFonts w:ascii="Aptos" w:hAnsi="Aptos"/>
                <w:b w:val="0"/>
                <w:color w:val="111827"/>
                <w:sz w:val="13"/>
              </w:rPr>
              <w:t>Low</w:t>
            </w:r>
          </w:p>
        </w:tc>
        <w:tc>
          <w:tcPr>
            <w:tcW w:type="dxa" w:w="2592"/>
            <w:vAlign w:val="center"/>
            <w:shd w:fill="F5F7FA"/>
          </w:tcPr>
          <w:p>
            <w:pPr>
              <w:spacing w:after="0" w:before="0" w:line="240" w:lineRule="auto"/>
            </w:pPr>
            <w:r/>
            <w:r>
              <w:rPr>
                <w:rFonts w:ascii="Aptos" w:hAnsi="Aptos"/>
                <w:b w:val="0"/>
                <w:color w:val="111827"/>
                <w:sz w:val="13"/>
              </w:rPr>
              <w:t>H and U</w:t>
            </w:r>
          </w:p>
        </w:tc>
        <w:tc>
          <w:tcPr>
            <w:tcW w:type="dxa" w:w="3024"/>
            <w:vAlign w:val="center"/>
            <w:shd w:fill="F5F7FA"/>
          </w:tcPr>
          <w:p>
            <w:pPr>
              <w:spacing w:after="0" w:before="0" w:line="240" w:lineRule="auto"/>
            </w:pPr>
            <w:r/>
            <w:r>
              <w:rPr>
                <w:rFonts w:ascii="Aptos" w:hAnsi="Aptos"/>
                <w:b w:val="0"/>
                <w:color w:val="111827"/>
                <w:sz w:val="13"/>
              </w:rPr>
              <w:t>Named evidence gap; category operators needed</w:t>
            </w:r>
          </w:p>
        </w:tc>
        <w:tc>
          <w:tcPr>
            <w:tcW w:type="dxa" w:w="1008"/>
            <w:vAlign w:val="center"/>
            <w:shd w:fill="F5F7FA"/>
          </w:tcPr>
          <w:p>
            <w:pPr>
              <w:spacing w:after="0" w:before="0" w:line="240" w:lineRule="auto"/>
            </w:pPr>
            <w:r/>
            <w:r>
              <w:rPr>
                <w:rFonts w:ascii="Aptos" w:hAnsi="Aptos"/>
                <w:b w:val="0"/>
                <w:color w:val="111827"/>
                <w:sz w:val="13"/>
              </w:rPr>
              <w:t>P01</w:t>
            </w:r>
          </w:p>
        </w:tc>
      </w:tr>
      <w:tr>
        <w:tc>
          <w:tcPr>
            <w:tcW w:type="dxa" w:w="2880"/>
            <w:vAlign w:val="center"/>
          </w:tcPr>
          <w:p>
            <w:pPr>
              <w:spacing w:after="0" w:before="0" w:line="240" w:lineRule="auto"/>
            </w:pPr>
            <w:r/>
            <w:r>
              <w:rPr>
                <w:rFonts w:ascii="Aptos" w:hAnsi="Aptos"/>
                <w:b/>
                <w:color w:val="111827"/>
                <w:sz w:val="13"/>
              </w:rPr>
              <w:t>Category-specific confirmed fraud probabilities</w:t>
            </w:r>
          </w:p>
        </w:tc>
        <w:tc>
          <w:tcPr>
            <w:tcW w:type="dxa" w:w="1728"/>
            <w:vAlign w:val="center"/>
          </w:tcPr>
          <w:p>
            <w:pPr>
              <w:spacing w:after="0" w:before="0" w:line="240" w:lineRule="auto"/>
            </w:pPr>
            <w:r/>
            <w:r>
              <w:rPr>
                <w:rFonts w:ascii="Aptos" w:hAnsi="Aptos"/>
                <w:b w:val="0"/>
                <w:color w:val="111827"/>
                <w:sz w:val="13"/>
              </w:rPr>
              <w:t>Model assumption calibrated below broad industry estimates</w:t>
            </w:r>
          </w:p>
        </w:tc>
        <w:tc>
          <w:tcPr>
            <w:tcW w:type="dxa" w:w="1728"/>
            <w:vAlign w:val="center"/>
          </w:tcPr>
          <w:p>
            <w:pPr>
              <w:spacing w:after="0" w:before="0" w:line="240" w:lineRule="auto"/>
            </w:pPr>
            <w:r/>
            <w:r>
              <w:rPr>
                <w:rFonts w:ascii="Aptos" w:hAnsi="Aptos"/>
                <w:b w:val="0"/>
                <w:color w:val="111827"/>
                <w:sz w:val="13"/>
              </w:rPr>
              <w:t>Not disclosed</w:t>
            </w:r>
          </w:p>
        </w:tc>
        <w:tc>
          <w:tcPr>
            <w:tcW w:type="dxa" w:w="1152"/>
            <w:vAlign w:val="center"/>
          </w:tcPr>
          <w:p>
            <w:pPr>
              <w:spacing w:after="0" w:before="0" w:line="240" w:lineRule="auto"/>
            </w:pPr>
            <w:r/>
            <w:r>
              <w:rPr>
                <w:rFonts w:ascii="Aptos" w:hAnsi="Aptos"/>
                <w:b w:val="0"/>
                <w:color w:val="111827"/>
                <w:sz w:val="13"/>
              </w:rPr>
              <w:t>Low-medium</w:t>
            </w:r>
          </w:p>
        </w:tc>
        <w:tc>
          <w:tcPr>
            <w:tcW w:type="dxa" w:w="2592"/>
            <w:vAlign w:val="center"/>
          </w:tcPr>
          <w:p>
            <w:pPr>
              <w:spacing w:after="0" w:before="0" w:line="240" w:lineRule="auto"/>
            </w:pPr>
            <w:r/>
            <w:r>
              <w:rPr>
                <w:rFonts w:ascii="Aptos" w:hAnsi="Aptos"/>
                <w:b w:val="0"/>
                <w:color w:val="111827"/>
                <w:sz w:val="13"/>
              </w:rPr>
              <w:t>Counterfeit/missing Qj and fraud sensitivity</w:t>
            </w:r>
          </w:p>
        </w:tc>
        <w:tc>
          <w:tcPr>
            <w:tcW w:type="dxa" w:w="3024"/>
            <w:vAlign w:val="center"/>
          </w:tcPr>
          <w:p>
            <w:pPr>
              <w:spacing w:after="0" w:before="0" w:line="240" w:lineRule="auto"/>
            </w:pPr>
            <w:r/>
            <w:r>
              <w:rPr>
                <w:rFonts w:ascii="Aptos" w:hAnsi="Aptos"/>
                <w:b w:val="0"/>
                <w:color w:val="111827"/>
                <w:sz w:val="13"/>
              </w:rPr>
              <w:t>Public reports mix fraud, abuse, claims and error</w:t>
            </w:r>
          </w:p>
        </w:tc>
        <w:tc>
          <w:tcPr>
            <w:tcW w:type="dxa" w:w="1008"/>
            <w:vAlign w:val="center"/>
          </w:tcPr>
          <w:p>
            <w:pPr>
              <w:spacing w:after="0" w:before="0" w:line="240" w:lineRule="auto"/>
            </w:pPr>
            <w:r/>
            <w:r>
              <w:rPr>
                <w:rFonts w:ascii="Aptos" w:hAnsi="Aptos"/>
                <w:b w:val="0"/>
                <w:color w:val="111827"/>
                <w:sz w:val="13"/>
              </w:rPr>
              <w:t>S31; P01</w:t>
            </w:r>
          </w:p>
        </w:tc>
      </w:tr>
      <w:tr>
        <w:tc>
          <w:tcPr>
            <w:tcW w:type="dxa" w:w="2880"/>
            <w:vAlign w:val="center"/>
            <w:shd w:fill="F5F7FA"/>
          </w:tcPr>
          <w:p>
            <w:pPr>
              <w:spacing w:after="0" w:before="0" w:line="240" w:lineRule="auto"/>
            </w:pPr>
            <w:r/>
            <w:r>
              <w:rPr>
                <w:rFonts w:ascii="Aptos" w:hAnsi="Aptos"/>
                <w:b/>
                <w:color w:val="111827"/>
                <w:sz w:val="13"/>
              </w:rPr>
              <w:t>Customer-return environmental route shares</w:t>
            </w:r>
          </w:p>
        </w:tc>
        <w:tc>
          <w:tcPr>
            <w:tcW w:type="dxa" w:w="1728"/>
            <w:vAlign w:val="center"/>
            <w:shd w:fill="F5F7FA"/>
          </w:tcPr>
          <w:p>
            <w:pPr>
              <w:spacing w:after="0" w:before="0" w:line="240" w:lineRule="auto"/>
            </w:pPr>
            <w:r/>
            <w:r>
              <w:rPr>
                <w:rFonts w:ascii="Aptos" w:hAnsi="Aptos"/>
                <w:b w:val="0"/>
                <w:color w:val="111827"/>
                <w:sz w:val="13"/>
              </w:rPr>
              <w:t>Corporate claims and operational clues</w:t>
            </w:r>
          </w:p>
        </w:tc>
        <w:tc>
          <w:tcPr>
            <w:tcW w:type="dxa" w:w="1728"/>
            <w:vAlign w:val="center"/>
            <w:shd w:fill="F5F7FA"/>
          </w:tcPr>
          <w:p>
            <w:pPr>
              <w:spacing w:after="0" w:before="0" w:line="240" w:lineRule="auto"/>
            </w:pPr>
            <w:r/>
            <w:r>
              <w:rPr>
                <w:rFonts w:ascii="Aptos" w:hAnsi="Aptos"/>
                <w:b w:val="0"/>
                <w:color w:val="111827"/>
                <w:sz w:val="13"/>
              </w:rPr>
              <w:t>Mostly numerator/program existence</w:t>
            </w:r>
          </w:p>
        </w:tc>
        <w:tc>
          <w:tcPr>
            <w:tcW w:type="dxa" w:w="1152"/>
            <w:vAlign w:val="center"/>
            <w:shd w:fill="F5F7FA"/>
          </w:tcPr>
          <w:p>
            <w:pPr>
              <w:spacing w:after="0" w:before="0" w:line="240" w:lineRule="auto"/>
            </w:pPr>
            <w:r/>
            <w:r>
              <w:rPr>
                <w:rFonts w:ascii="Aptos" w:hAnsi="Aptos"/>
                <w:b w:val="0"/>
                <w:color w:val="111827"/>
                <w:sz w:val="13"/>
              </w:rPr>
              <w:t>Low</w:t>
            </w:r>
          </w:p>
        </w:tc>
        <w:tc>
          <w:tcPr>
            <w:tcW w:type="dxa" w:w="2592"/>
            <w:vAlign w:val="center"/>
            <w:shd w:fill="F5F7FA"/>
          </w:tcPr>
          <w:p>
            <w:pPr>
              <w:spacing w:after="0" w:before="0" w:line="240" w:lineRule="auto"/>
            </w:pPr>
            <w:r/>
            <w:r>
              <w:rPr>
                <w:rFonts w:ascii="Aptos" w:hAnsi="Aptos"/>
                <w:b w:val="0"/>
                <w:color w:val="111827"/>
                <w:sz w:val="13"/>
              </w:rPr>
              <w:t>Qualitative audit only</w:t>
            </w:r>
          </w:p>
        </w:tc>
        <w:tc>
          <w:tcPr>
            <w:tcW w:type="dxa" w:w="3024"/>
            <w:vAlign w:val="center"/>
            <w:shd w:fill="F5F7FA"/>
          </w:tcPr>
          <w:p>
            <w:pPr>
              <w:spacing w:after="0" w:before="0" w:line="240" w:lineRule="auto"/>
            </w:pPr>
            <w:r/>
            <w:r>
              <w:rPr>
                <w:rFonts w:ascii="Aptos" w:hAnsi="Aptos"/>
                <w:b w:val="0"/>
                <w:color w:val="111827"/>
                <w:sz w:val="13"/>
              </w:rPr>
              <w:t>Missing denominators and final downstream endpoint</w:t>
            </w:r>
          </w:p>
        </w:tc>
        <w:tc>
          <w:tcPr>
            <w:tcW w:type="dxa" w:w="1008"/>
            <w:vAlign w:val="center"/>
            <w:shd w:fill="F5F7FA"/>
          </w:tcPr>
          <w:p>
            <w:pPr>
              <w:spacing w:after="0" w:before="0" w:line="240" w:lineRule="auto"/>
            </w:pPr>
            <w:r/>
            <w:r>
              <w:rPr>
                <w:rFonts w:ascii="Aptos" w:hAnsi="Aptos"/>
                <w:b w:val="0"/>
                <w:color w:val="111827"/>
                <w:sz w:val="13"/>
              </w:rPr>
              <w:t>S04; S08; S30; P01</w:t>
            </w:r>
          </w:p>
        </w:tc>
      </w:tr>
      <w:tr>
        <w:tc>
          <w:tcPr>
            <w:tcW w:type="dxa" w:w="2880"/>
            <w:vAlign w:val="center"/>
          </w:tcPr>
          <w:p>
            <w:pPr>
              <w:spacing w:after="0" w:before="0" w:line="240" w:lineRule="auto"/>
            </w:pPr>
            <w:r/>
            <w:r>
              <w:rPr>
                <w:rFonts w:ascii="Aptos" w:hAnsi="Aptos"/>
                <w:b/>
                <w:color w:val="111827"/>
                <w:sz w:val="13"/>
              </w:rPr>
              <w:t>Marketplace title and exact loss allocation at each processing stage</w:t>
            </w:r>
          </w:p>
        </w:tc>
        <w:tc>
          <w:tcPr>
            <w:tcW w:type="dxa" w:w="1728"/>
            <w:vAlign w:val="center"/>
          </w:tcPr>
          <w:p>
            <w:pPr>
              <w:spacing w:after="0" w:before="0" w:line="240" w:lineRule="auto"/>
            </w:pPr>
            <w:r/>
            <w:r>
              <w:rPr>
                <w:rFonts w:ascii="Aptos" w:hAnsi="Aptos"/>
                <w:b w:val="0"/>
                <w:color w:val="111827"/>
                <w:sz w:val="13"/>
              </w:rPr>
              <w:t>Policies and program rules</w:t>
            </w:r>
          </w:p>
        </w:tc>
        <w:tc>
          <w:tcPr>
            <w:tcW w:type="dxa" w:w="1728"/>
            <w:vAlign w:val="center"/>
          </w:tcPr>
          <w:p>
            <w:pPr>
              <w:spacing w:after="0" w:before="0" w:line="240" w:lineRule="auto"/>
            </w:pPr>
            <w:r/>
            <w:r>
              <w:rPr>
                <w:rFonts w:ascii="Aptos" w:hAnsi="Aptos"/>
                <w:b w:val="0"/>
                <w:color w:val="111827"/>
                <w:sz w:val="13"/>
              </w:rPr>
              <w:t>Partly inferential</w:t>
            </w:r>
          </w:p>
        </w:tc>
        <w:tc>
          <w:tcPr>
            <w:tcW w:type="dxa" w:w="1152"/>
            <w:vAlign w:val="center"/>
          </w:tcPr>
          <w:p>
            <w:pPr>
              <w:spacing w:after="0" w:before="0" w:line="240" w:lineRule="auto"/>
            </w:pPr>
            <w:r/>
            <w:r>
              <w:rPr>
                <w:rFonts w:ascii="Aptos" w:hAnsi="Aptos"/>
                <w:b w:val="0"/>
                <w:color w:val="111827"/>
                <w:sz w:val="13"/>
              </w:rPr>
              <w:t>Medium-low</w:t>
            </w:r>
          </w:p>
        </w:tc>
        <w:tc>
          <w:tcPr>
            <w:tcW w:type="dxa" w:w="2592"/>
            <w:vAlign w:val="center"/>
          </w:tcPr>
          <w:p>
            <w:pPr>
              <w:spacing w:after="0" w:before="0" w:line="240" w:lineRule="auto"/>
            </w:pPr>
            <w:r/>
            <w:r>
              <w:rPr>
                <w:rFonts w:ascii="Aptos" w:hAnsi="Aptos"/>
                <w:b w:val="0"/>
                <w:color w:val="111827"/>
                <w:sz w:val="13"/>
              </w:rPr>
              <w:t>Ownership/loss-allocation table</w:t>
            </w:r>
          </w:p>
        </w:tc>
        <w:tc>
          <w:tcPr>
            <w:tcW w:type="dxa" w:w="3024"/>
            <w:vAlign w:val="center"/>
          </w:tcPr>
          <w:p>
            <w:pPr>
              <w:spacing w:after="0" w:before="0" w:line="240" w:lineRule="auto"/>
            </w:pPr>
            <w:r/>
            <w:r>
              <w:rPr>
                <w:rFonts w:ascii="Aptos" w:hAnsi="Aptos"/>
                <w:b w:val="0"/>
                <w:color w:val="111827"/>
                <w:sz w:val="13"/>
              </w:rPr>
              <w:t>Private contracts and settlement rules not supplied</w:t>
            </w:r>
          </w:p>
        </w:tc>
        <w:tc>
          <w:tcPr>
            <w:tcW w:type="dxa" w:w="1008"/>
            <w:vAlign w:val="center"/>
          </w:tcPr>
          <w:p>
            <w:pPr>
              <w:spacing w:after="0" w:before="0" w:line="240" w:lineRule="auto"/>
            </w:pPr>
            <w:r/>
            <w:r>
              <w:rPr>
                <w:rFonts w:ascii="Aptos" w:hAnsi="Aptos"/>
                <w:b w:val="0"/>
                <w:color w:val="111827"/>
                <w:sz w:val="13"/>
              </w:rPr>
              <w:t>S02; S05-S07; S21; P01</w:t>
            </w:r>
          </w:p>
        </w:tc>
      </w:tr>
    </w:tbl>
    <w:p>
      <w:pPr>
        <w:spacing w:after="0"/>
      </w:pPr>
    </w:p>
    <w:p>
      <w:pPr>
        <w:pStyle w:val="Caption"/>
        <w:jc w:val="left"/>
      </w:pPr>
      <w:r>
        <w:rPr>
          <w:b/>
        </w:rPr>
        <w:t>Exhibit 14. Evidence-confidence table</w:t>
      </w:r>
      <w:r>
        <w:rPr>
          <w:i/>
          <w:color w:val="6B7280"/>
        </w:rPr>
        <w:t xml:space="preserve">  Source: Source Ledger</w:t>
      </w:r>
    </w:p>
    <w:p>
      <w:pPr>
        <w:sectPr>
          <w:pgSz w:w="15840" w:h="12240" w:orient="landscape"/>
          <w:pgMar w:top="792" w:right="792" w:bottom="792" w:left="792" w:header="720" w:footer="720" w:gutter="0"/>
          <w:cols w:space="720"/>
          <w:docGrid w:linePitch="360"/>
        </w:sectPr>
      </w:pPr>
    </w:p>
    <w:p>
      <w:pPr>
        <w:pStyle w:val="Heading1"/>
      </w:pPr>
      <w:r>
        <w:t>Assumption register</w:t>
      </w:r>
    </w:p>
    <w:p>
      <w:r>
        <w:rPr>
          <w:b/>
        </w:rPr>
        <w:t xml:space="preserve">All entries below are model inputs, not company disclosures, unless the classification says otherwise. </w:t>
      </w:r>
      <w:r>
        <w:t>Low and high mean favorable and adverse bounds only where the row’s direction is obvious; percentage discounts use the literal low/base/high value shown.</w:t>
      </w:r>
    </w:p>
    <w:tbl>
      <w:tblPr>
        <w:tblStyle w:val="TableGrid"/>
        <w:tblW w:type="auto" w:w="0"/>
        <w:jc w:val="center"/>
        <w:tblLayout w:type="fixed"/>
        <w:tblLook w:firstColumn="1" w:firstRow="1" w:lastColumn="0" w:lastRow="0" w:noHBand="0" w:noVBand="1" w:val="04A0"/>
      </w:tblPr>
      <w:tblGrid>
        <w:gridCol w:w="1066"/>
        <w:gridCol w:w="1066"/>
        <w:gridCol w:w="1066"/>
        <w:gridCol w:w="1066"/>
        <w:gridCol w:w="1066"/>
        <w:gridCol w:w="1066"/>
        <w:gridCol w:w="1066"/>
        <w:gridCol w:w="1066"/>
        <w:gridCol w:w="1066"/>
        <w:gridCol w:w="1066"/>
      </w:tblGrid>
      <w:tr>
        <w:trPr>
          <w:tblHeader w:val="true"/>
        </w:trPr>
        <w:tc>
          <w:tcPr>
            <w:tcW w:type="dxa" w:w="1728"/>
            <w:vAlign w:val="center"/>
            <w:shd w:fill="17324D"/>
            <w:tcBorders>
              <w:bottom w:val="single" w:sz="8" w:color="FFFFFF"/>
            </w:tcBorders>
          </w:tcPr>
          <w:p>
            <w:pPr>
              <w:spacing w:after="0" w:before="0" w:line="240" w:lineRule="auto"/>
              <w:jc w:val="left"/>
            </w:pPr>
            <w:r/>
            <w:r>
              <w:rPr>
                <w:rFonts w:ascii="Aptos" w:hAnsi="Aptos"/>
                <w:b/>
                <w:color w:val="FFFFFF"/>
                <w:sz w:val="11"/>
              </w:rPr>
              <w:t>Assumption</w:t>
            </w:r>
          </w:p>
        </w:tc>
        <w:tc>
          <w:tcPr>
            <w:tcW w:type="dxa" w:w="2088"/>
            <w:vAlign w:val="center"/>
            <w:shd w:fill="17324D"/>
            <w:tcBorders>
              <w:bottom w:val="single" w:sz="8" w:color="FFFFFF"/>
            </w:tcBorders>
          </w:tcPr>
          <w:p>
            <w:pPr>
              <w:spacing w:after="0" w:before="0" w:line="240" w:lineRule="auto"/>
              <w:jc w:val="left"/>
            </w:pPr>
            <w:r/>
            <w:r>
              <w:rPr>
                <w:rFonts w:ascii="Aptos" w:hAnsi="Aptos"/>
                <w:b/>
                <w:color w:val="FFFFFF"/>
                <w:sz w:val="11"/>
              </w:rPr>
              <w:t>Scope</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1"/>
              </w:rPr>
              <w:t>Low</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1"/>
              </w:rPr>
              <w:t>Base</w:t>
            </w:r>
          </w:p>
        </w:tc>
        <w:tc>
          <w:tcPr>
            <w:tcW w:type="dxa" w:w="936"/>
            <w:vAlign w:val="center"/>
            <w:shd w:fill="17324D"/>
            <w:tcBorders>
              <w:bottom w:val="single" w:sz="8" w:color="FFFFFF"/>
            </w:tcBorders>
          </w:tcPr>
          <w:p>
            <w:pPr>
              <w:spacing w:after="0" w:before="0" w:line="240" w:lineRule="auto"/>
              <w:jc w:val="left"/>
            </w:pPr>
            <w:r/>
            <w:r>
              <w:rPr>
                <w:rFonts w:ascii="Aptos" w:hAnsi="Aptos"/>
                <w:b/>
                <w:color w:val="FFFFFF"/>
                <w:sz w:val="11"/>
              </w:rPr>
              <w:t>High</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1"/>
              </w:rPr>
              <w:t>Units</w:t>
            </w:r>
          </w:p>
        </w:tc>
        <w:tc>
          <w:tcPr>
            <w:tcW w:type="dxa" w:w="1224"/>
            <w:vAlign w:val="center"/>
            <w:shd w:fill="17324D"/>
            <w:tcBorders>
              <w:bottom w:val="single" w:sz="8" w:color="FFFFFF"/>
            </w:tcBorders>
          </w:tcPr>
          <w:p>
            <w:pPr>
              <w:spacing w:after="0" w:before="0" w:line="240" w:lineRule="auto"/>
              <w:jc w:val="left"/>
            </w:pPr>
            <w:r/>
            <w:r>
              <w:rPr>
                <w:rFonts w:ascii="Aptos" w:hAnsi="Aptos"/>
                <w:b/>
                <w:color w:val="FFFFFF"/>
                <w:sz w:val="11"/>
              </w:rPr>
              <w:t>Classification</w:t>
            </w:r>
          </w:p>
        </w:tc>
        <w:tc>
          <w:tcPr>
            <w:tcW w:type="dxa" w:w="3096"/>
            <w:vAlign w:val="center"/>
            <w:shd w:fill="17324D"/>
            <w:tcBorders>
              <w:bottom w:val="single" w:sz="8" w:color="FFFFFF"/>
            </w:tcBorders>
          </w:tcPr>
          <w:p>
            <w:pPr>
              <w:spacing w:after="0" w:before="0" w:line="240" w:lineRule="auto"/>
              <w:jc w:val="left"/>
            </w:pPr>
            <w:r/>
            <w:r>
              <w:rPr>
                <w:rFonts w:ascii="Aptos" w:hAnsi="Aptos"/>
                <w:b/>
                <w:color w:val="FFFFFF"/>
                <w:sz w:val="11"/>
              </w:rPr>
              <w:t>Justification</w:t>
            </w:r>
          </w:p>
        </w:tc>
        <w:tc>
          <w:tcPr>
            <w:tcW w:type="dxa" w:w="3024"/>
            <w:vAlign w:val="center"/>
            <w:shd w:fill="17324D"/>
            <w:tcBorders>
              <w:bottom w:val="single" w:sz="8" w:color="FFFFFF"/>
            </w:tcBorders>
          </w:tcPr>
          <w:p>
            <w:pPr>
              <w:spacing w:after="0" w:before="0" w:line="240" w:lineRule="auto"/>
              <w:jc w:val="left"/>
            </w:pPr>
            <w:r/>
            <w:r>
              <w:rPr>
                <w:rFonts w:ascii="Aptos" w:hAnsi="Aptos"/>
                <w:b/>
                <w:color w:val="FFFFFF"/>
                <w:sz w:val="11"/>
              </w:rPr>
              <w:t>Effect</w:t>
            </w:r>
          </w:p>
        </w:tc>
        <w:tc>
          <w:tcPr>
            <w:tcW w:type="dxa" w:w="1008"/>
            <w:vAlign w:val="center"/>
            <w:shd w:fill="17324D"/>
            <w:tcBorders>
              <w:bottom w:val="single" w:sz="8" w:color="FFFFFF"/>
            </w:tcBorders>
          </w:tcPr>
          <w:p>
            <w:pPr>
              <w:spacing w:after="0" w:before="0" w:line="240" w:lineRule="auto"/>
              <w:jc w:val="left"/>
            </w:pPr>
            <w:r/>
            <w:r>
              <w:rPr>
                <w:rFonts w:ascii="Aptos" w:hAnsi="Aptos"/>
                <w:b/>
                <w:color w:val="FFFFFF"/>
                <w:sz w:val="11"/>
              </w:rPr>
              <w:t>Sources</w:t>
            </w:r>
          </w:p>
        </w:tc>
      </w:tr>
      <w:tr>
        <w:tc>
          <w:tcPr>
            <w:tcW w:type="dxa" w:w="1728"/>
            <w:vAlign w:val="center"/>
          </w:tcPr>
          <w:p>
            <w:pPr>
              <w:spacing w:after="0" w:before="0" w:line="240" w:lineRule="auto"/>
            </w:pPr>
            <w:r/>
            <w:r>
              <w:rPr>
                <w:rFonts w:ascii="Aptos" w:hAnsi="Aptos"/>
                <w:b/>
                <w:color w:val="111827"/>
                <w:sz w:val="11"/>
              </w:rPr>
              <w:t>Annual cost of capital (k)</w:t>
            </w:r>
          </w:p>
        </w:tc>
        <w:tc>
          <w:tcPr>
            <w:tcW w:type="dxa" w:w="2088"/>
            <w:vAlign w:val="center"/>
          </w:tcPr>
          <w:p>
            <w:pPr>
              <w:spacing w:after="0" w:before="0" w:line="240" w:lineRule="auto"/>
            </w:pPr>
            <w:r/>
            <w:r>
              <w:rPr>
                <w:rFonts w:ascii="Aptos" w:hAnsi="Aptos"/>
                <w:b w:val="0"/>
                <w:color w:val="111827"/>
                <w:sz w:val="11"/>
              </w:rPr>
              <w:t>All products</w:t>
            </w:r>
          </w:p>
        </w:tc>
        <w:tc>
          <w:tcPr>
            <w:tcW w:type="dxa" w:w="936"/>
            <w:vAlign w:val="center"/>
          </w:tcPr>
          <w:p>
            <w:pPr>
              <w:spacing w:after="0" w:before="0" w:line="240" w:lineRule="auto"/>
            </w:pPr>
            <w:r/>
            <w:r>
              <w:rPr>
                <w:rFonts w:ascii="Aptos" w:hAnsi="Aptos"/>
                <w:b w:val="0"/>
                <w:color w:val="111827"/>
                <w:sz w:val="11"/>
              </w:rPr>
              <w:t>8.0%</w:t>
            </w:r>
          </w:p>
        </w:tc>
        <w:tc>
          <w:tcPr>
            <w:tcW w:type="dxa" w:w="1008"/>
            <w:vAlign w:val="center"/>
          </w:tcPr>
          <w:p>
            <w:pPr>
              <w:spacing w:after="0" w:before="0" w:line="240" w:lineRule="auto"/>
            </w:pPr>
            <w:r/>
            <w:r>
              <w:rPr>
                <w:rFonts w:ascii="Aptos" w:hAnsi="Aptos"/>
                <w:b w:val="0"/>
                <w:color w:val="111827"/>
                <w:sz w:val="11"/>
              </w:rPr>
              <w:t>12.0%</w:t>
            </w:r>
          </w:p>
        </w:tc>
        <w:tc>
          <w:tcPr>
            <w:tcW w:type="dxa" w:w="936"/>
            <w:vAlign w:val="center"/>
          </w:tcPr>
          <w:p>
            <w:pPr>
              <w:spacing w:after="0" w:before="0" w:line="240" w:lineRule="auto"/>
            </w:pPr>
            <w:r/>
            <w:r>
              <w:rPr>
                <w:rFonts w:ascii="Aptos" w:hAnsi="Aptos"/>
                <w:b w:val="0"/>
                <w:color w:val="111827"/>
                <w:sz w:val="11"/>
              </w:rPr>
              <w:t>18.0%</w:t>
            </w:r>
          </w:p>
        </w:tc>
        <w:tc>
          <w:tcPr>
            <w:tcW w:type="dxa" w:w="1008"/>
            <w:vAlign w:val="center"/>
          </w:tcPr>
          <w:p>
            <w:pPr>
              <w:spacing w:after="0" w:before="0" w:line="240" w:lineRule="auto"/>
            </w:pPr>
            <w:r/>
            <w:r>
              <w:rPr>
                <w:rFonts w:ascii="Aptos" w:hAnsi="Aptos"/>
                <w:b w:val="0"/>
                <w:color w:val="111827"/>
                <w:sz w:val="11"/>
              </w:rPr>
              <w:t>% per year</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Discount delayed recovery; public package does not disclose product-level hurdle rates.</w:t>
            </w:r>
          </w:p>
        </w:tc>
        <w:tc>
          <w:tcPr>
            <w:tcW w:type="dxa" w:w="3024"/>
            <w:vAlign w:val="center"/>
          </w:tcPr>
          <w:p>
            <w:pPr>
              <w:spacing w:after="0" w:before="0" w:line="240" w:lineRule="auto"/>
            </w:pPr>
            <w:r/>
            <w:r>
              <w:rPr>
                <w:rFonts w:ascii="Aptos" w:hAnsi="Aptos"/>
                <w:b w:val="0"/>
                <w:color w:val="111827"/>
                <w:sz w:val="11"/>
              </w:rPr>
              <w:t>Higher k reduces long-dated recovery, especially refurbishment and furniture.</w:t>
            </w:r>
          </w:p>
        </w:tc>
        <w:tc>
          <w:tcPr>
            <w:tcW w:type="dxa" w:w="1008"/>
            <w:vAlign w:val="center"/>
          </w:tcPr>
          <w:p>
            <w:pPr>
              <w:spacing w:after="0" w:before="0" w:line="240" w:lineRule="auto"/>
            </w:pPr>
            <w:r/>
            <w:r>
              <w:rPr>
                <w:rFonts w:ascii="Aptos" w:hAnsi="Aptos"/>
                <w:b w:val="0"/>
                <w:color w:val="111827"/>
                <w:sz w:val="11"/>
              </w:rPr>
              <w:t>P01</w:t>
            </w:r>
          </w:p>
        </w:tc>
      </w:tr>
      <w:tr>
        <w:tc>
          <w:tcPr>
            <w:tcW w:type="dxa" w:w="1728"/>
            <w:vAlign w:val="center"/>
            <w:shd w:fill="F5F7FA"/>
          </w:tcPr>
          <w:p>
            <w:pPr>
              <w:spacing w:after="0" w:before="0" w:line="240" w:lineRule="auto"/>
            </w:pPr>
            <w:r/>
            <w:r>
              <w:rPr>
                <w:rFonts w:ascii="Aptos" w:hAnsi="Aptos"/>
                <w:b/>
                <w:color w:val="111827"/>
                <w:sz w:val="11"/>
              </w:rPr>
              <w:t>Negotiated freight discount vs list/proxy</w:t>
            </w:r>
          </w:p>
        </w:tc>
        <w:tc>
          <w:tcPr>
            <w:tcW w:type="dxa" w:w="2088"/>
            <w:vAlign w:val="center"/>
            <w:shd w:fill="F5F7FA"/>
          </w:tcPr>
          <w:p>
            <w:pPr>
              <w:spacing w:after="0" w:before="0" w:line="240" w:lineRule="auto"/>
            </w:pPr>
            <w:r/>
            <w:r>
              <w:rPr>
                <w:rFonts w:ascii="Aptos" w:hAnsi="Aptos"/>
                <w:b w:val="0"/>
                <w:color w:val="111827"/>
                <w:sz w:val="11"/>
              </w:rPr>
              <w:t>Discountable parcel/oversize routes</w:t>
            </w:r>
          </w:p>
        </w:tc>
        <w:tc>
          <w:tcPr>
            <w:tcW w:type="dxa" w:w="936"/>
            <w:vAlign w:val="center"/>
            <w:shd w:fill="F5F7FA"/>
          </w:tcPr>
          <w:p>
            <w:pPr>
              <w:spacing w:after="0" w:before="0" w:line="240" w:lineRule="auto"/>
            </w:pPr>
            <w:r/>
            <w:r>
              <w:rPr>
                <w:rFonts w:ascii="Aptos" w:hAnsi="Aptos"/>
                <w:b w:val="0"/>
                <w:color w:val="111827"/>
                <w:sz w:val="11"/>
              </w:rPr>
              <w:t>20.0%</w:t>
            </w:r>
          </w:p>
        </w:tc>
        <w:tc>
          <w:tcPr>
            <w:tcW w:type="dxa" w:w="1008"/>
            <w:vAlign w:val="center"/>
            <w:shd w:fill="F5F7FA"/>
          </w:tcPr>
          <w:p>
            <w:pPr>
              <w:spacing w:after="0" w:before="0" w:line="240" w:lineRule="auto"/>
            </w:pPr>
            <w:r/>
            <w:r>
              <w:rPr>
                <w:rFonts w:ascii="Aptos" w:hAnsi="Aptos"/>
                <w:b w:val="0"/>
                <w:color w:val="111827"/>
                <w:sz w:val="11"/>
              </w:rPr>
              <w:t>40.0%</w:t>
            </w:r>
          </w:p>
        </w:tc>
        <w:tc>
          <w:tcPr>
            <w:tcW w:type="dxa" w:w="936"/>
            <w:vAlign w:val="center"/>
            <w:shd w:fill="F5F7FA"/>
          </w:tcPr>
          <w:p>
            <w:pPr>
              <w:spacing w:after="0" w:before="0" w:line="240" w:lineRule="auto"/>
            </w:pPr>
            <w:r/>
            <w:r>
              <w:rPr>
                <w:rFonts w:ascii="Aptos" w:hAnsi="Aptos"/>
                <w:b w:val="0"/>
                <w:color w:val="111827"/>
                <w:sz w:val="11"/>
              </w:rPr>
              <w:t>60.0%</w:t>
            </w:r>
          </w:p>
        </w:tc>
        <w:tc>
          <w:tcPr>
            <w:tcW w:type="dxa" w:w="1008"/>
            <w:vAlign w:val="center"/>
            <w:shd w:fill="F5F7FA"/>
          </w:tcPr>
          <w:p>
            <w:pPr>
              <w:spacing w:after="0" w:before="0" w:line="240" w:lineRule="auto"/>
            </w:pPr>
            <w:r/>
            <w:r>
              <w:rPr>
                <w:rFonts w:ascii="Aptos" w:hAnsi="Aptos"/>
                <w:b w:val="0"/>
                <w:color w:val="111827"/>
                <w:sz w:val="11"/>
              </w:rPr>
              <w:t>% discount</w:t>
            </w:r>
          </w:p>
        </w:tc>
        <w:tc>
          <w:tcPr>
            <w:tcW w:type="dxa" w:w="1224"/>
            <w:vAlign w:val="center"/>
            <w:shd w:fill="F5F7FA"/>
          </w:tcPr>
          <w:p>
            <w:pPr>
              <w:spacing w:after="0" w:before="0" w:line="240" w:lineRule="auto"/>
            </w:pPr>
            <w:r/>
            <w:r>
              <w:rPr>
                <w:rFonts w:ascii="Aptos" w:hAnsi="Aptos"/>
                <w:b w:val="0"/>
                <w:color w:val="111827"/>
                <w:sz w:val="11"/>
              </w:rPr>
              <w:t>Assumption/proxy</w:t>
            </w:r>
          </w:p>
        </w:tc>
        <w:tc>
          <w:tcPr>
            <w:tcW w:type="dxa" w:w="3096"/>
            <w:vAlign w:val="center"/>
            <w:shd w:fill="F5F7FA"/>
          </w:tcPr>
          <w:p>
            <w:pPr>
              <w:spacing w:after="0" w:before="0" w:line="240" w:lineRule="auto"/>
            </w:pPr>
            <w:r/>
            <w:r>
              <w:rPr>
                <w:rFonts w:ascii="Aptos" w:hAnsi="Aptos"/>
                <w:b w:val="0"/>
                <w:color w:val="111827"/>
                <w:sz w:val="11"/>
              </w:rPr>
              <w:t>Carrier list rates are public but large-merchant realized rates are not.</w:t>
            </w:r>
          </w:p>
        </w:tc>
        <w:tc>
          <w:tcPr>
            <w:tcW w:type="dxa" w:w="3024"/>
            <w:vAlign w:val="center"/>
            <w:shd w:fill="F5F7FA"/>
          </w:tcPr>
          <w:p>
            <w:pPr>
              <w:spacing w:after="0" w:before="0" w:line="240" w:lineRule="auto"/>
            </w:pPr>
            <w:r/>
            <w:r>
              <w:rPr>
                <w:rFonts w:ascii="Aptos" w:hAnsi="Aptos"/>
                <w:b w:val="0"/>
                <w:color w:val="111827"/>
                <w:sz w:val="11"/>
              </w:rPr>
              <w:t>Higher discount lowers reverse freight; effect is largest for low-value bulky goods.</w:t>
            </w:r>
          </w:p>
        </w:tc>
        <w:tc>
          <w:tcPr>
            <w:tcW w:type="dxa" w:w="1008"/>
            <w:vAlign w:val="center"/>
            <w:shd w:fill="F5F7FA"/>
          </w:tcPr>
          <w:p>
            <w:pPr>
              <w:spacing w:after="0" w:before="0" w:line="240" w:lineRule="auto"/>
            </w:pPr>
            <w:r/>
            <w:r>
              <w:rPr>
                <w:rFonts w:ascii="Aptos" w:hAnsi="Aptos"/>
                <w:b w:val="0"/>
                <w:color w:val="111827"/>
                <w:sz w:val="11"/>
              </w:rPr>
              <w:t>S21-S26; P01</w:t>
            </w:r>
          </w:p>
        </w:tc>
      </w:tr>
      <w:tr>
        <w:tc>
          <w:tcPr>
            <w:tcW w:type="dxa" w:w="1728"/>
            <w:vAlign w:val="center"/>
          </w:tcPr>
          <w:p>
            <w:pPr>
              <w:spacing w:after="0" w:before="0" w:line="240" w:lineRule="auto"/>
            </w:pPr>
            <w:r/>
            <w:r>
              <w:rPr>
                <w:rFonts w:ascii="Aptos" w:hAnsi="Aptos"/>
                <w:b/>
                <w:color w:val="111827"/>
                <w:sz w:val="11"/>
              </w:rPr>
              <w:t>Payment/transaction cost</w:t>
            </w:r>
          </w:p>
        </w:tc>
        <w:tc>
          <w:tcPr>
            <w:tcW w:type="dxa" w:w="2088"/>
            <w:vAlign w:val="center"/>
          </w:tcPr>
          <w:p>
            <w:pPr>
              <w:spacing w:after="0" w:before="0" w:line="240" w:lineRule="auto"/>
            </w:pPr>
            <w:r/>
            <w:r>
              <w:rPr>
                <w:rFonts w:ascii="Aptos" w:hAnsi="Aptos"/>
                <w:b w:val="0"/>
                <w:color w:val="111827"/>
                <w:sz w:val="11"/>
              </w:rPr>
              <w:t>Original sale</w:t>
            </w:r>
          </w:p>
        </w:tc>
        <w:tc>
          <w:tcPr>
            <w:tcW w:type="dxa" w:w="936"/>
            <w:vAlign w:val="center"/>
          </w:tcPr>
          <w:p>
            <w:pPr>
              <w:spacing w:after="0" w:before="0" w:line="240" w:lineRule="auto"/>
            </w:pPr>
            <w:r/>
            <w:r>
              <w:rPr>
                <w:rFonts w:ascii="Aptos" w:hAnsi="Aptos"/>
                <w:b w:val="0"/>
                <w:color w:val="111827"/>
                <w:sz w:val="11"/>
              </w:rPr>
              <w:t>2.2% + $0.20</w:t>
            </w:r>
          </w:p>
        </w:tc>
        <w:tc>
          <w:tcPr>
            <w:tcW w:type="dxa" w:w="1008"/>
            <w:vAlign w:val="center"/>
          </w:tcPr>
          <w:p>
            <w:pPr>
              <w:spacing w:after="0" w:before="0" w:line="240" w:lineRule="auto"/>
            </w:pPr>
            <w:r/>
            <w:r>
              <w:rPr>
                <w:rFonts w:ascii="Aptos" w:hAnsi="Aptos"/>
                <w:b w:val="0"/>
                <w:color w:val="111827"/>
                <w:sz w:val="11"/>
              </w:rPr>
              <w:t>2.5% + $0.30 rounded</w:t>
            </w:r>
          </w:p>
        </w:tc>
        <w:tc>
          <w:tcPr>
            <w:tcW w:type="dxa" w:w="936"/>
            <w:vAlign w:val="center"/>
          </w:tcPr>
          <w:p>
            <w:pPr>
              <w:spacing w:after="0" w:before="0" w:line="240" w:lineRule="auto"/>
            </w:pPr>
            <w:r/>
            <w:r>
              <w:rPr>
                <w:rFonts w:ascii="Aptos" w:hAnsi="Aptos"/>
                <w:b w:val="0"/>
                <w:color w:val="111827"/>
                <w:sz w:val="11"/>
              </w:rPr>
              <w:t>3.2% + $0.30</w:t>
            </w:r>
          </w:p>
        </w:tc>
        <w:tc>
          <w:tcPr>
            <w:tcW w:type="dxa" w:w="1008"/>
            <w:vAlign w:val="center"/>
          </w:tcPr>
          <w:p>
            <w:pPr>
              <w:spacing w:after="0" w:before="0" w:line="240" w:lineRule="auto"/>
            </w:pPr>
            <w:r/>
            <w:r>
              <w:rPr>
                <w:rFonts w:ascii="Aptos" w:hAnsi="Aptos"/>
                <w:b w:val="0"/>
                <w:color w:val="111827"/>
                <w:sz w:val="11"/>
              </w:rPr>
              <w:t>$/order</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Evidence package does not provide merchant-specific payment economics.</w:t>
            </w:r>
          </w:p>
        </w:tc>
        <w:tc>
          <w:tcPr>
            <w:tcW w:type="dxa" w:w="3024"/>
            <w:vAlign w:val="center"/>
          </w:tcPr>
          <w:p>
            <w:pPr>
              <w:spacing w:after="0" w:before="0" w:line="240" w:lineRule="auto"/>
            </w:pPr>
            <w:r/>
            <w:r>
              <w:rPr>
                <w:rFonts w:ascii="Aptos" w:hAnsi="Aptos"/>
                <w:b w:val="0"/>
                <w:color w:val="111827"/>
                <w:sz w:val="11"/>
              </w:rPr>
              <w:t>Changes kept and post-return contribution equally; cancels from return-tax dollars under the specified formula.</w:t>
            </w:r>
          </w:p>
        </w:tc>
        <w:tc>
          <w:tcPr>
            <w:tcW w:type="dxa" w:w="1008"/>
            <w:vAlign w:val="center"/>
          </w:tcPr>
          <w:p>
            <w:pPr>
              <w:spacing w:after="0" w:before="0" w:line="240" w:lineRule="auto"/>
            </w:pPr>
            <w:r/>
            <w:r>
              <w:rPr>
                <w:rFonts w:ascii="Aptos" w:hAnsi="Aptos"/>
                <w:b w:val="0"/>
                <w:color w:val="111827"/>
                <w:sz w:val="11"/>
              </w:rPr>
              <w:t>P01</w:t>
            </w:r>
          </w:p>
        </w:tc>
      </w:tr>
      <w:tr>
        <w:tc>
          <w:tcPr>
            <w:tcW w:type="dxa" w:w="1728"/>
            <w:vAlign w:val="center"/>
            <w:shd w:fill="F5F7FA"/>
          </w:tcPr>
          <w:p>
            <w:pPr>
              <w:spacing w:after="0" w:before="0" w:line="240" w:lineRule="auto"/>
            </w:pPr>
            <w:r/>
            <w:r>
              <w:rPr>
                <w:rFonts w:ascii="Aptos" w:hAnsi="Aptos"/>
                <w:b/>
                <w:color w:val="111827"/>
                <w:sz w:val="11"/>
              </w:rPr>
              <w:t>Secondary-market seller fee</w:t>
            </w:r>
          </w:p>
        </w:tc>
        <w:tc>
          <w:tcPr>
            <w:tcW w:type="dxa" w:w="2088"/>
            <w:vAlign w:val="center"/>
            <w:shd w:fill="F5F7FA"/>
          </w:tcPr>
          <w:p>
            <w:pPr>
              <w:spacing w:after="0" w:before="0" w:line="240" w:lineRule="auto"/>
            </w:pPr>
            <w:r/>
            <w:r>
              <w:rPr>
                <w:rFonts w:ascii="Aptos" w:hAnsi="Aptos"/>
                <w:b w:val="0"/>
                <w:color w:val="111827"/>
                <w:sz w:val="11"/>
              </w:rPr>
              <w:t>Open-box/refurbished resale</w:t>
            </w:r>
          </w:p>
        </w:tc>
        <w:tc>
          <w:tcPr>
            <w:tcW w:type="dxa" w:w="936"/>
            <w:vAlign w:val="center"/>
            <w:shd w:fill="F5F7FA"/>
          </w:tcPr>
          <w:p>
            <w:pPr>
              <w:spacing w:after="0" w:before="0" w:line="240" w:lineRule="auto"/>
            </w:pPr>
            <w:r/>
            <w:r>
              <w:rPr>
                <w:rFonts w:ascii="Aptos" w:hAnsi="Aptos"/>
                <w:b w:val="0"/>
                <w:color w:val="111827"/>
                <w:sz w:val="11"/>
              </w:rPr>
              <w:t>8.0%</w:t>
            </w:r>
          </w:p>
        </w:tc>
        <w:tc>
          <w:tcPr>
            <w:tcW w:type="dxa" w:w="1008"/>
            <w:vAlign w:val="center"/>
            <w:shd w:fill="F5F7FA"/>
          </w:tcPr>
          <w:p>
            <w:pPr>
              <w:spacing w:after="0" w:before="0" w:line="240" w:lineRule="auto"/>
            </w:pPr>
            <w:r/>
            <w:r>
              <w:rPr>
                <w:rFonts w:ascii="Aptos" w:hAnsi="Aptos"/>
                <w:b w:val="0"/>
                <w:color w:val="111827"/>
                <w:sz w:val="11"/>
              </w:rPr>
              <w:t>12.0%</w:t>
            </w:r>
          </w:p>
        </w:tc>
        <w:tc>
          <w:tcPr>
            <w:tcW w:type="dxa" w:w="936"/>
            <w:vAlign w:val="center"/>
            <w:shd w:fill="F5F7FA"/>
          </w:tcPr>
          <w:p>
            <w:pPr>
              <w:spacing w:after="0" w:before="0" w:line="240" w:lineRule="auto"/>
            </w:pPr>
            <w:r/>
            <w:r>
              <w:rPr>
                <w:rFonts w:ascii="Aptos" w:hAnsi="Aptos"/>
                <w:b w:val="0"/>
                <w:color w:val="111827"/>
                <w:sz w:val="11"/>
              </w:rPr>
              <w:t>18.0%</w:t>
            </w:r>
          </w:p>
        </w:tc>
        <w:tc>
          <w:tcPr>
            <w:tcW w:type="dxa" w:w="1008"/>
            <w:vAlign w:val="center"/>
            <w:shd w:fill="F5F7FA"/>
          </w:tcPr>
          <w:p>
            <w:pPr>
              <w:spacing w:after="0" w:before="0" w:line="240" w:lineRule="auto"/>
            </w:pPr>
            <w:r/>
            <w:r>
              <w:rPr>
                <w:rFonts w:ascii="Aptos" w:hAnsi="Aptos"/>
                <w:b w:val="0"/>
                <w:color w:val="111827"/>
                <w:sz w:val="11"/>
              </w:rPr>
              <w:t>% of proceeds</w:t>
            </w:r>
          </w:p>
        </w:tc>
        <w:tc>
          <w:tcPr>
            <w:tcW w:type="dxa" w:w="1224"/>
            <w:vAlign w:val="center"/>
            <w:shd w:fill="F5F7FA"/>
          </w:tcPr>
          <w:p>
            <w:pPr>
              <w:spacing w:after="0" w:before="0" w:line="240" w:lineRule="auto"/>
            </w:pPr>
            <w:r/>
            <w:r>
              <w:rPr>
                <w:rFonts w:ascii="Aptos" w:hAnsi="Aptos"/>
                <w:b w:val="0"/>
                <w:color w:val="111827"/>
                <w:sz w:val="11"/>
              </w:rPr>
              <w:t>Proxy</w:t>
            </w:r>
          </w:p>
        </w:tc>
        <w:tc>
          <w:tcPr>
            <w:tcW w:type="dxa" w:w="3096"/>
            <w:vAlign w:val="center"/>
            <w:shd w:fill="F5F7FA"/>
          </w:tcPr>
          <w:p>
            <w:pPr>
              <w:spacing w:after="0" w:before="0" w:line="240" w:lineRule="auto"/>
            </w:pPr>
            <w:r/>
            <w:r>
              <w:rPr>
                <w:rFonts w:ascii="Aptos" w:hAnsi="Aptos"/>
                <w:b w:val="0"/>
                <w:color w:val="111827"/>
                <w:sz w:val="11"/>
              </w:rPr>
              <w:t>Varies by marketplace and channel; liquidation fee anchored at 15% in Amazon program.</w:t>
            </w:r>
          </w:p>
        </w:tc>
        <w:tc>
          <w:tcPr>
            <w:tcW w:type="dxa" w:w="3024"/>
            <w:vAlign w:val="center"/>
            <w:shd w:fill="F5F7FA"/>
          </w:tcPr>
          <w:p>
            <w:pPr>
              <w:spacing w:after="0" w:before="0" w:line="240" w:lineRule="auto"/>
            </w:pPr>
            <w:r/>
            <w:r>
              <w:rPr>
                <w:rFonts w:ascii="Aptos" w:hAnsi="Aptos"/>
                <w:b w:val="0"/>
                <w:color w:val="111827"/>
                <w:sz w:val="11"/>
              </w:rPr>
              <w:t>Reduces recovery, more material for high-value electronics and accessories.</w:t>
            </w:r>
          </w:p>
        </w:tc>
        <w:tc>
          <w:tcPr>
            <w:tcW w:type="dxa" w:w="1008"/>
            <w:vAlign w:val="center"/>
            <w:shd w:fill="F5F7FA"/>
          </w:tcPr>
          <w:p>
            <w:pPr>
              <w:spacing w:after="0" w:before="0" w:line="240" w:lineRule="auto"/>
            </w:pPr>
            <w:r/>
            <w:r>
              <w:rPr>
                <w:rFonts w:ascii="Aptos" w:hAnsi="Aptos"/>
                <w:b w:val="0"/>
                <w:color w:val="111827"/>
                <w:sz w:val="11"/>
              </w:rPr>
              <w:t>S35; P02</w:t>
            </w:r>
          </w:p>
        </w:tc>
      </w:tr>
      <w:tr>
        <w:tc>
          <w:tcPr>
            <w:tcW w:type="dxa" w:w="1728"/>
            <w:vAlign w:val="center"/>
          </w:tcPr>
          <w:p>
            <w:pPr>
              <w:spacing w:after="0" w:before="0" w:line="240" w:lineRule="auto"/>
            </w:pPr>
            <w:r/>
            <w:r>
              <w:rPr>
                <w:rFonts w:ascii="Aptos" w:hAnsi="Aptos"/>
                <w:b/>
                <w:color w:val="111827"/>
                <w:sz w:val="11"/>
              </w:rPr>
              <w:t>Liquidation fee</w:t>
            </w:r>
          </w:p>
        </w:tc>
        <w:tc>
          <w:tcPr>
            <w:tcW w:type="dxa" w:w="2088"/>
            <w:vAlign w:val="center"/>
          </w:tcPr>
          <w:p>
            <w:pPr>
              <w:spacing w:after="0" w:before="0" w:line="240" w:lineRule="auto"/>
            </w:pPr>
            <w:r/>
            <w:r>
              <w:rPr>
                <w:rFonts w:ascii="Aptos" w:hAnsi="Aptos"/>
                <w:b w:val="0"/>
                <w:color w:val="111827"/>
                <w:sz w:val="11"/>
              </w:rPr>
              <w:t>Liquidation route</w:t>
            </w:r>
          </w:p>
        </w:tc>
        <w:tc>
          <w:tcPr>
            <w:tcW w:type="dxa" w:w="936"/>
            <w:vAlign w:val="center"/>
          </w:tcPr>
          <w:p>
            <w:pPr>
              <w:spacing w:after="0" w:before="0" w:line="240" w:lineRule="auto"/>
            </w:pPr>
            <w:r/>
            <w:r>
              <w:rPr>
                <w:rFonts w:ascii="Aptos" w:hAnsi="Aptos"/>
                <w:b w:val="0"/>
                <w:color w:val="111827"/>
                <w:sz w:val="11"/>
              </w:rPr>
              <w:t>10.0%</w:t>
            </w:r>
          </w:p>
        </w:tc>
        <w:tc>
          <w:tcPr>
            <w:tcW w:type="dxa" w:w="1008"/>
            <w:vAlign w:val="center"/>
          </w:tcPr>
          <w:p>
            <w:pPr>
              <w:spacing w:after="0" w:before="0" w:line="240" w:lineRule="auto"/>
            </w:pPr>
            <w:r/>
            <w:r>
              <w:rPr>
                <w:rFonts w:ascii="Aptos" w:hAnsi="Aptos"/>
                <w:b w:val="0"/>
                <w:color w:val="111827"/>
                <w:sz w:val="11"/>
              </w:rPr>
              <w:t>15.0%</w:t>
            </w:r>
          </w:p>
        </w:tc>
        <w:tc>
          <w:tcPr>
            <w:tcW w:type="dxa" w:w="936"/>
            <w:vAlign w:val="center"/>
          </w:tcPr>
          <w:p>
            <w:pPr>
              <w:spacing w:after="0" w:before="0" w:line="240" w:lineRule="auto"/>
            </w:pPr>
            <w:r/>
            <w:r>
              <w:rPr>
                <w:rFonts w:ascii="Aptos" w:hAnsi="Aptos"/>
                <w:b w:val="0"/>
                <w:color w:val="111827"/>
                <w:sz w:val="11"/>
              </w:rPr>
              <w:t>20.0%</w:t>
            </w:r>
          </w:p>
        </w:tc>
        <w:tc>
          <w:tcPr>
            <w:tcW w:type="dxa" w:w="1008"/>
            <w:vAlign w:val="center"/>
          </w:tcPr>
          <w:p>
            <w:pPr>
              <w:spacing w:after="0" w:before="0" w:line="240" w:lineRule="auto"/>
            </w:pPr>
            <w:r/>
            <w:r>
              <w:rPr>
                <w:rFonts w:ascii="Aptos" w:hAnsi="Aptos"/>
                <w:b w:val="0"/>
                <w:color w:val="111827"/>
                <w:sz w:val="11"/>
              </w:rPr>
              <w:t>% of proceeds</w:t>
            </w:r>
          </w:p>
        </w:tc>
        <w:tc>
          <w:tcPr>
            <w:tcW w:type="dxa" w:w="1224"/>
            <w:vAlign w:val="center"/>
          </w:tcPr>
          <w:p>
            <w:pPr>
              <w:spacing w:after="0" w:before="0" w:line="240" w:lineRule="auto"/>
            </w:pPr>
            <w:r/>
            <w:r>
              <w:rPr>
                <w:rFonts w:ascii="Aptos" w:hAnsi="Aptos"/>
                <w:b w:val="0"/>
                <w:color w:val="111827"/>
                <w:sz w:val="11"/>
              </w:rPr>
              <w:t>Proxy</w:t>
            </w:r>
          </w:p>
        </w:tc>
        <w:tc>
          <w:tcPr>
            <w:tcW w:type="dxa" w:w="3096"/>
            <w:vAlign w:val="center"/>
          </w:tcPr>
          <w:p>
            <w:pPr>
              <w:spacing w:after="0" w:before="0" w:line="240" w:lineRule="auto"/>
            </w:pPr>
            <w:r/>
            <w:r>
              <w:rPr>
                <w:rFonts w:ascii="Aptos" w:hAnsi="Aptos"/>
                <w:b w:val="0"/>
                <w:color w:val="111827"/>
                <w:sz w:val="11"/>
              </w:rPr>
              <w:t>Amazon FBA Liquidations discloses 15%; other contracts vary.</w:t>
            </w:r>
          </w:p>
        </w:tc>
        <w:tc>
          <w:tcPr>
            <w:tcW w:type="dxa" w:w="3024"/>
            <w:vAlign w:val="center"/>
          </w:tcPr>
          <w:p>
            <w:pPr>
              <w:spacing w:after="0" w:before="0" w:line="240" w:lineRule="auto"/>
            </w:pPr>
            <w:r/>
            <w:r>
              <w:rPr>
                <w:rFonts w:ascii="Aptos" w:hAnsi="Aptos"/>
                <w:b w:val="0"/>
                <w:color w:val="111827"/>
                <w:sz w:val="11"/>
              </w:rPr>
              <w:t>Lowers retailer recovery but does not equal buyer premium.</w:t>
            </w:r>
          </w:p>
        </w:tc>
        <w:tc>
          <w:tcPr>
            <w:tcW w:type="dxa" w:w="1008"/>
            <w:vAlign w:val="center"/>
          </w:tcPr>
          <w:p>
            <w:pPr>
              <w:spacing w:after="0" w:before="0" w:line="240" w:lineRule="auto"/>
            </w:pPr>
            <w:r/>
            <w:r>
              <w:rPr>
                <w:rFonts w:ascii="Aptos" w:hAnsi="Aptos"/>
                <w:b w:val="0"/>
                <w:color w:val="111827"/>
                <w:sz w:val="11"/>
              </w:rPr>
              <w:t>S35</w:t>
            </w:r>
          </w:p>
        </w:tc>
      </w:tr>
      <w:tr>
        <w:tc>
          <w:tcPr>
            <w:tcW w:type="dxa" w:w="1728"/>
            <w:vAlign w:val="center"/>
            <w:shd w:fill="F5F7FA"/>
          </w:tcPr>
          <w:p>
            <w:pPr>
              <w:spacing w:after="0" w:before="0" w:line="240" w:lineRule="auto"/>
            </w:pPr>
            <w:r/>
            <w:r>
              <w:rPr>
                <w:rFonts w:ascii="Aptos" w:hAnsi="Aptos"/>
                <w:b/>
                <w:color w:val="111827"/>
                <w:sz w:val="11"/>
              </w:rPr>
              <w:t>Adjusted current retail factor for public lots</w:t>
            </w:r>
          </w:p>
        </w:tc>
        <w:tc>
          <w:tcPr>
            <w:tcW w:type="dxa" w:w="2088"/>
            <w:vAlign w:val="center"/>
            <w:shd w:fill="F5F7FA"/>
          </w:tcPr>
          <w:p>
            <w:pPr>
              <w:spacing w:after="0" w:before="0" w:line="240" w:lineRule="auto"/>
            </w:pPr>
            <w:r/>
            <w:r>
              <w:rPr>
                <w:rFonts w:ascii="Aptos" w:hAnsi="Aptos"/>
                <w:b w:val="0"/>
                <w:color w:val="111827"/>
                <w:sz w:val="11"/>
              </w:rPr>
              <w:t>Auction analysis</w:t>
            </w:r>
          </w:p>
        </w:tc>
        <w:tc>
          <w:tcPr>
            <w:tcW w:type="dxa" w:w="936"/>
            <w:vAlign w:val="center"/>
            <w:shd w:fill="F5F7FA"/>
          </w:tcPr>
          <w:p>
            <w:pPr>
              <w:spacing w:after="0" w:before="0" w:line="240" w:lineRule="auto"/>
            </w:pPr>
            <w:r/>
            <w:r>
              <w:rPr>
                <w:rFonts w:ascii="Aptos" w:hAnsi="Aptos"/>
                <w:b w:val="0"/>
                <w:color w:val="111827"/>
                <w:sz w:val="11"/>
              </w:rPr>
              <w:t>65.0%</w:t>
            </w:r>
          </w:p>
        </w:tc>
        <w:tc>
          <w:tcPr>
            <w:tcW w:type="dxa" w:w="1008"/>
            <w:vAlign w:val="center"/>
            <w:shd w:fill="F5F7FA"/>
          </w:tcPr>
          <w:p>
            <w:pPr>
              <w:spacing w:after="0" w:before="0" w:line="240" w:lineRule="auto"/>
            </w:pPr>
            <w:r/>
            <w:r>
              <w:rPr>
                <w:rFonts w:ascii="Aptos" w:hAnsi="Aptos"/>
                <w:b w:val="0"/>
                <w:color w:val="111827"/>
                <w:sz w:val="11"/>
              </w:rPr>
              <w:t>80.0%</w:t>
            </w:r>
          </w:p>
        </w:tc>
        <w:tc>
          <w:tcPr>
            <w:tcW w:type="dxa" w:w="936"/>
            <w:vAlign w:val="center"/>
            <w:shd w:fill="F5F7FA"/>
          </w:tcPr>
          <w:p>
            <w:pPr>
              <w:spacing w:after="0" w:before="0" w:line="240" w:lineRule="auto"/>
            </w:pPr>
            <w:r/>
            <w:r>
              <w:rPr>
                <w:rFonts w:ascii="Aptos" w:hAnsi="Aptos"/>
                <w:b w:val="0"/>
                <w:color w:val="111827"/>
                <w:sz w:val="11"/>
              </w:rPr>
              <w:t>90.0%</w:t>
            </w:r>
          </w:p>
        </w:tc>
        <w:tc>
          <w:tcPr>
            <w:tcW w:type="dxa" w:w="1008"/>
            <w:vAlign w:val="center"/>
            <w:shd w:fill="F5F7FA"/>
          </w:tcPr>
          <w:p>
            <w:pPr>
              <w:spacing w:after="0" w:before="0" w:line="240" w:lineRule="auto"/>
            </w:pPr>
            <w:r/>
            <w:r>
              <w:rPr>
                <w:rFonts w:ascii="Aptos" w:hAnsi="Aptos"/>
                <w:b w:val="0"/>
                <w:color w:val="111827"/>
                <w:sz w:val="11"/>
              </w:rPr>
              <w:t>% of stated retail</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Stated retail/MSRP can be stale or inflated; no line-item manifest available.</w:t>
            </w:r>
          </w:p>
        </w:tc>
        <w:tc>
          <w:tcPr>
            <w:tcW w:type="dxa" w:w="3024"/>
            <w:vAlign w:val="center"/>
            <w:shd w:fill="F5F7FA"/>
          </w:tcPr>
          <w:p>
            <w:pPr>
              <w:spacing w:after="0" w:before="0" w:line="240" w:lineRule="auto"/>
            </w:pPr>
            <w:r/>
            <w:r>
              <w:rPr>
                <w:rFonts w:ascii="Aptos" w:hAnsi="Aptos"/>
                <w:b w:val="0"/>
                <w:color w:val="111827"/>
                <w:sz w:val="11"/>
              </w:rPr>
              <w:t>Lower adjusted value raises bid and delivered-cost percentages on the economically relevant denominator.</w:t>
            </w:r>
          </w:p>
        </w:tc>
        <w:tc>
          <w:tcPr>
            <w:tcW w:type="dxa" w:w="1008"/>
            <w:vAlign w:val="center"/>
            <w:shd w:fill="F5F7FA"/>
          </w:tcPr>
          <w:p>
            <w:pPr>
              <w:spacing w:after="0" w:before="0" w:line="240" w:lineRule="auto"/>
            </w:pPr>
            <w:r/>
            <w:r>
              <w:rPr>
                <w:rFonts w:ascii="Aptos" w:hAnsi="Aptos"/>
                <w:b w:val="0"/>
                <w:color w:val="111827"/>
                <w:sz w:val="11"/>
              </w:rPr>
              <w:t>P02; S48</w:t>
            </w:r>
          </w:p>
        </w:tc>
      </w:tr>
      <w:tr>
        <w:tc>
          <w:tcPr>
            <w:tcW w:type="dxa" w:w="1728"/>
            <w:vAlign w:val="center"/>
          </w:tcPr>
          <w:p>
            <w:pPr>
              <w:spacing w:after="0" w:before="0" w:line="240" w:lineRule="auto"/>
            </w:pPr>
            <w:r/>
            <w:r>
              <w:rPr>
                <w:rFonts w:ascii="Aptos" w:hAnsi="Aptos"/>
                <w:b/>
                <w:color w:val="111827"/>
                <w:sz w:val="11"/>
              </w:rPr>
              <w:t>Buyer premium</w:t>
            </w:r>
          </w:p>
        </w:tc>
        <w:tc>
          <w:tcPr>
            <w:tcW w:type="dxa" w:w="2088"/>
            <w:vAlign w:val="center"/>
          </w:tcPr>
          <w:p>
            <w:pPr>
              <w:spacing w:after="0" w:before="0" w:line="240" w:lineRule="auto"/>
            </w:pPr>
            <w:r/>
            <w:r>
              <w:rPr>
                <w:rFonts w:ascii="Aptos" w:hAnsi="Aptos"/>
                <w:b w:val="0"/>
                <w:color w:val="111827"/>
                <w:sz w:val="11"/>
              </w:rPr>
              <w:t>Auction analysis</w:t>
            </w:r>
          </w:p>
        </w:tc>
        <w:tc>
          <w:tcPr>
            <w:tcW w:type="dxa" w:w="936"/>
            <w:vAlign w:val="center"/>
          </w:tcPr>
          <w:p>
            <w:pPr>
              <w:spacing w:after="0" w:before="0" w:line="240" w:lineRule="auto"/>
            </w:pPr>
            <w:r/>
            <w:r>
              <w:rPr>
                <w:rFonts w:ascii="Aptos" w:hAnsi="Aptos"/>
                <w:b w:val="0"/>
                <w:color w:val="111827"/>
                <w:sz w:val="11"/>
              </w:rPr>
              <w:t>5.0%</w:t>
            </w:r>
          </w:p>
        </w:tc>
        <w:tc>
          <w:tcPr>
            <w:tcW w:type="dxa" w:w="1008"/>
            <w:vAlign w:val="center"/>
          </w:tcPr>
          <w:p>
            <w:pPr>
              <w:spacing w:after="0" w:before="0" w:line="240" w:lineRule="auto"/>
            </w:pPr>
            <w:r/>
            <w:r>
              <w:rPr>
                <w:rFonts w:ascii="Aptos" w:hAnsi="Aptos"/>
                <w:b w:val="0"/>
                <w:color w:val="111827"/>
                <w:sz w:val="11"/>
              </w:rPr>
              <w:t>10.0%</w:t>
            </w:r>
          </w:p>
        </w:tc>
        <w:tc>
          <w:tcPr>
            <w:tcW w:type="dxa" w:w="936"/>
            <w:vAlign w:val="center"/>
          </w:tcPr>
          <w:p>
            <w:pPr>
              <w:spacing w:after="0" w:before="0" w:line="240" w:lineRule="auto"/>
            </w:pPr>
            <w:r/>
            <w:r>
              <w:rPr>
                <w:rFonts w:ascii="Aptos" w:hAnsi="Aptos"/>
                <w:b w:val="0"/>
                <w:color w:val="111827"/>
                <w:sz w:val="11"/>
              </w:rPr>
              <w:t>15.0%</w:t>
            </w:r>
          </w:p>
        </w:tc>
        <w:tc>
          <w:tcPr>
            <w:tcW w:type="dxa" w:w="1008"/>
            <w:vAlign w:val="center"/>
          </w:tcPr>
          <w:p>
            <w:pPr>
              <w:spacing w:after="0" w:before="0" w:line="240" w:lineRule="auto"/>
            </w:pPr>
            <w:r/>
            <w:r>
              <w:rPr>
                <w:rFonts w:ascii="Aptos" w:hAnsi="Aptos"/>
                <w:b w:val="0"/>
                <w:color w:val="111827"/>
                <w:sz w:val="11"/>
              </w:rPr>
              <w:t>% of winning bid</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Public pages confirm a buyer fee but do not expose the exact rate for the observed lots.</w:t>
            </w:r>
          </w:p>
        </w:tc>
        <w:tc>
          <w:tcPr>
            <w:tcW w:type="dxa" w:w="3024"/>
            <w:vAlign w:val="center"/>
          </w:tcPr>
          <w:p>
            <w:pPr>
              <w:spacing w:after="0" w:before="0" w:line="240" w:lineRule="auto"/>
            </w:pPr>
            <w:r/>
            <w:r>
              <w:rPr>
                <w:rFonts w:ascii="Aptos" w:hAnsi="Aptos"/>
                <w:b w:val="0"/>
                <w:color w:val="111827"/>
                <w:sz w:val="11"/>
              </w:rPr>
              <w:t>Raises buyer delivered cost; does not necessarily reduce retailer proceeds.</w:t>
            </w:r>
          </w:p>
        </w:tc>
        <w:tc>
          <w:tcPr>
            <w:tcW w:type="dxa" w:w="1008"/>
            <w:vAlign w:val="center"/>
          </w:tcPr>
          <w:p>
            <w:pPr>
              <w:spacing w:after="0" w:before="0" w:line="240" w:lineRule="auto"/>
            </w:pPr>
            <w:r/>
            <w:r>
              <w:rPr>
                <w:rFonts w:ascii="Aptos" w:hAnsi="Aptos"/>
                <w:b w:val="0"/>
                <w:color w:val="111827"/>
                <w:sz w:val="11"/>
              </w:rPr>
              <w:t>P02; S49</w:t>
            </w:r>
          </w:p>
        </w:tc>
      </w:tr>
      <w:tr>
        <w:tc>
          <w:tcPr>
            <w:tcW w:type="dxa" w:w="1728"/>
            <w:vAlign w:val="center"/>
            <w:shd w:fill="F5F7FA"/>
          </w:tcPr>
          <w:p>
            <w:pPr>
              <w:spacing w:after="0" w:before="0" w:line="240" w:lineRule="auto"/>
            </w:pPr>
            <w:r/>
            <w:r>
              <w:rPr>
                <w:rFonts w:ascii="Aptos" w:hAnsi="Aptos"/>
                <w:b/>
                <w:color w:val="111827"/>
                <w:sz w:val="11"/>
              </w:rPr>
              <w:t>Seller-side auction/agency fee</w:t>
            </w:r>
          </w:p>
        </w:tc>
        <w:tc>
          <w:tcPr>
            <w:tcW w:type="dxa" w:w="2088"/>
            <w:vAlign w:val="center"/>
            <w:shd w:fill="F5F7FA"/>
          </w:tcPr>
          <w:p>
            <w:pPr>
              <w:spacing w:after="0" w:before="0" w:line="240" w:lineRule="auto"/>
            </w:pPr>
            <w:r/>
            <w:r>
              <w:rPr>
                <w:rFonts w:ascii="Aptos" w:hAnsi="Aptos"/>
                <w:b w:val="0"/>
                <w:color w:val="111827"/>
                <w:sz w:val="11"/>
              </w:rPr>
              <w:t>Auction analysis</w:t>
            </w:r>
          </w:p>
        </w:tc>
        <w:tc>
          <w:tcPr>
            <w:tcW w:type="dxa" w:w="936"/>
            <w:vAlign w:val="center"/>
            <w:shd w:fill="F5F7FA"/>
          </w:tcPr>
          <w:p>
            <w:pPr>
              <w:spacing w:after="0" w:before="0" w:line="240" w:lineRule="auto"/>
            </w:pPr>
            <w:r/>
            <w:r>
              <w:rPr>
                <w:rFonts w:ascii="Aptos" w:hAnsi="Aptos"/>
                <w:b w:val="0"/>
                <w:color w:val="111827"/>
                <w:sz w:val="11"/>
              </w:rPr>
              <w:t>0.0%</w:t>
            </w:r>
          </w:p>
        </w:tc>
        <w:tc>
          <w:tcPr>
            <w:tcW w:type="dxa" w:w="1008"/>
            <w:vAlign w:val="center"/>
            <w:shd w:fill="F5F7FA"/>
          </w:tcPr>
          <w:p>
            <w:pPr>
              <w:spacing w:after="0" w:before="0" w:line="240" w:lineRule="auto"/>
            </w:pPr>
            <w:r/>
            <w:r>
              <w:rPr>
                <w:rFonts w:ascii="Aptos" w:hAnsi="Aptos"/>
                <w:b w:val="0"/>
                <w:color w:val="111827"/>
                <w:sz w:val="11"/>
              </w:rPr>
              <w:t>5.0%</w:t>
            </w:r>
          </w:p>
        </w:tc>
        <w:tc>
          <w:tcPr>
            <w:tcW w:type="dxa" w:w="936"/>
            <w:vAlign w:val="center"/>
            <w:shd w:fill="F5F7FA"/>
          </w:tcPr>
          <w:p>
            <w:pPr>
              <w:spacing w:after="0" w:before="0" w:line="240" w:lineRule="auto"/>
            </w:pPr>
            <w:r/>
            <w:r>
              <w:rPr>
                <w:rFonts w:ascii="Aptos" w:hAnsi="Aptos"/>
                <w:b w:val="0"/>
                <w:color w:val="111827"/>
                <w:sz w:val="11"/>
              </w:rPr>
              <w:t>10.0%</w:t>
            </w:r>
          </w:p>
        </w:tc>
        <w:tc>
          <w:tcPr>
            <w:tcW w:type="dxa" w:w="1008"/>
            <w:vAlign w:val="center"/>
            <w:shd w:fill="F5F7FA"/>
          </w:tcPr>
          <w:p>
            <w:pPr>
              <w:spacing w:after="0" w:before="0" w:line="240" w:lineRule="auto"/>
            </w:pPr>
            <w:r/>
            <w:r>
              <w:rPr>
                <w:rFonts w:ascii="Aptos" w:hAnsi="Aptos"/>
                <w:b w:val="0"/>
                <w:color w:val="111827"/>
                <w:sz w:val="11"/>
              </w:rPr>
              <w:t>% of winning bid</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Retailer-specific agent settlement is not public.</w:t>
            </w:r>
          </w:p>
        </w:tc>
        <w:tc>
          <w:tcPr>
            <w:tcW w:type="dxa" w:w="3024"/>
            <w:vAlign w:val="center"/>
            <w:shd w:fill="F5F7FA"/>
          </w:tcPr>
          <w:p>
            <w:pPr>
              <w:spacing w:after="0" w:before="0" w:line="240" w:lineRule="auto"/>
            </w:pPr>
            <w:r/>
            <w:r>
              <w:rPr>
                <w:rFonts w:ascii="Aptos" w:hAnsi="Aptos"/>
                <w:b w:val="0"/>
                <w:color w:val="111827"/>
                <w:sz w:val="11"/>
              </w:rPr>
              <w:t>Reduces estimated retailer net recovery.</w:t>
            </w:r>
          </w:p>
        </w:tc>
        <w:tc>
          <w:tcPr>
            <w:tcW w:type="dxa" w:w="1008"/>
            <w:vAlign w:val="center"/>
            <w:shd w:fill="F5F7FA"/>
          </w:tcPr>
          <w:p>
            <w:pPr>
              <w:spacing w:after="0" w:before="0" w:line="240" w:lineRule="auto"/>
            </w:pPr>
            <w:r/>
            <w:r>
              <w:rPr>
                <w:rFonts w:ascii="Aptos" w:hAnsi="Aptos"/>
                <w:b w:val="0"/>
                <w:color w:val="111827"/>
                <w:sz w:val="11"/>
              </w:rPr>
              <w:t>P02</w:t>
            </w:r>
          </w:p>
        </w:tc>
      </w:tr>
      <w:tr>
        <w:tc>
          <w:tcPr>
            <w:tcW w:type="dxa" w:w="1728"/>
            <w:vAlign w:val="center"/>
          </w:tcPr>
          <w:p>
            <w:pPr>
              <w:spacing w:after="0" w:before="0" w:line="240" w:lineRule="auto"/>
            </w:pPr>
            <w:r/>
            <w:r>
              <w:rPr>
                <w:rFonts w:ascii="Aptos" w:hAnsi="Aptos"/>
                <w:b/>
                <w:color w:val="111827"/>
                <w:sz w:val="11"/>
              </w:rPr>
              <w:t>Return-center labor mix</w:t>
            </w:r>
          </w:p>
        </w:tc>
        <w:tc>
          <w:tcPr>
            <w:tcW w:type="dxa" w:w="2088"/>
            <w:vAlign w:val="center"/>
          </w:tcPr>
          <w:p>
            <w:pPr>
              <w:spacing w:after="0" w:before="0" w:line="240" w:lineRule="auto"/>
            </w:pPr>
            <w:r/>
            <w:r>
              <w:rPr>
                <w:rFonts w:ascii="Aptos" w:hAnsi="Aptos"/>
                <w:b w:val="0"/>
                <w:color w:val="111827"/>
                <w:sz w:val="11"/>
              </w:rPr>
              <w:t>Disposition processing</w:t>
            </w:r>
          </w:p>
        </w:tc>
        <w:tc>
          <w:tcPr>
            <w:tcW w:type="dxa" w:w="936"/>
            <w:vAlign w:val="center"/>
          </w:tcPr>
          <w:p>
            <w:pPr>
              <w:spacing w:after="0" w:before="0" w:line="240" w:lineRule="auto"/>
            </w:pPr>
            <w:r/>
            <w:r>
              <w:rPr>
                <w:rFonts w:ascii="Aptos" w:hAnsi="Aptos"/>
                <w:b w:val="0"/>
                <w:color w:val="111827"/>
                <w:sz w:val="11"/>
              </w:rPr>
              <w:t>0.75</w:t>
            </w:r>
          </w:p>
        </w:tc>
        <w:tc>
          <w:tcPr>
            <w:tcW w:type="dxa" w:w="1008"/>
            <w:vAlign w:val="center"/>
          </w:tcPr>
          <w:p>
            <w:pPr>
              <w:spacing w:after="0" w:before="0" w:line="240" w:lineRule="auto"/>
            </w:pPr>
            <w:r/>
            <w:r>
              <w:rPr>
                <w:rFonts w:ascii="Aptos" w:hAnsi="Aptos"/>
                <w:b w:val="0"/>
                <w:color w:val="111827"/>
                <w:sz w:val="11"/>
              </w:rPr>
              <w:t>1.00</w:t>
            </w:r>
          </w:p>
        </w:tc>
        <w:tc>
          <w:tcPr>
            <w:tcW w:type="dxa" w:w="936"/>
            <w:vAlign w:val="center"/>
          </w:tcPr>
          <w:p>
            <w:pPr>
              <w:spacing w:after="0" w:before="0" w:line="240" w:lineRule="auto"/>
            </w:pPr>
            <w:r/>
            <w:r>
              <w:rPr>
                <w:rFonts w:ascii="Aptos" w:hAnsi="Aptos"/>
                <w:b w:val="0"/>
                <w:color w:val="111827"/>
                <w:sz w:val="11"/>
              </w:rPr>
              <w:t>1.50</w:t>
            </w:r>
          </w:p>
        </w:tc>
        <w:tc>
          <w:tcPr>
            <w:tcW w:type="dxa" w:w="1008"/>
            <w:vAlign w:val="center"/>
          </w:tcPr>
          <w:p>
            <w:pPr>
              <w:spacing w:after="0" w:before="0" w:line="240" w:lineRule="auto"/>
            </w:pPr>
            <w:r/>
            <w:r>
              <w:rPr>
                <w:rFonts w:ascii="Aptos" w:hAnsi="Aptos"/>
                <w:b w:val="0"/>
                <w:color w:val="111827"/>
                <w:sz w:val="11"/>
              </w:rPr>
              <w:t>x base cost</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Public filings do not disclose inspection or diagnostic minutes.</w:t>
            </w:r>
          </w:p>
        </w:tc>
        <w:tc>
          <w:tcPr>
            <w:tcW w:type="dxa" w:w="3024"/>
            <w:vAlign w:val="center"/>
          </w:tcPr>
          <w:p>
            <w:pPr>
              <w:spacing w:after="0" w:before="0" w:line="240" w:lineRule="auto"/>
            </w:pPr>
            <w:r/>
            <w:r>
              <w:rPr>
                <w:rFonts w:ascii="Aptos" w:hAnsi="Aptos"/>
                <w:b w:val="0"/>
                <w:color w:val="111827"/>
                <w:sz w:val="11"/>
              </w:rPr>
              <w:t>Matters most where item-level testing is intensive or retail value is low.</w:t>
            </w:r>
          </w:p>
        </w:tc>
        <w:tc>
          <w:tcPr>
            <w:tcW w:type="dxa" w:w="1008"/>
            <w:vAlign w:val="center"/>
          </w:tcPr>
          <w:p>
            <w:pPr>
              <w:spacing w:after="0" w:before="0" w:line="240" w:lineRule="auto"/>
            </w:pPr>
            <w:r/>
            <w:r>
              <w:rPr>
                <w:rFonts w:ascii="Aptos" w:hAnsi="Aptos"/>
                <w:b w:val="0"/>
                <w:color w:val="111827"/>
                <w:sz w:val="11"/>
              </w:rPr>
              <w:t>P01</w:t>
            </w:r>
          </w:p>
        </w:tc>
      </w:tr>
      <w:tr>
        <w:tc>
          <w:tcPr>
            <w:tcW w:type="dxa" w:w="1728"/>
            <w:vAlign w:val="center"/>
            <w:shd w:fill="F5F7FA"/>
          </w:tcPr>
          <w:p>
            <w:pPr>
              <w:spacing w:after="0" w:before="0" w:line="240" w:lineRule="auto"/>
            </w:pPr>
            <w:r/>
            <w:r>
              <w:rPr>
                <w:rFonts w:ascii="Aptos" w:hAnsi="Aptos"/>
                <w:b/>
                <w:color w:val="111827"/>
                <w:sz w:val="11"/>
              </w:rPr>
              <w:t>Holding-period multiplier</w:t>
            </w:r>
          </w:p>
        </w:tc>
        <w:tc>
          <w:tcPr>
            <w:tcW w:type="dxa" w:w="2088"/>
            <w:vAlign w:val="center"/>
            <w:shd w:fill="F5F7FA"/>
          </w:tcPr>
          <w:p>
            <w:pPr>
              <w:spacing w:after="0" w:before="0" w:line="240" w:lineRule="auto"/>
            </w:pPr>
            <w:r/>
            <w:r>
              <w:rPr>
                <w:rFonts w:ascii="Aptos" w:hAnsi="Aptos"/>
                <w:b w:val="0"/>
                <w:color w:val="111827"/>
                <w:sz w:val="11"/>
              </w:rPr>
              <w:t>All disposition routes</w:t>
            </w:r>
          </w:p>
        </w:tc>
        <w:tc>
          <w:tcPr>
            <w:tcW w:type="dxa" w:w="936"/>
            <w:vAlign w:val="center"/>
            <w:shd w:fill="F5F7FA"/>
          </w:tcPr>
          <w:p>
            <w:pPr>
              <w:spacing w:after="0" w:before="0" w:line="240" w:lineRule="auto"/>
            </w:pPr>
            <w:r/>
            <w:r>
              <w:rPr>
                <w:rFonts w:ascii="Aptos" w:hAnsi="Aptos"/>
                <w:b w:val="0"/>
                <w:color w:val="111827"/>
                <w:sz w:val="11"/>
              </w:rPr>
              <w:t>0.50</w:t>
            </w:r>
          </w:p>
        </w:tc>
        <w:tc>
          <w:tcPr>
            <w:tcW w:type="dxa" w:w="1008"/>
            <w:vAlign w:val="center"/>
            <w:shd w:fill="F5F7FA"/>
          </w:tcPr>
          <w:p>
            <w:pPr>
              <w:spacing w:after="0" w:before="0" w:line="240" w:lineRule="auto"/>
            </w:pPr>
            <w:r/>
            <w:r>
              <w:rPr>
                <w:rFonts w:ascii="Aptos" w:hAnsi="Aptos"/>
                <w:b w:val="0"/>
                <w:color w:val="111827"/>
                <w:sz w:val="11"/>
              </w:rPr>
              <w:t>1.00</w:t>
            </w:r>
          </w:p>
        </w:tc>
        <w:tc>
          <w:tcPr>
            <w:tcW w:type="dxa" w:w="936"/>
            <w:vAlign w:val="center"/>
            <w:shd w:fill="F5F7FA"/>
          </w:tcPr>
          <w:p>
            <w:pPr>
              <w:spacing w:after="0" w:before="0" w:line="240" w:lineRule="auto"/>
            </w:pPr>
            <w:r/>
            <w:r>
              <w:rPr>
                <w:rFonts w:ascii="Aptos" w:hAnsi="Aptos"/>
                <w:b w:val="0"/>
                <w:color w:val="111827"/>
                <w:sz w:val="11"/>
              </w:rPr>
              <w:t>2.00</w:t>
            </w:r>
          </w:p>
        </w:tc>
        <w:tc>
          <w:tcPr>
            <w:tcW w:type="dxa" w:w="1008"/>
            <w:vAlign w:val="center"/>
            <w:shd w:fill="F5F7FA"/>
          </w:tcPr>
          <w:p>
            <w:pPr>
              <w:spacing w:after="0" w:before="0" w:line="240" w:lineRule="auto"/>
            </w:pPr>
            <w:r/>
            <w:r>
              <w:rPr>
                <w:rFonts w:ascii="Aptos" w:hAnsi="Aptos"/>
                <w:b w:val="0"/>
                <w:color w:val="111827"/>
                <w:sz w:val="11"/>
              </w:rPr>
              <w:t>x base days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Actual dwell time and queueing are undisclosed.</w:t>
            </w:r>
          </w:p>
        </w:tc>
        <w:tc>
          <w:tcPr>
            <w:tcW w:type="dxa" w:w="3024"/>
            <w:vAlign w:val="center"/>
            <w:shd w:fill="F5F7FA"/>
          </w:tcPr>
          <w:p>
            <w:pPr>
              <w:spacing w:after="0" w:before="0" w:line="240" w:lineRule="auto"/>
            </w:pPr>
            <w:r/>
            <w:r>
              <w:rPr>
                <w:rFonts w:ascii="Aptos" w:hAnsi="Aptos"/>
                <w:b w:val="0"/>
                <w:color w:val="111827"/>
                <w:sz w:val="11"/>
              </w:rPr>
              <w:t>Raises physical storage cost and compounds depreciation/discounting.</w:t>
            </w:r>
          </w:p>
        </w:tc>
        <w:tc>
          <w:tcPr>
            <w:tcW w:type="dxa" w:w="1008"/>
            <w:vAlign w:val="center"/>
            <w:shd w:fill="F5F7FA"/>
          </w:tcPr>
          <w:p>
            <w:pPr>
              <w:spacing w:after="0" w:before="0" w:line="240" w:lineRule="auto"/>
            </w:pPr>
            <w:r/>
            <w:r>
              <w:rPr>
                <w:rFonts w:ascii="Aptos" w:hAnsi="Aptos"/>
                <w:b w:val="0"/>
                <w:color w:val="111827"/>
                <w:sz w:val="11"/>
              </w:rPr>
              <w:t>P01; S27</w:t>
            </w:r>
          </w:p>
        </w:tc>
      </w:tr>
      <w:tr>
        <w:tc>
          <w:tcPr>
            <w:tcW w:type="dxa" w:w="1728"/>
            <w:vAlign w:val="center"/>
          </w:tcPr>
          <w:p>
            <w:pPr>
              <w:spacing w:after="0" w:before="0" w:line="240" w:lineRule="auto"/>
            </w:pPr>
            <w:r/>
            <w:r>
              <w:rPr>
                <w:rFonts w:ascii="Aptos" w:hAnsi="Aptos"/>
                <w:b/>
                <w:color w:val="111827"/>
                <w:sz w:val="11"/>
              </w:rPr>
              <w:t>Refurbishment success</w:t>
            </w:r>
          </w:p>
        </w:tc>
        <w:tc>
          <w:tcPr>
            <w:tcW w:type="dxa" w:w="2088"/>
            <w:vAlign w:val="center"/>
          </w:tcPr>
          <w:p>
            <w:pPr>
              <w:spacing w:after="0" w:before="0" w:line="240" w:lineRule="auto"/>
            </w:pPr>
            <w:r/>
            <w:r>
              <w:rPr>
                <w:rFonts w:ascii="Aptos" w:hAnsi="Aptos"/>
                <w:b w:val="0"/>
                <w:color w:val="111827"/>
                <w:sz w:val="11"/>
              </w:rPr>
              <w:t>Refurbishable products</w:t>
            </w:r>
          </w:p>
        </w:tc>
        <w:tc>
          <w:tcPr>
            <w:tcW w:type="dxa" w:w="936"/>
            <w:vAlign w:val="center"/>
          </w:tcPr>
          <w:p>
            <w:pPr>
              <w:spacing w:after="0" w:before="0" w:line="240" w:lineRule="auto"/>
            </w:pPr>
            <w:r/>
            <w:r>
              <w:rPr>
                <w:rFonts w:ascii="Aptos" w:hAnsi="Aptos"/>
                <w:b w:val="0"/>
                <w:color w:val="111827"/>
                <w:sz w:val="11"/>
              </w:rPr>
              <w:t>50.0%</w:t>
            </w:r>
          </w:p>
        </w:tc>
        <w:tc>
          <w:tcPr>
            <w:tcW w:type="dxa" w:w="1008"/>
            <w:vAlign w:val="center"/>
          </w:tcPr>
          <w:p>
            <w:pPr>
              <w:spacing w:after="0" w:before="0" w:line="240" w:lineRule="auto"/>
            </w:pPr>
            <w:r/>
            <w:r>
              <w:rPr>
                <w:rFonts w:ascii="Aptos" w:hAnsi="Aptos"/>
                <w:b w:val="0"/>
                <w:color w:val="111827"/>
                <w:sz w:val="11"/>
              </w:rPr>
              <w:t>65%-85% by category</w:t>
            </w:r>
          </w:p>
        </w:tc>
        <w:tc>
          <w:tcPr>
            <w:tcW w:type="dxa" w:w="936"/>
            <w:vAlign w:val="center"/>
          </w:tcPr>
          <w:p>
            <w:pPr>
              <w:spacing w:after="0" w:before="0" w:line="240" w:lineRule="auto"/>
            </w:pPr>
            <w:r/>
            <w:r>
              <w:rPr>
                <w:rFonts w:ascii="Aptos" w:hAnsi="Aptos"/>
                <w:b w:val="0"/>
                <w:color w:val="111827"/>
                <w:sz w:val="11"/>
              </w:rPr>
              <w:t>90.0%</w:t>
            </w:r>
          </w:p>
        </w:tc>
        <w:tc>
          <w:tcPr>
            <w:tcW w:type="dxa" w:w="1008"/>
            <w:vAlign w:val="center"/>
          </w:tcPr>
          <w:p>
            <w:pPr>
              <w:spacing w:after="0" w:before="0" w:line="240" w:lineRule="auto"/>
            </w:pPr>
            <w:r/>
            <w:r>
              <w:rPr>
                <w:rFonts w:ascii="Aptos" w:hAnsi="Aptos"/>
                <w:b w:val="0"/>
                <w:color w:val="111827"/>
                <w:sz w:val="11"/>
              </w:rPr>
              <w:t>% successful</w:t>
            </w:r>
          </w:p>
        </w:tc>
        <w:tc>
          <w:tcPr>
            <w:tcW w:type="dxa" w:w="1224"/>
            <w:vAlign w:val="center"/>
          </w:tcPr>
          <w:p>
            <w:pPr>
              <w:spacing w:after="0" w:before="0" w:line="240" w:lineRule="auto"/>
            </w:pPr>
            <w:r/>
            <w:r>
              <w:rPr>
                <w:rFonts w:ascii="Aptos" w:hAnsi="Aptos"/>
                <w:b w:val="0"/>
                <w:color w:val="111827"/>
                <w:sz w:val="11"/>
              </w:rPr>
              <w:t>Assumption/proxy</w:t>
            </w:r>
          </w:p>
        </w:tc>
        <w:tc>
          <w:tcPr>
            <w:tcW w:type="dxa" w:w="3096"/>
            <w:vAlign w:val="center"/>
          </w:tcPr>
          <w:p>
            <w:pPr>
              <w:spacing w:after="0" w:before="0" w:line="240" w:lineRule="auto"/>
            </w:pPr>
            <w:r/>
            <w:r>
              <w:rPr>
                <w:rFonts w:ascii="Aptos" w:hAnsi="Aptos"/>
                <w:b w:val="0"/>
                <w:color w:val="111827"/>
                <w:sz w:val="11"/>
              </w:rPr>
              <w:t>Public channels prove refurbishment exists but do not disclose success rates.</w:t>
            </w:r>
          </w:p>
        </w:tc>
        <w:tc>
          <w:tcPr>
            <w:tcW w:type="dxa" w:w="3024"/>
            <w:vAlign w:val="center"/>
          </w:tcPr>
          <w:p>
            <w:pPr>
              <w:spacing w:after="0" w:before="0" w:line="240" w:lineRule="auto"/>
            </w:pPr>
            <w:r/>
            <w:r>
              <w:rPr>
                <w:rFonts w:ascii="Aptos" w:hAnsi="Aptos"/>
                <w:b w:val="0"/>
                <w:color w:val="111827"/>
                <w:sz w:val="11"/>
              </w:rPr>
              <w:t>Changes whether repair beats outlet or liquidation.</w:t>
            </w:r>
          </w:p>
        </w:tc>
        <w:tc>
          <w:tcPr>
            <w:tcW w:type="dxa" w:w="1008"/>
            <w:vAlign w:val="center"/>
          </w:tcPr>
          <w:p>
            <w:pPr>
              <w:spacing w:after="0" w:before="0" w:line="240" w:lineRule="auto"/>
            </w:pPr>
            <w:r/>
            <w:r>
              <w:rPr>
                <w:rFonts w:ascii="Aptos" w:hAnsi="Aptos"/>
                <w:b w:val="0"/>
                <w:color w:val="111827"/>
                <w:sz w:val="11"/>
              </w:rPr>
              <w:t>S11; S33; S39; P02</w:t>
            </w:r>
          </w:p>
        </w:tc>
      </w:tr>
      <w:tr>
        <w:tc>
          <w:tcPr>
            <w:tcW w:type="dxa" w:w="1728"/>
            <w:vAlign w:val="center"/>
            <w:shd w:fill="F5F7FA"/>
          </w:tcPr>
          <w:p>
            <w:pPr>
              <w:spacing w:after="0" w:before="0" w:line="240" w:lineRule="auto"/>
            </w:pPr>
            <w:r/>
            <w:r>
              <w:rPr>
                <w:rFonts w:ascii="Aptos" w:hAnsi="Aptos"/>
                <w:b/>
                <w:color w:val="111827"/>
                <w:sz w:val="11"/>
              </w:rPr>
              <w:t>Restocking fee or non-refundable charge (K)</w:t>
            </w:r>
          </w:p>
        </w:tc>
        <w:tc>
          <w:tcPr>
            <w:tcW w:type="dxa" w:w="2088"/>
            <w:vAlign w:val="center"/>
            <w:shd w:fill="F5F7FA"/>
          </w:tcPr>
          <w:p>
            <w:pPr>
              <w:spacing w:after="0" w:before="0" w:line="240" w:lineRule="auto"/>
            </w:pPr>
            <w:r/>
            <w:r>
              <w:rPr>
                <w:rFonts w:ascii="Aptos" w:hAnsi="Aptos"/>
                <w:b w:val="0"/>
                <w:color w:val="111827"/>
                <w:sz w:val="11"/>
              </w:rPr>
              <w:t>Base cases</w:t>
            </w:r>
          </w:p>
        </w:tc>
        <w:tc>
          <w:tcPr>
            <w:tcW w:type="dxa" w:w="936"/>
            <w:vAlign w:val="center"/>
            <w:shd w:fill="F5F7FA"/>
          </w:tcPr>
          <w:p>
            <w:pPr>
              <w:spacing w:after="0" w:before="0" w:line="240" w:lineRule="auto"/>
            </w:pPr>
            <w:r/>
            <w:r>
              <w:rPr>
                <w:rFonts w:ascii="Aptos" w:hAnsi="Aptos"/>
                <w:b w:val="0"/>
                <w:color w:val="111827"/>
                <w:sz w:val="11"/>
              </w:rPr>
              <w:t>0.00</w:t>
            </w:r>
          </w:p>
        </w:tc>
        <w:tc>
          <w:tcPr>
            <w:tcW w:type="dxa" w:w="1008"/>
            <w:vAlign w:val="center"/>
            <w:shd w:fill="F5F7FA"/>
          </w:tcPr>
          <w:p>
            <w:pPr>
              <w:spacing w:after="0" w:before="0" w:line="240" w:lineRule="auto"/>
            </w:pPr>
            <w:r/>
            <w:r>
              <w:rPr>
                <w:rFonts w:ascii="Aptos" w:hAnsi="Aptos"/>
                <w:b w:val="0"/>
                <w:color w:val="111827"/>
                <w:sz w:val="11"/>
              </w:rPr>
              <w:t>0.00</w:t>
            </w:r>
          </w:p>
        </w:tc>
        <w:tc>
          <w:tcPr>
            <w:tcW w:type="dxa" w:w="936"/>
            <w:vAlign w:val="center"/>
            <w:shd w:fill="F5F7FA"/>
          </w:tcPr>
          <w:p>
            <w:pPr>
              <w:spacing w:after="0" w:before="0" w:line="240" w:lineRule="auto"/>
            </w:pPr>
            <w:r/>
            <w:r>
              <w:rPr>
                <w:rFonts w:ascii="Aptos" w:hAnsi="Aptos"/>
                <w:b w:val="0"/>
                <w:color w:val="111827"/>
                <w:sz w:val="11"/>
              </w:rPr>
              <w:t>15% of R sensitivity</w:t>
            </w:r>
          </w:p>
        </w:tc>
        <w:tc>
          <w:tcPr>
            <w:tcW w:type="dxa" w:w="1008"/>
            <w:vAlign w:val="center"/>
            <w:shd w:fill="F5F7FA"/>
          </w:tcPr>
          <w:p>
            <w:pPr>
              <w:spacing w:after="0" w:before="0" w:line="240" w:lineRule="auto"/>
            </w:pPr>
            <w:r/>
            <w:r>
              <w:rPr>
                <w:rFonts w:ascii="Aptos" w:hAnsi="Aptos"/>
                <w:b w:val="0"/>
                <w:color w:val="111827"/>
                <w:sz w:val="11"/>
              </w:rPr>
              <w:t>$/order</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Base model does not assume a retained fee without product-specific evidence.</w:t>
            </w:r>
          </w:p>
        </w:tc>
        <w:tc>
          <w:tcPr>
            <w:tcW w:type="dxa" w:w="3024"/>
            <w:vAlign w:val="center"/>
            <w:shd w:fill="F5F7FA"/>
          </w:tcPr>
          <w:p>
            <w:pPr>
              <w:spacing w:after="0" w:before="0" w:line="240" w:lineRule="auto"/>
            </w:pPr>
            <w:r/>
            <w:r>
              <w:rPr>
                <w:rFonts w:ascii="Aptos" w:hAnsi="Aptos"/>
                <w:b w:val="0"/>
                <w:color w:val="111827"/>
                <w:sz w:val="11"/>
              </w:rPr>
              <w:t>Reduces customer refund and dollar return tax one-for-one.</w:t>
            </w:r>
          </w:p>
        </w:tc>
        <w:tc>
          <w:tcPr>
            <w:tcW w:type="dxa" w:w="1008"/>
            <w:vAlign w:val="center"/>
            <w:shd w:fill="F5F7FA"/>
          </w:tcPr>
          <w:p>
            <w:pPr>
              <w:spacing w:after="0" w:before="0" w:line="240" w:lineRule="auto"/>
            </w:pPr>
            <w:r/>
            <w:r>
              <w:rPr>
                <w:rFonts w:ascii="Aptos" w:hAnsi="Aptos"/>
                <w:b w:val="0"/>
                <w:color w:val="111827"/>
                <w:sz w:val="11"/>
              </w:rPr>
              <w:t>P01</w:t>
            </w:r>
          </w:p>
        </w:tc>
      </w:tr>
      <w:tr>
        <w:tc>
          <w:tcPr>
            <w:tcW w:type="dxa" w:w="1728"/>
            <w:vAlign w:val="center"/>
          </w:tcPr>
          <w:p>
            <w:pPr>
              <w:spacing w:after="0" w:before="0" w:line="240" w:lineRule="auto"/>
            </w:pPr>
            <w:r/>
            <w:r>
              <w:rPr>
                <w:rFonts w:ascii="Aptos" w:hAnsi="Aptos"/>
                <w:b/>
                <w:color w:val="111827"/>
                <w:sz w:val="11"/>
              </w:rPr>
              <w:t>Landed product cost (C)</w:t>
            </w:r>
          </w:p>
        </w:tc>
        <w:tc>
          <w:tcPr>
            <w:tcW w:type="dxa" w:w="2088"/>
            <w:vAlign w:val="center"/>
          </w:tcPr>
          <w:p>
            <w:pPr>
              <w:spacing w:after="0" w:before="0" w:line="240" w:lineRule="auto"/>
            </w:pPr>
            <w:r/>
            <w:r>
              <w:rPr>
                <w:rFonts w:ascii="Aptos" w:hAnsi="Aptos"/>
                <w:b w:val="0"/>
                <w:color w:val="111827"/>
                <w:sz w:val="11"/>
              </w:rPr>
              <w:t>Basic clothing item ($20)</w:t>
            </w:r>
          </w:p>
        </w:tc>
        <w:tc>
          <w:tcPr>
            <w:tcW w:type="dxa" w:w="936"/>
            <w:vAlign w:val="center"/>
          </w:tcPr>
          <w:p>
            <w:pPr>
              <w:spacing w:after="0" w:before="0" w:line="240" w:lineRule="auto"/>
            </w:pPr>
            <w:r/>
            <w:r>
              <w:rPr>
                <w:rFonts w:ascii="Aptos" w:hAnsi="Aptos"/>
                <w:b w:val="0"/>
                <w:color w:val="111827"/>
                <w:sz w:val="11"/>
              </w:rPr>
              <w:t>$4.00</w:t>
            </w:r>
          </w:p>
        </w:tc>
        <w:tc>
          <w:tcPr>
            <w:tcW w:type="dxa" w:w="1008"/>
            <w:vAlign w:val="center"/>
          </w:tcPr>
          <w:p>
            <w:pPr>
              <w:spacing w:after="0" w:before="0" w:line="240" w:lineRule="auto"/>
            </w:pPr>
            <w:r/>
            <w:r>
              <w:rPr>
                <w:rFonts w:ascii="Aptos" w:hAnsi="Aptos"/>
                <w:b w:val="0"/>
                <w:color w:val="111827"/>
                <w:sz w:val="11"/>
              </w:rPr>
              <w:t>$6.00</w:t>
            </w:r>
          </w:p>
        </w:tc>
        <w:tc>
          <w:tcPr>
            <w:tcW w:type="dxa" w:w="936"/>
            <w:vAlign w:val="center"/>
          </w:tcPr>
          <w:p>
            <w:pPr>
              <w:spacing w:after="0" w:before="0" w:line="240" w:lineRule="auto"/>
            </w:pPr>
            <w:r/>
            <w:r>
              <w:rPr>
                <w:rFonts w:ascii="Aptos" w:hAnsi="Aptos"/>
                <w:b w:val="0"/>
                <w:color w:val="111827"/>
                <w:sz w:val="11"/>
              </w:rPr>
              <w:t>$8.00</w:t>
            </w:r>
          </w:p>
        </w:tc>
        <w:tc>
          <w:tcPr>
            <w:tcW w:type="dxa" w:w="1008"/>
            <w:vAlign w:val="center"/>
          </w:tcPr>
          <w:p>
            <w:pPr>
              <w:spacing w:after="0" w:before="0" w:line="240" w:lineRule="auto"/>
            </w:pPr>
            <w:r/>
            <w:r>
              <w:rPr>
                <w:rFonts w:ascii="Aptos" w:hAnsi="Aptos"/>
                <w:b w:val="0"/>
                <w:color w:val="111827"/>
                <w:sz w:val="11"/>
              </w:rPr>
              <w:t>$</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No product-level COGS supplied; calibrated to category margin structure.</w:t>
            </w:r>
          </w:p>
        </w:tc>
        <w:tc>
          <w:tcPr>
            <w:tcW w:type="dxa" w:w="3024"/>
            <w:vAlign w:val="center"/>
          </w:tcPr>
          <w:p>
            <w:pPr>
              <w:spacing w:after="0" w:before="0" w:line="240" w:lineRule="auto"/>
            </w:pPr>
            <w:r/>
            <w:r>
              <w:rPr>
                <w:rFonts w:ascii="Aptos" w:hAnsi="Aptos"/>
                <w:b w:val="0"/>
                <w:color w:val="111827"/>
                <w:sz w:val="11"/>
              </w:rPr>
              <w:t>Does not change return-tax dollars under the specified incremental formula, but changes post-return loss and tax as % of kept contribution.</w:t>
            </w:r>
          </w:p>
        </w:tc>
        <w:tc>
          <w:tcPr>
            <w:tcW w:type="dxa" w:w="1008"/>
            <w:vAlign w:val="center"/>
          </w:tcPr>
          <w:p>
            <w:pPr>
              <w:spacing w:after="0" w:before="0" w:line="240" w:lineRule="auto"/>
            </w:pPr>
            <w:r/>
            <w:r>
              <w:rPr>
                <w:rFonts w:ascii="Aptos" w:hAnsi="Aptos"/>
                <w:b w:val="0"/>
                <w:color w:val="111827"/>
                <w:sz w:val="11"/>
              </w:rPr>
              <w:t>P01; P02</w:t>
            </w:r>
          </w:p>
        </w:tc>
      </w:tr>
      <w:tr>
        <w:tc>
          <w:tcPr>
            <w:tcW w:type="dxa" w:w="1728"/>
            <w:vAlign w:val="center"/>
            <w:shd w:fill="F5F7FA"/>
          </w:tcPr>
          <w:p>
            <w:pPr>
              <w:spacing w:after="0" w:before="0" w:line="240" w:lineRule="auto"/>
            </w:pPr>
            <w:r/>
            <w:r>
              <w:rPr>
                <w:rFonts w:ascii="Aptos" w:hAnsi="Aptos"/>
                <w:b/>
                <w:color w:val="111827"/>
                <w:sz w:val="11"/>
              </w:rPr>
              <w:t>Outbound fulfillment and shipping (Fo)</w:t>
            </w:r>
          </w:p>
        </w:tc>
        <w:tc>
          <w:tcPr>
            <w:tcW w:type="dxa" w:w="2088"/>
            <w:vAlign w:val="center"/>
            <w:shd w:fill="F5F7FA"/>
          </w:tcPr>
          <w:p>
            <w:pPr>
              <w:spacing w:after="0" w:before="0" w:line="240" w:lineRule="auto"/>
            </w:pPr>
            <w:r/>
            <w:r>
              <w:rPr>
                <w:rFonts w:ascii="Aptos" w:hAnsi="Aptos"/>
                <w:b w:val="0"/>
                <w:color w:val="111827"/>
                <w:sz w:val="11"/>
              </w:rPr>
              <w:t>Basic clothing item ($20)</w:t>
            </w:r>
          </w:p>
        </w:tc>
        <w:tc>
          <w:tcPr>
            <w:tcW w:type="dxa" w:w="936"/>
            <w:vAlign w:val="center"/>
            <w:shd w:fill="F5F7FA"/>
          </w:tcPr>
          <w:p>
            <w:pPr>
              <w:spacing w:after="0" w:before="0" w:line="240" w:lineRule="auto"/>
            </w:pPr>
            <w:r/>
            <w:r>
              <w:rPr>
                <w:rFonts w:ascii="Aptos" w:hAnsi="Aptos"/>
                <w:b w:val="0"/>
                <w:color w:val="111827"/>
                <w:sz w:val="11"/>
              </w:rPr>
              <w:t>$3.38</w:t>
            </w:r>
          </w:p>
        </w:tc>
        <w:tc>
          <w:tcPr>
            <w:tcW w:type="dxa" w:w="1008"/>
            <w:vAlign w:val="center"/>
            <w:shd w:fill="F5F7FA"/>
          </w:tcPr>
          <w:p>
            <w:pPr>
              <w:spacing w:after="0" w:before="0" w:line="240" w:lineRule="auto"/>
            </w:pPr>
            <w:r/>
            <w:r>
              <w:rPr>
                <w:rFonts w:ascii="Aptos" w:hAnsi="Aptos"/>
                <w:b w:val="0"/>
                <w:color w:val="111827"/>
                <w:sz w:val="11"/>
              </w:rPr>
              <w:t>$4.50</w:t>
            </w:r>
          </w:p>
        </w:tc>
        <w:tc>
          <w:tcPr>
            <w:tcW w:type="dxa" w:w="936"/>
            <w:vAlign w:val="center"/>
            <w:shd w:fill="F5F7FA"/>
          </w:tcPr>
          <w:p>
            <w:pPr>
              <w:spacing w:after="0" w:before="0" w:line="240" w:lineRule="auto"/>
            </w:pPr>
            <w:r/>
            <w:r>
              <w:rPr>
                <w:rFonts w:ascii="Aptos" w:hAnsi="Aptos"/>
                <w:b w:val="0"/>
                <w:color w:val="111827"/>
                <w:sz w:val="11"/>
              </w:rPr>
              <w:t>$6.08</w:t>
            </w:r>
          </w:p>
        </w:tc>
        <w:tc>
          <w:tcPr>
            <w:tcW w:type="dxa" w:w="1008"/>
            <w:vAlign w:val="center"/>
            <w:shd w:fill="F5F7FA"/>
          </w:tcPr>
          <w:p>
            <w:pPr>
              <w:spacing w:after="0" w:before="0" w:line="240" w:lineRule="auto"/>
            </w:pPr>
            <w:r/>
            <w:r>
              <w:rPr>
                <w:rFonts w:ascii="Aptos" w:hAnsi="Aptos"/>
                <w:b w:val="0"/>
                <w:color w:val="111827"/>
                <w:sz w:val="11"/>
              </w:rPr>
              <w:t>$</w:t>
            </w:r>
          </w:p>
        </w:tc>
        <w:tc>
          <w:tcPr>
            <w:tcW w:type="dxa" w:w="1224"/>
            <w:vAlign w:val="center"/>
            <w:shd w:fill="F5F7FA"/>
          </w:tcPr>
          <w:p>
            <w:pPr>
              <w:spacing w:after="0" w:before="0" w:line="240" w:lineRule="auto"/>
            </w:pPr>
            <w:r/>
            <w:r>
              <w:rPr>
                <w:rFonts w:ascii="Aptos" w:hAnsi="Aptos"/>
                <w:b w:val="0"/>
                <w:color w:val="111827"/>
                <w:sz w:val="11"/>
              </w:rPr>
              <w:t>Proxy</w:t>
            </w:r>
          </w:p>
        </w:tc>
        <w:tc>
          <w:tcPr>
            <w:tcW w:type="dxa" w:w="3096"/>
            <w:vAlign w:val="center"/>
            <w:shd w:fill="F5F7FA"/>
          </w:tcPr>
          <w:p>
            <w:pPr>
              <w:spacing w:after="0" w:before="0" w:line="240" w:lineRule="auto"/>
            </w:pPr>
            <w:r/>
            <w:r>
              <w:rPr>
                <w:rFonts w:ascii="Aptos" w:hAnsi="Aptos"/>
                <w:b w:val="0"/>
                <w:color w:val="111827"/>
                <w:sz w:val="11"/>
              </w:rPr>
              <w:t>Calibrated to package size and public carrier/WFS anchors; actual negotiated rates unknown.</w:t>
            </w:r>
          </w:p>
        </w:tc>
        <w:tc>
          <w:tcPr>
            <w:tcW w:type="dxa" w:w="3024"/>
            <w:vAlign w:val="center"/>
            <w:shd w:fill="F5F7FA"/>
          </w:tcPr>
          <w:p>
            <w:pPr>
              <w:spacing w:after="0" w:before="0" w:line="240" w:lineRule="auto"/>
            </w:pPr>
            <w:r/>
            <w:r>
              <w:rPr>
                <w:rFonts w:ascii="Aptos" w:hAnsi="Aptos"/>
                <w:b w:val="0"/>
                <w:color w:val="111827"/>
                <w:sz w:val="11"/>
              </w:rPr>
              <w:t>Changes kept and post-return contribution equally; does not change incremental return-tax dollars unless used again as secondary transport.</w:t>
            </w:r>
          </w:p>
        </w:tc>
        <w:tc>
          <w:tcPr>
            <w:tcW w:type="dxa" w:w="1008"/>
            <w:vAlign w:val="center"/>
            <w:shd w:fill="F5F7FA"/>
          </w:tcPr>
          <w:p>
            <w:pPr>
              <w:spacing w:after="0" w:before="0" w:line="240" w:lineRule="auto"/>
            </w:pPr>
            <w:r/>
            <w:r>
              <w:rPr>
                <w:rFonts w:ascii="Aptos" w:hAnsi="Aptos"/>
                <w:b w:val="0"/>
                <w:color w:val="111827"/>
                <w:sz w:val="11"/>
              </w:rPr>
              <w:t>S17; S21-S26</w:t>
            </w:r>
          </w:p>
        </w:tc>
      </w:tr>
      <w:tr>
        <w:tc>
          <w:tcPr>
            <w:tcW w:type="dxa" w:w="1728"/>
            <w:vAlign w:val="center"/>
          </w:tcPr>
          <w:p>
            <w:pPr>
              <w:spacing w:after="0" w:before="0" w:line="240" w:lineRule="auto"/>
            </w:pPr>
            <w:r/>
            <w:r>
              <w:rPr>
                <w:rFonts w:ascii="Aptos" w:hAnsi="Aptos"/>
                <w:b/>
                <w:color w:val="111827"/>
                <w:sz w:val="11"/>
              </w:rPr>
              <w:t>Return rate (p_r)</w:t>
            </w:r>
          </w:p>
        </w:tc>
        <w:tc>
          <w:tcPr>
            <w:tcW w:type="dxa" w:w="2088"/>
            <w:vAlign w:val="center"/>
          </w:tcPr>
          <w:p>
            <w:pPr>
              <w:spacing w:after="0" w:before="0" w:line="240" w:lineRule="auto"/>
            </w:pPr>
            <w:r/>
            <w:r>
              <w:rPr>
                <w:rFonts w:ascii="Aptos" w:hAnsi="Aptos"/>
                <w:b w:val="0"/>
                <w:color w:val="111827"/>
                <w:sz w:val="11"/>
              </w:rPr>
              <w:t>Basic clothing item ($20)</w:t>
            </w:r>
          </w:p>
        </w:tc>
        <w:tc>
          <w:tcPr>
            <w:tcW w:type="dxa" w:w="936"/>
            <w:vAlign w:val="center"/>
          </w:tcPr>
          <w:p>
            <w:pPr>
              <w:spacing w:after="0" w:before="0" w:line="240" w:lineRule="auto"/>
            </w:pPr>
            <w:r/>
            <w:r>
              <w:rPr>
                <w:rFonts w:ascii="Aptos" w:hAnsi="Aptos"/>
                <w:b w:val="0"/>
                <w:color w:val="111827"/>
                <w:sz w:val="11"/>
              </w:rPr>
              <w:t>18.8%</w:t>
            </w:r>
          </w:p>
        </w:tc>
        <w:tc>
          <w:tcPr>
            <w:tcW w:type="dxa" w:w="1008"/>
            <w:vAlign w:val="center"/>
          </w:tcPr>
          <w:p>
            <w:pPr>
              <w:spacing w:after="0" w:before="0" w:line="240" w:lineRule="auto"/>
            </w:pPr>
            <w:r/>
            <w:r>
              <w:rPr>
                <w:rFonts w:ascii="Aptos" w:hAnsi="Aptos"/>
                <w:b w:val="0"/>
                <w:color w:val="111827"/>
                <w:sz w:val="11"/>
              </w:rPr>
              <w:t>25.0%</w:t>
            </w:r>
          </w:p>
        </w:tc>
        <w:tc>
          <w:tcPr>
            <w:tcW w:type="dxa" w:w="936"/>
            <w:vAlign w:val="center"/>
          </w:tcPr>
          <w:p>
            <w:pPr>
              <w:spacing w:after="0" w:before="0" w:line="240" w:lineRule="auto"/>
            </w:pPr>
            <w:r/>
            <w:r>
              <w:rPr>
                <w:rFonts w:ascii="Aptos" w:hAnsi="Aptos"/>
                <w:b w:val="0"/>
                <w:color w:val="111827"/>
                <w:sz w:val="11"/>
              </w:rPr>
              <w:t>31.2%</w:t>
            </w:r>
          </w:p>
        </w:tc>
        <w:tc>
          <w:tcPr>
            <w:tcW w:type="dxa" w:w="1008"/>
            <w:vAlign w:val="center"/>
          </w:tcPr>
          <w:p>
            <w:pPr>
              <w:spacing w:after="0" w:before="0" w:line="240" w:lineRule="auto"/>
            </w:pPr>
            <w:r/>
            <w:r>
              <w:rPr>
                <w:rFonts w:ascii="Aptos" w:hAnsi="Aptos"/>
                <w:b w:val="0"/>
                <w:color w:val="111827"/>
                <w:sz w:val="11"/>
              </w:rPr>
              <w:t>% of orders</w:t>
            </w:r>
          </w:p>
        </w:tc>
        <w:tc>
          <w:tcPr>
            <w:tcW w:type="dxa" w:w="1224"/>
            <w:vAlign w:val="center"/>
          </w:tcPr>
          <w:p>
            <w:pPr>
              <w:spacing w:after="0" w:before="0" w:line="240" w:lineRule="auto"/>
            </w:pPr>
            <w:r/>
            <w:r>
              <w:rPr>
                <w:rFonts w:ascii="Aptos" w:hAnsi="Aptos"/>
                <w:b w:val="0"/>
                <w:color w:val="111827"/>
                <w:sz w:val="11"/>
              </w:rPr>
              <w:t>Assumption/proxy</w:t>
            </w:r>
          </w:p>
        </w:tc>
        <w:tc>
          <w:tcPr>
            <w:tcW w:type="dxa" w:w="3096"/>
            <w:vAlign w:val="center"/>
          </w:tcPr>
          <w:p>
            <w:pPr>
              <w:spacing w:after="0" w:before="0" w:line="240" w:lineRule="auto"/>
            </w:pPr>
            <w:r/>
            <w:r>
              <w:rPr>
                <w:rFonts w:ascii="Aptos" w:hAnsi="Aptos"/>
                <w:b w:val="0"/>
                <w:color w:val="111827"/>
                <w:sz w:val="11"/>
              </w:rPr>
              <w:t>Category-specific population rates are not consistently disclosed; broad online and furniture anchors used.</w:t>
            </w:r>
          </w:p>
        </w:tc>
        <w:tc>
          <w:tcPr>
            <w:tcW w:type="dxa" w:w="3024"/>
            <w:vAlign w:val="center"/>
          </w:tcPr>
          <w:p>
            <w:pPr>
              <w:spacing w:after="0" w:before="0" w:line="240" w:lineRule="auto"/>
            </w:pPr>
            <w:r/>
            <w:r>
              <w:rPr>
                <w:rFonts w:ascii="Aptos" w:hAnsi="Aptos"/>
                <w:b w:val="0"/>
                <w:color w:val="111827"/>
                <w:sz w:val="11"/>
              </w:rPr>
              <w:t>Scales expected return tax per order linearly.</w:t>
            </w:r>
          </w:p>
        </w:tc>
        <w:tc>
          <w:tcPr>
            <w:tcW w:type="dxa" w:w="1008"/>
            <w:vAlign w:val="center"/>
          </w:tcPr>
          <w:p>
            <w:pPr>
              <w:spacing w:after="0" w:before="0" w:line="240" w:lineRule="auto"/>
            </w:pPr>
            <w:r/>
            <w:r>
              <w:rPr>
                <w:rFonts w:ascii="Aptos" w:hAnsi="Aptos"/>
                <w:b w:val="0"/>
                <w:color w:val="111827"/>
                <w:sz w:val="11"/>
              </w:rPr>
              <w:t>S34; S40; P01</w:t>
            </w:r>
          </w:p>
        </w:tc>
      </w:tr>
      <w:tr>
        <w:tc>
          <w:tcPr>
            <w:tcW w:type="dxa" w:w="1728"/>
            <w:vAlign w:val="center"/>
            <w:shd w:fill="F5F7FA"/>
          </w:tcPr>
          <w:p>
            <w:pPr>
              <w:spacing w:after="0" w:before="0" w:line="240" w:lineRule="auto"/>
            </w:pPr>
            <w:r/>
            <w:r>
              <w:rPr>
                <w:rFonts w:ascii="Aptos" w:hAnsi="Aptos"/>
                <w:b/>
                <w:color w:val="111827"/>
                <w:sz w:val="11"/>
              </w:rPr>
              <w:t>Inspection minutes</w:t>
            </w:r>
          </w:p>
        </w:tc>
        <w:tc>
          <w:tcPr>
            <w:tcW w:type="dxa" w:w="2088"/>
            <w:vAlign w:val="center"/>
            <w:shd w:fill="F5F7FA"/>
          </w:tcPr>
          <w:p>
            <w:pPr>
              <w:spacing w:after="0" w:before="0" w:line="240" w:lineRule="auto"/>
            </w:pPr>
            <w:r/>
            <w:r>
              <w:rPr>
                <w:rFonts w:ascii="Aptos" w:hAnsi="Aptos"/>
                <w:b w:val="0"/>
                <w:color w:val="111827"/>
                <w:sz w:val="11"/>
              </w:rPr>
              <w:t>Basic clothing item ($20)</w:t>
            </w:r>
          </w:p>
        </w:tc>
        <w:tc>
          <w:tcPr>
            <w:tcW w:type="dxa" w:w="936"/>
            <w:vAlign w:val="center"/>
            <w:shd w:fill="F5F7FA"/>
          </w:tcPr>
          <w:p>
            <w:pPr>
              <w:spacing w:after="0" w:before="0" w:line="240" w:lineRule="auto"/>
            </w:pPr>
            <w:r/>
            <w:r>
              <w:rPr>
                <w:rFonts w:ascii="Aptos" w:hAnsi="Aptos"/>
                <w:b w:val="0"/>
                <w:color w:val="111827"/>
                <w:sz w:val="11"/>
              </w:rPr>
              <w:t>1.88</w:t>
            </w:r>
          </w:p>
        </w:tc>
        <w:tc>
          <w:tcPr>
            <w:tcW w:type="dxa" w:w="1008"/>
            <w:vAlign w:val="center"/>
            <w:shd w:fill="F5F7FA"/>
          </w:tcPr>
          <w:p>
            <w:pPr>
              <w:spacing w:after="0" w:before="0" w:line="240" w:lineRule="auto"/>
            </w:pPr>
            <w:r/>
            <w:r>
              <w:rPr>
                <w:rFonts w:ascii="Aptos" w:hAnsi="Aptos"/>
                <w:b w:val="0"/>
                <w:color w:val="111827"/>
                <w:sz w:val="11"/>
              </w:rPr>
              <w:t>2.50</w:t>
            </w:r>
          </w:p>
        </w:tc>
        <w:tc>
          <w:tcPr>
            <w:tcW w:type="dxa" w:w="936"/>
            <w:vAlign w:val="center"/>
            <w:shd w:fill="F5F7FA"/>
          </w:tcPr>
          <w:p>
            <w:pPr>
              <w:spacing w:after="0" w:before="0" w:line="240" w:lineRule="auto"/>
            </w:pPr>
            <w:r/>
            <w:r>
              <w:rPr>
                <w:rFonts w:ascii="Aptos" w:hAnsi="Aptos"/>
                <w:b w:val="0"/>
                <w:color w:val="111827"/>
                <w:sz w:val="11"/>
              </w:rPr>
              <w:t>3.75</w:t>
            </w:r>
          </w:p>
        </w:tc>
        <w:tc>
          <w:tcPr>
            <w:tcW w:type="dxa" w:w="1008"/>
            <w:vAlign w:val="center"/>
            <w:shd w:fill="F5F7FA"/>
          </w:tcPr>
          <w:p>
            <w:pPr>
              <w:spacing w:after="0" w:before="0" w:line="240" w:lineRule="auto"/>
            </w:pPr>
            <w:r/>
            <w:r>
              <w:rPr>
                <w:rFonts w:ascii="Aptos" w:hAnsi="Aptos"/>
                <w:b w:val="0"/>
                <w:color w:val="111827"/>
                <w:sz w:val="11"/>
              </w:rPr>
              <w:t>minutes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Labor minutes are a named research gap.</w:t>
            </w:r>
          </w:p>
        </w:tc>
        <w:tc>
          <w:tcPr>
            <w:tcW w:type="dxa" w:w="3024"/>
            <w:vAlign w:val="center"/>
            <w:shd w:fill="F5F7FA"/>
          </w:tcPr>
          <w:p>
            <w:pPr>
              <w:spacing w:after="0" w:before="0" w:line="240" w:lineRule="auto"/>
            </w:pPr>
            <w:r/>
            <w:r>
              <w:rPr>
                <w:rFonts w:ascii="Aptos" w:hAnsi="Aptos"/>
                <w:b w:val="0"/>
                <w:color w:val="111827"/>
                <w:sz w:val="11"/>
              </w:rPr>
              <w:t>Can flip retrieval decisions for low-value items.</w:t>
            </w:r>
          </w:p>
        </w:tc>
        <w:tc>
          <w:tcPr>
            <w:tcW w:type="dxa" w:w="1008"/>
            <w:vAlign w:val="center"/>
            <w:shd w:fill="F5F7FA"/>
          </w:tcPr>
          <w:p>
            <w:pPr>
              <w:spacing w:after="0" w:before="0" w:line="240" w:lineRule="auto"/>
            </w:pPr>
            <w:r/>
            <w:r>
              <w:rPr>
                <w:rFonts w:ascii="Aptos" w:hAnsi="Aptos"/>
                <w:b w:val="0"/>
                <w:color w:val="111827"/>
                <w:sz w:val="11"/>
              </w:rPr>
              <w:t>P01</w:t>
            </w:r>
          </w:p>
        </w:tc>
      </w:tr>
      <w:tr>
        <w:tc>
          <w:tcPr>
            <w:tcW w:type="dxa" w:w="1728"/>
            <w:vAlign w:val="center"/>
          </w:tcPr>
          <w:p>
            <w:pPr>
              <w:spacing w:after="0" w:before="0" w:line="240" w:lineRule="auto"/>
            </w:pPr>
            <w:r/>
            <w:r>
              <w:rPr>
                <w:rFonts w:ascii="Aptos" w:hAnsi="Aptos"/>
                <w:b/>
                <w:color w:val="111827"/>
                <w:sz w:val="11"/>
              </w:rPr>
              <w:t>Monthly product depreciation</w:t>
            </w:r>
          </w:p>
        </w:tc>
        <w:tc>
          <w:tcPr>
            <w:tcW w:type="dxa" w:w="2088"/>
            <w:vAlign w:val="center"/>
          </w:tcPr>
          <w:p>
            <w:pPr>
              <w:spacing w:after="0" w:before="0" w:line="240" w:lineRule="auto"/>
            </w:pPr>
            <w:r/>
            <w:r>
              <w:rPr>
                <w:rFonts w:ascii="Aptos" w:hAnsi="Aptos"/>
                <w:b w:val="0"/>
                <w:color w:val="111827"/>
                <w:sz w:val="11"/>
              </w:rPr>
              <w:t>Basic clothing item ($20)</w:t>
            </w:r>
          </w:p>
        </w:tc>
        <w:tc>
          <w:tcPr>
            <w:tcW w:type="dxa" w:w="936"/>
            <w:vAlign w:val="center"/>
          </w:tcPr>
          <w:p>
            <w:pPr>
              <w:spacing w:after="0" w:before="0" w:line="240" w:lineRule="auto"/>
            </w:pPr>
            <w:r/>
            <w:r>
              <w:rPr>
                <w:rFonts w:ascii="Aptos" w:hAnsi="Aptos"/>
                <w:b w:val="0"/>
                <w:color w:val="111827"/>
                <w:sz w:val="11"/>
              </w:rPr>
              <w:t>1.0%</w:t>
            </w:r>
          </w:p>
        </w:tc>
        <w:tc>
          <w:tcPr>
            <w:tcW w:type="dxa" w:w="1008"/>
            <w:vAlign w:val="center"/>
          </w:tcPr>
          <w:p>
            <w:pPr>
              <w:spacing w:after="0" w:before="0" w:line="240" w:lineRule="auto"/>
            </w:pPr>
            <w:r/>
            <w:r>
              <w:rPr>
                <w:rFonts w:ascii="Aptos" w:hAnsi="Aptos"/>
                <w:b w:val="0"/>
                <w:color w:val="111827"/>
                <w:sz w:val="11"/>
              </w:rPr>
              <w:t>2.0%</w:t>
            </w:r>
          </w:p>
        </w:tc>
        <w:tc>
          <w:tcPr>
            <w:tcW w:type="dxa" w:w="936"/>
            <w:vAlign w:val="center"/>
          </w:tcPr>
          <w:p>
            <w:pPr>
              <w:spacing w:after="0" w:before="0" w:line="240" w:lineRule="auto"/>
            </w:pPr>
            <w:r/>
            <w:r>
              <w:rPr>
                <w:rFonts w:ascii="Aptos" w:hAnsi="Aptos"/>
                <w:b w:val="0"/>
                <w:color w:val="111827"/>
                <w:sz w:val="11"/>
              </w:rPr>
              <w:t>4.0%</w:t>
            </w:r>
          </w:p>
        </w:tc>
        <w:tc>
          <w:tcPr>
            <w:tcW w:type="dxa" w:w="1008"/>
            <w:vAlign w:val="center"/>
          </w:tcPr>
          <w:p>
            <w:pPr>
              <w:spacing w:after="0" w:before="0" w:line="240" w:lineRule="auto"/>
            </w:pPr>
            <w:r/>
            <w:r>
              <w:rPr>
                <w:rFonts w:ascii="Aptos" w:hAnsi="Aptos"/>
                <w:b w:val="0"/>
                <w:color w:val="111827"/>
                <w:sz w:val="11"/>
              </w:rPr>
              <w:t>% per month</w:t>
            </w:r>
          </w:p>
        </w:tc>
        <w:tc>
          <w:tcPr>
            <w:tcW w:type="dxa" w:w="1224"/>
            <w:vAlign w:val="center"/>
          </w:tcPr>
          <w:p>
            <w:pPr>
              <w:spacing w:after="0" w:before="0" w:line="240" w:lineRule="auto"/>
            </w:pPr>
            <w:r/>
            <w:r>
              <w:rPr>
                <w:rFonts w:ascii="Aptos" w:hAnsi="Aptos"/>
                <w:b w:val="0"/>
                <w:color w:val="111827"/>
                <w:sz w:val="11"/>
              </w:rPr>
              <w:t>Proxy/assumption</w:t>
            </w:r>
          </w:p>
        </w:tc>
        <w:tc>
          <w:tcPr>
            <w:tcW w:type="dxa" w:w="3096"/>
            <w:vAlign w:val="center"/>
          </w:tcPr>
          <w:p>
            <w:pPr>
              <w:spacing w:after="0" w:before="0" w:line="240" w:lineRule="auto"/>
            </w:pPr>
            <w:r/>
            <w:r>
              <w:rPr>
                <w:rFonts w:ascii="Aptos" w:hAnsi="Aptos"/>
                <w:b w:val="0"/>
                <w:color w:val="111827"/>
                <w:sz w:val="11"/>
              </w:rPr>
              <w:t>Electronics market evidence supports faster depreciation; other categories use lower proxies.</w:t>
            </w:r>
          </w:p>
        </w:tc>
        <w:tc>
          <w:tcPr>
            <w:tcW w:type="dxa" w:w="3024"/>
            <w:vAlign w:val="center"/>
          </w:tcPr>
          <w:p>
            <w:pPr>
              <w:spacing w:after="0" w:before="0" w:line="240" w:lineRule="auto"/>
            </w:pPr>
            <w:r/>
            <w:r>
              <w:rPr>
                <w:rFonts w:ascii="Aptos" w:hAnsi="Aptos"/>
                <w:b w:val="0"/>
                <w:color w:val="111827"/>
                <w:sz w:val="11"/>
              </w:rPr>
              <w:t>Penalizes slow resale and refurbishment.</w:t>
            </w:r>
          </w:p>
        </w:tc>
        <w:tc>
          <w:tcPr>
            <w:tcW w:type="dxa" w:w="1008"/>
            <w:vAlign w:val="center"/>
          </w:tcPr>
          <w:p>
            <w:pPr>
              <w:spacing w:after="0" w:before="0" w:line="240" w:lineRule="auto"/>
            </w:pPr>
            <w:r/>
            <w:r>
              <w:rPr>
                <w:rFonts w:ascii="Aptos" w:hAnsi="Aptos"/>
                <w:b w:val="0"/>
                <w:color w:val="111827"/>
                <w:sz w:val="11"/>
              </w:rPr>
              <w:t>S39; P02</w:t>
            </w:r>
          </w:p>
        </w:tc>
      </w:tr>
      <w:tr>
        <w:tc>
          <w:tcPr>
            <w:tcW w:type="dxa" w:w="1728"/>
            <w:vAlign w:val="center"/>
            <w:shd w:fill="F5F7FA"/>
          </w:tcPr>
          <w:p>
            <w:pPr>
              <w:spacing w:after="0" w:before="0" w:line="240" w:lineRule="auto"/>
            </w:pPr>
            <w:r/>
            <w:r>
              <w:rPr>
                <w:rFonts w:ascii="Aptos" w:hAnsi="Aptos"/>
                <w:b/>
                <w:color w:val="111827"/>
                <w:sz w:val="11"/>
              </w:rPr>
              <w:t>Confirmed substitution/counterfeit probability</w:t>
            </w:r>
          </w:p>
        </w:tc>
        <w:tc>
          <w:tcPr>
            <w:tcW w:type="dxa" w:w="2088"/>
            <w:vAlign w:val="center"/>
            <w:shd w:fill="F5F7FA"/>
          </w:tcPr>
          <w:p>
            <w:pPr>
              <w:spacing w:after="0" w:before="0" w:line="240" w:lineRule="auto"/>
            </w:pPr>
            <w:r/>
            <w:r>
              <w:rPr>
                <w:rFonts w:ascii="Aptos" w:hAnsi="Aptos"/>
                <w:b w:val="0"/>
                <w:color w:val="111827"/>
                <w:sz w:val="11"/>
              </w:rPr>
              <w:t>Basic clothing item ($20)</w:t>
            </w:r>
          </w:p>
        </w:tc>
        <w:tc>
          <w:tcPr>
            <w:tcW w:type="dxa" w:w="936"/>
            <w:vAlign w:val="center"/>
            <w:shd w:fill="F5F7FA"/>
          </w:tcPr>
          <w:p>
            <w:pPr>
              <w:spacing w:after="0" w:before="0" w:line="240" w:lineRule="auto"/>
            </w:pPr>
            <w:r/>
            <w:r>
              <w:rPr>
                <w:rFonts w:ascii="Aptos" w:hAnsi="Aptos"/>
                <w:b w:val="0"/>
                <w:color w:val="111827"/>
                <w:sz w:val="11"/>
              </w:rPr>
              <w:t>0.0%</w:t>
            </w:r>
          </w:p>
        </w:tc>
        <w:tc>
          <w:tcPr>
            <w:tcW w:type="dxa" w:w="1008"/>
            <w:vAlign w:val="center"/>
            <w:shd w:fill="F5F7FA"/>
          </w:tcPr>
          <w:p>
            <w:pPr>
              <w:spacing w:after="0" w:before="0" w:line="240" w:lineRule="auto"/>
            </w:pPr>
            <w:r/>
            <w:r>
              <w:rPr>
                <w:rFonts w:ascii="Aptos" w:hAnsi="Aptos"/>
                <w:b w:val="0"/>
                <w:color w:val="111827"/>
                <w:sz w:val="11"/>
              </w:rPr>
              <w:t>2.0%</w:t>
            </w:r>
          </w:p>
        </w:tc>
        <w:tc>
          <w:tcPr>
            <w:tcW w:type="dxa" w:w="936"/>
            <w:vAlign w:val="center"/>
            <w:shd w:fill="F5F7FA"/>
          </w:tcPr>
          <w:p>
            <w:pPr>
              <w:spacing w:after="0" w:before="0" w:line="240" w:lineRule="auto"/>
            </w:pPr>
            <w:r/>
            <w:r>
              <w:rPr>
                <w:rFonts w:ascii="Aptos" w:hAnsi="Aptos"/>
                <w:b w:val="0"/>
                <w:color w:val="111827"/>
                <w:sz w:val="11"/>
              </w:rPr>
              <w:t>4.0%</w:t>
            </w:r>
          </w:p>
        </w:tc>
        <w:tc>
          <w:tcPr>
            <w:tcW w:type="dxa" w:w="1008"/>
            <w:vAlign w:val="center"/>
            <w:shd w:fill="F5F7FA"/>
          </w:tcPr>
          <w:p>
            <w:pPr>
              <w:spacing w:after="0" w:before="0" w:line="240" w:lineRule="auto"/>
            </w:pPr>
            <w:r/>
            <w:r>
              <w:rPr>
                <w:rFonts w:ascii="Aptos" w:hAnsi="Aptos"/>
                <w:b w:val="0"/>
                <w:color w:val="111827"/>
                <w:sz w:val="11"/>
              </w:rPr>
              <w:t>% of returns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Industry estimates combine fraud, abuse, and claims and are not category-specific; model uses narrower confirmed-event probabilities.</w:t>
            </w:r>
          </w:p>
        </w:tc>
        <w:tc>
          <w:tcPr>
            <w:tcW w:type="dxa" w:w="3024"/>
            <w:vAlign w:val="center"/>
            <w:shd w:fill="F5F7FA"/>
          </w:tcPr>
          <w:p>
            <w:pPr>
              <w:spacing w:after="0" w:before="0" w:line="240" w:lineRule="auto"/>
            </w:pPr>
            <w:r/>
            <w:r>
              <w:rPr>
                <w:rFonts w:ascii="Aptos" w:hAnsi="Aptos"/>
                <w:b w:val="0"/>
                <w:color w:val="111827"/>
                <w:sz w:val="11"/>
              </w:rPr>
              <w:t>Reduces expected recovery and can justify serial/authentication controls.</w:t>
            </w:r>
          </w:p>
        </w:tc>
        <w:tc>
          <w:tcPr>
            <w:tcW w:type="dxa" w:w="1008"/>
            <w:vAlign w:val="center"/>
            <w:shd w:fill="F5F7FA"/>
          </w:tcPr>
          <w:p>
            <w:pPr>
              <w:spacing w:after="0" w:before="0" w:line="240" w:lineRule="auto"/>
            </w:pPr>
            <w:r/>
            <w:r>
              <w:rPr>
                <w:rFonts w:ascii="Aptos" w:hAnsi="Aptos"/>
                <w:b w:val="0"/>
                <w:color w:val="111827"/>
                <w:sz w:val="11"/>
              </w:rPr>
              <w:t>S31; P01</w:t>
            </w:r>
          </w:p>
        </w:tc>
      </w:tr>
      <w:tr>
        <w:tc>
          <w:tcPr>
            <w:tcW w:type="dxa" w:w="1728"/>
            <w:vAlign w:val="center"/>
          </w:tcPr>
          <w:p>
            <w:pPr>
              <w:spacing w:after="0" w:before="0" w:line="240" w:lineRule="auto"/>
            </w:pPr>
            <w:r/>
            <w:r>
              <w:rPr>
                <w:rFonts w:ascii="Aptos" w:hAnsi="Aptos"/>
                <w:b/>
                <w:color w:val="111827"/>
                <w:sz w:val="11"/>
              </w:rPr>
              <w:t>Landed product cost (C)</w:t>
            </w:r>
          </w:p>
        </w:tc>
        <w:tc>
          <w:tcPr>
            <w:tcW w:type="dxa" w:w="2088"/>
            <w:vAlign w:val="center"/>
          </w:tcPr>
          <w:p>
            <w:pPr>
              <w:spacing w:after="0" w:before="0" w:line="240" w:lineRule="auto"/>
            </w:pPr>
            <w:r/>
            <w:r>
              <w:rPr>
                <w:rFonts w:ascii="Aptos" w:hAnsi="Aptos"/>
                <w:b w:val="0"/>
                <w:color w:val="111827"/>
                <w:sz w:val="11"/>
              </w:rPr>
              <w:t>Cosmetic/personal-care item ($20)</w:t>
            </w:r>
          </w:p>
        </w:tc>
        <w:tc>
          <w:tcPr>
            <w:tcW w:type="dxa" w:w="936"/>
            <w:vAlign w:val="center"/>
          </w:tcPr>
          <w:p>
            <w:pPr>
              <w:spacing w:after="0" w:before="0" w:line="240" w:lineRule="auto"/>
            </w:pPr>
            <w:r/>
            <w:r>
              <w:rPr>
                <w:rFonts w:ascii="Aptos" w:hAnsi="Aptos"/>
                <w:b w:val="0"/>
                <w:color w:val="111827"/>
                <w:sz w:val="11"/>
              </w:rPr>
              <w:t>$3.00</w:t>
            </w:r>
          </w:p>
        </w:tc>
        <w:tc>
          <w:tcPr>
            <w:tcW w:type="dxa" w:w="1008"/>
            <w:vAlign w:val="center"/>
          </w:tcPr>
          <w:p>
            <w:pPr>
              <w:spacing w:after="0" w:before="0" w:line="240" w:lineRule="auto"/>
            </w:pPr>
            <w:r/>
            <w:r>
              <w:rPr>
                <w:rFonts w:ascii="Aptos" w:hAnsi="Aptos"/>
                <w:b w:val="0"/>
                <w:color w:val="111827"/>
                <w:sz w:val="11"/>
              </w:rPr>
              <w:t>$5.00</w:t>
            </w:r>
          </w:p>
        </w:tc>
        <w:tc>
          <w:tcPr>
            <w:tcW w:type="dxa" w:w="936"/>
            <w:vAlign w:val="center"/>
          </w:tcPr>
          <w:p>
            <w:pPr>
              <w:spacing w:after="0" w:before="0" w:line="240" w:lineRule="auto"/>
            </w:pPr>
            <w:r/>
            <w:r>
              <w:rPr>
                <w:rFonts w:ascii="Aptos" w:hAnsi="Aptos"/>
                <w:b w:val="0"/>
                <w:color w:val="111827"/>
                <w:sz w:val="11"/>
              </w:rPr>
              <w:t>$7.00</w:t>
            </w:r>
          </w:p>
        </w:tc>
        <w:tc>
          <w:tcPr>
            <w:tcW w:type="dxa" w:w="1008"/>
            <w:vAlign w:val="center"/>
          </w:tcPr>
          <w:p>
            <w:pPr>
              <w:spacing w:after="0" w:before="0" w:line="240" w:lineRule="auto"/>
            </w:pPr>
            <w:r/>
            <w:r>
              <w:rPr>
                <w:rFonts w:ascii="Aptos" w:hAnsi="Aptos"/>
                <w:b w:val="0"/>
                <w:color w:val="111827"/>
                <w:sz w:val="11"/>
              </w:rPr>
              <w:t>$</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No product-level COGS supplied; calibrated to category margin structure.</w:t>
            </w:r>
          </w:p>
        </w:tc>
        <w:tc>
          <w:tcPr>
            <w:tcW w:type="dxa" w:w="3024"/>
            <w:vAlign w:val="center"/>
          </w:tcPr>
          <w:p>
            <w:pPr>
              <w:spacing w:after="0" w:before="0" w:line="240" w:lineRule="auto"/>
            </w:pPr>
            <w:r/>
            <w:r>
              <w:rPr>
                <w:rFonts w:ascii="Aptos" w:hAnsi="Aptos"/>
                <w:b w:val="0"/>
                <w:color w:val="111827"/>
                <w:sz w:val="11"/>
              </w:rPr>
              <w:t>Does not change return-tax dollars under the specified incremental formula, but changes post-return loss and tax as % of kept contribution.</w:t>
            </w:r>
          </w:p>
        </w:tc>
        <w:tc>
          <w:tcPr>
            <w:tcW w:type="dxa" w:w="1008"/>
            <w:vAlign w:val="center"/>
          </w:tcPr>
          <w:p>
            <w:pPr>
              <w:spacing w:after="0" w:before="0" w:line="240" w:lineRule="auto"/>
            </w:pPr>
            <w:r/>
            <w:r>
              <w:rPr>
                <w:rFonts w:ascii="Aptos" w:hAnsi="Aptos"/>
                <w:b w:val="0"/>
                <w:color w:val="111827"/>
                <w:sz w:val="11"/>
              </w:rPr>
              <w:t>P01; P02</w:t>
            </w:r>
          </w:p>
        </w:tc>
      </w:tr>
      <w:tr>
        <w:tc>
          <w:tcPr>
            <w:tcW w:type="dxa" w:w="1728"/>
            <w:vAlign w:val="center"/>
            <w:shd w:fill="F5F7FA"/>
          </w:tcPr>
          <w:p>
            <w:pPr>
              <w:spacing w:after="0" w:before="0" w:line="240" w:lineRule="auto"/>
            </w:pPr>
            <w:r/>
            <w:r>
              <w:rPr>
                <w:rFonts w:ascii="Aptos" w:hAnsi="Aptos"/>
                <w:b/>
                <w:color w:val="111827"/>
                <w:sz w:val="11"/>
              </w:rPr>
              <w:t>Outbound fulfillment and shipping (Fo)</w:t>
            </w:r>
          </w:p>
        </w:tc>
        <w:tc>
          <w:tcPr>
            <w:tcW w:type="dxa" w:w="2088"/>
            <w:vAlign w:val="center"/>
            <w:shd w:fill="F5F7FA"/>
          </w:tcPr>
          <w:p>
            <w:pPr>
              <w:spacing w:after="0" w:before="0" w:line="240" w:lineRule="auto"/>
            </w:pPr>
            <w:r/>
            <w:r>
              <w:rPr>
                <w:rFonts w:ascii="Aptos" w:hAnsi="Aptos"/>
                <w:b w:val="0"/>
                <w:color w:val="111827"/>
                <w:sz w:val="11"/>
              </w:rPr>
              <w:t>Cosmetic/personal-care item ($20)</w:t>
            </w:r>
          </w:p>
        </w:tc>
        <w:tc>
          <w:tcPr>
            <w:tcW w:type="dxa" w:w="936"/>
            <w:vAlign w:val="center"/>
            <w:shd w:fill="F5F7FA"/>
          </w:tcPr>
          <w:p>
            <w:pPr>
              <w:spacing w:after="0" w:before="0" w:line="240" w:lineRule="auto"/>
            </w:pPr>
            <w:r/>
            <w:r>
              <w:rPr>
                <w:rFonts w:ascii="Aptos" w:hAnsi="Aptos"/>
                <w:b w:val="0"/>
                <w:color w:val="111827"/>
                <w:sz w:val="11"/>
              </w:rPr>
              <w:t>$3.00</w:t>
            </w:r>
          </w:p>
        </w:tc>
        <w:tc>
          <w:tcPr>
            <w:tcW w:type="dxa" w:w="1008"/>
            <w:vAlign w:val="center"/>
            <w:shd w:fill="F5F7FA"/>
          </w:tcPr>
          <w:p>
            <w:pPr>
              <w:spacing w:after="0" w:before="0" w:line="240" w:lineRule="auto"/>
            </w:pPr>
            <w:r/>
            <w:r>
              <w:rPr>
                <w:rFonts w:ascii="Aptos" w:hAnsi="Aptos"/>
                <w:b w:val="0"/>
                <w:color w:val="111827"/>
                <w:sz w:val="11"/>
              </w:rPr>
              <w:t>$4.00</w:t>
            </w:r>
          </w:p>
        </w:tc>
        <w:tc>
          <w:tcPr>
            <w:tcW w:type="dxa" w:w="936"/>
            <w:vAlign w:val="center"/>
            <w:shd w:fill="F5F7FA"/>
          </w:tcPr>
          <w:p>
            <w:pPr>
              <w:spacing w:after="0" w:before="0" w:line="240" w:lineRule="auto"/>
            </w:pPr>
            <w:r/>
            <w:r>
              <w:rPr>
                <w:rFonts w:ascii="Aptos" w:hAnsi="Aptos"/>
                <w:b w:val="0"/>
                <w:color w:val="111827"/>
                <w:sz w:val="11"/>
              </w:rPr>
              <w:t>$5.40</w:t>
            </w:r>
          </w:p>
        </w:tc>
        <w:tc>
          <w:tcPr>
            <w:tcW w:type="dxa" w:w="1008"/>
            <w:vAlign w:val="center"/>
            <w:shd w:fill="F5F7FA"/>
          </w:tcPr>
          <w:p>
            <w:pPr>
              <w:spacing w:after="0" w:before="0" w:line="240" w:lineRule="auto"/>
            </w:pPr>
            <w:r/>
            <w:r>
              <w:rPr>
                <w:rFonts w:ascii="Aptos" w:hAnsi="Aptos"/>
                <w:b w:val="0"/>
                <w:color w:val="111827"/>
                <w:sz w:val="11"/>
              </w:rPr>
              <w:t>$</w:t>
            </w:r>
          </w:p>
        </w:tc>
        <w:tc>
          <w:tcPr>
            <w:tcW w:type="dxa" w:w="1224"/>
            <w:vAlign w:val="center"/>
            <w:shd w:fill="F5F7FA"/>
          </w:tcPr>
          <w:p>
            <w:pPr>
              <w:spacing w:after="0" w:before="0" w:line="240" w:lineRule="auto"/>
            </w:pPr>
            <w:r/>
            <w:r>
              <w:rPr>
                <w:rFonts w:ascii="Aptos" w:hAnsi="Aptos"/>
                <w:b w:val="0"/>
                <w:color w:val="111827"/>
                <w:sz w:val="11"/>
              </w:rPr>
              <w:t>Proxy</w:t>
            </w:r>
          </w:p>
        </w:tc>
        <w:tc>
          <w:tcPr>
            <w:tcW w:type="dxa" w:w="3096"/>
            <w:vAlign w:val="center"/>
            <w:shd w:fill="F5F7FA"/>
          </w:tcPr>
          <w:p>
            <w:pPr>
              <w:spacing w:after="0" w:before="0" w:line="240" w:lineRule="auto"/>
            </w:pPr>
            <w:r/>
            <w:r>
              <w:rPr>
                <w:rFonts w:ascii="Aptos" w:hAnsi="Aptos"/>
                <w:b w:val="0"/>
                <w:color w:val="111827"/>
                <w:sz w:val="11"/>
              </w:rPr>
              <w:t>Calibrated to package size and public carrier/WFS anchors; actual negotiated rates unknown.</w:t>
            </w:r>
          </w:p>
        </w:tc>
        <w:tc>
          <w:tcPr>
            <w:tcW w:type="dxa" w:w="3024"/>
            <w:vAlign w:val="center"/>
            <w:shd w:fill="F5F7FA"/>
          </w:tcPr>
          <w:p>
            <w:pPr>
              <w:spacing w:after="0" w:before="0" w:line="240" w:lineRule="auto"/>
            </w:pPr>
            <w:r/>
            <w:r>
              <w:rPr>
                <w:rFonts w:ascii="Aptos" w:hAnsi="Aptos"/>
                <w:b w:val="0"/>
                <w:color w:val="111827"/>
                <w:sz w:val="11"/>
              </w:rPr>
              <w:t>Changes kept and post-return contribution equally; does not change incremental return-tax dollars unless used again as secondary transport.</w:t>
            </w:r>
          </w:p>
        </w:tc>
        <w:tc>
          <w:tcPr>
            <w:tcW w:type="dxa" w:w="1008"/>
            <w:vAlign w:val="center"/>
            <w:shd w:fill="F5F7FA"/>
          </w:tcPr>
          <w:p>
            <w:pPr>
              <w:spacing w:after="0" w:before="0" w:line="240" w:lineRule="auto"/>
            </w:pPr>
            <w:r/>
            <w:r>
              <w:rPr>
                <w:rFonts w:ascii="Aptos" w:hAnsi="Aptos"/>
                <w:b w:val="0"/>
                <w:color w:val="111827"/>
                <w:sz w:val="11"/>
              </w:rPr>
              <w:t>S17; S21-S26</w:t>
            </w:r>
          </w:p>
        </w:tc>
      </w:tr>
      <w:tr>
        <w:tc>
          <w:tcPr>
            <w:tcW w:type="dxa" w:w="1728"/>
            <w:vAlign w:val="center"/>
          </w:tcPr>
          <w:p>
            <w:pPr>
              <w:spacing w:after="0" w:before="0" w:line="240" w:lineRule="auto"/>
            </w:pPr>
            <w:r/>
            <w:r>
              <w:rPr>
                <w:rFonts w:ascii="Aptos" w:hAnsi="Aptos"/>
                <w:b/>
                <w:color w:val="111827"/>
                <w:sz w:val="11"/>
              </w:rPr>
              <w:t>Return rate (p_r)</w:t>
            </w:r>
          </w:p>
        </w:tc>
        <w:tc>
          <w:tcPr>
            <w:tcW w:type="dxa" w:w="2088"/>
            <w:vAlign w:val="center"/>
          </w:tcPr>
          <w:p>
            <w:pPr>
              <w:spacing w:after="0" w:before="0" w:line="240" w:lineRule="auto"/>
            </w:pPr>
            <w:r/>
            <w:r>
              <w:rPr>
                <w:rFonts w:ascii="Aptos" w:hAnsi="Aptos"/>
                <w:b w:val="0"/>
                <w:color w:val="111827"/>
                <w:sz w:val="11"/>
              </w:rPr>
              <w:t>Cosmetic/personal-care item ($20)</w:t>
            </w:r>
          </w:p>
        </w:tc>
        <w:tc>
          <w:tcPr>
            <w:tcW w:type="dxa" w:w="936"/>
            <w:vAlign w:val="center"/>
          </w:tcPr>
          <w:p>
            <w:pPr>
              <w:spacing w:after="0" w:before="0" w:line="240" w:lineRule="auto"/>
            </w:pPr>
            <w:r/>
            <w:r>
              <w:rPr>
                <w:rFonts w:ascii="Aptos" w:hAnsi="Aptos"/>
                <w:b w:val="0"/>
                <w:color w:val="111827"/>
                <w:sz w:val="11"/>
              </w:rPr>
              <w:t>7.5%</w:t>
            </w:r>
          </w:p>
        </w:tc>
        <w:tc>
          <w:tcPr>
            <w:tcW w:type="dxa" w:w="1008"/>
            <w:vAlign w:val="center"/>
          </w:tcPr>
          <w:p>
            <w:pPr>
              <w:spacing w:after="0" w:before="0" w:line="240" w:lineRule="auto"/>
            </w:pPr>
            <w:r/>
            <w:r>
              <w:rPr>
                <w:rFonts w:ascii="Aptos" w:hAnsi="Aptos"/>
                <w:b w:val="0"/>
                <w:color w:val="111827"/>
                <w:sz w:val="11"/>
              </w:rPr>
              <w:t>10.0%</w:t>
            </w:r>
          </w:p>
        </w:tc>
        <w:tc>
          <w:tcPr>
            <w:tcW w:type="dxa" w:w="936"/>
            <w:vAlign w:val="center"/>
          </w:tcPr>
          <w:p>
            <w:pPr>
              <w:spacing w:after="0" w:before="0" w:line="240" w:lineRule="auto"/>
            </w:pPr>
            <w:r/>
            <w:r>
              <w:rPr>
                <w:rFonts w:ascii="Aptos" w:hAnsi="Aptos"/>
                <w:b w:val="0"/>
                <w:color w:val="111827"/>
                <w:sz w:val="11"/>
              </w:rPr>
              <w:t>12.5%</w:t>
            </w:r>
          </w:p>
        </w:tc>
        <w:tc>
          <w:tcPr>
            <w:tcW w:type="dxa" w:w="1008"/>
            <w:vAlign w:val="center"/>
          </w:tcPr>
          <w:p>
            <w:pPr>
              <w:spacing w:after="0" w:before="0" w:line="240" w:lineRule="auto"/>
            </w:pPr>
            <w:r/>
            <w:r>
              <w:rPr>
                <w:rFonts w:ascii="Aptos" w:hAnsi="Aptos"/>
                <w:b w:val="0"/>
                <w:color w:val="111827"/>
                <w:sz w:val="11"/>
              </w:rPr>
              <w:t>% of orders</w:t>
            </w:r>
          </w:p>
        </w:tc>
        <w:tc>
          <w:tcPr>
            <w:tcW w:type="dxa" w:w="1224"/>
            <w:vAlign w:val="center"/>
          </w:tcPr>
          <w:p>
            <w:pPr>
              <w:spacing w:after="0" w:before="0" w:line="240" w:lineRule="auto"/>
            </w:pPr>
            <w:r/>
            <w:r>
              <w:rPr>
                <w:rFonts w:ascii="Aptos" w:hAnsi="Aptos"/>
                <w:b w:val="0"/>
                <w:color w:val="111827"/>
                <w:sz w:val="11"/>
              </w:rPr>
              <w:t>Assumption/proxy</w:t>
            </w:r>
          </w:p>
        </w:tc>
        <w:tc>
          <w:tcPr>
            <w:tcW w:type="dxa" w:w="3096"/>
            <w:vAlign w:val="center"/>
          </w:tcPr>
          <w:p>
            <w:pPr>
              <w:spacing w:after="0" w:before="0" w:line="240" w:lineRule="auto"/>
            </w:pPr>
            <w:r/>
            <w:r>
              <w:rPr>
                <w:rFonts w:ascii="Aptos" w:hAnsi="Aptos"/>
                <w:b w:val="0"/>
                <w:color w:val="111827"/>
                <w:sz w:val="11"/>
              </w:rPr>
              <w:t>Category-specific population rates are not consistently disclosed; broad online and furniture anchors used.</w:t>
            </w:r>
          </w:p>
        </w:tc>
        <w:tc>
          <w:tcPr>
            <w:tcW w:type="dxa" w:w="3024"/>
            <w:vAlign w:val="center"/>
          </w:tcPr>
          <w:p>
            <w:pPr>
              <w:spacing w:after="0" w:before="0" w:line="240" w:lineRule="auto"/>
            </w:pPr>
            <w:r/>
            <w:r>
              <w:rPr>
                <w:rFonts w:ascii="Aptos" w:hAnsi="Aptos"/>
                <w:b w:val="0"/>
                <w:color w:val="111827"/>
                <w:sz w:val="11"/>
              </w:rPr>
              <w:t>Scales expected return tax per order linearly.</w:t>
            </w:r>
          </w:p>
        </w:tc>
        <w:tc>
          <w:tcPr>
            <w:tcW w:type="dxa" w:w="1008"/>
            <w:vAlign w:val="center"/>
          </w:tcPr>
          <w:p>
            <w:pPr>
              <w:spacing w:after="0" w:before="0" w:line="240" w:lineRule="auto"/>
            </w:pPr>
            <w:r/>
            <w:r>
              <w:rPr>
                <w:rFonts w:ascii="Aptos" w:hAnsi="Aptos"/>
                <w:b w:val="0"/>
                <w:color w:val="111827"/>
                <w:sz w:val="11"/>
              </w:rPr>
              <w:t>S34; S40; P01</w:t>
            </w:r>
          </w:p>
        </w:tc>
      </w:tr>
      <w:tr>
        <w:tc>
          <w:tcPr>
            <w:tcW w:type="dxa" w:w="1728"/>
            <w:vAlign w:val="center"/>
            <w:shd w:fill="F5F7FA"/>
          </w:tcPr>
          <w:p>
            <w:pPr>
              <w:spacing w:after="0" w:before="0" w:line="240" w:lineRule="auto"/>
            </w:pPr>
            <w:r/>
            <w:r>
              <w:rPr>
                <w:rFonts w:ascii="Aptos" w:hAnsi="Aptos"/>
                <w:b/>
                <w:color w:val="111827"/>
                <w:sz w:val="11"/>
              </w:rPr>
              <w:t>Inspection minutes</w:t>
            </w:r>
          </w:p>
        </w:tc>
        <w:tc>
          <w:tcPr>
            <w:tcW w:type="dxa" w:w="2088"/>
            <w:vAlign w:val="center"/>
            <w:shd w:fill="F5F7FA"/>
          </w:tcPr>
          <w:p>
            <w:pPr>
              <w:spacing w:after="0" w:before="0" w:line="240" w:lineRule="auto"/>
            </w:pPr>
            <w:r/>
            <w:r>
              <w:rPr>
                <w:rFonts w:ascii="Aptos" w:hAnsi="Aptos"/>
                <w:b w:val="0"/>
                <w:color w:val="111827"/>
                <w:sz w:val="11"/>
              </w:rPr>
              <w:t>Cosmetic/personal-care item ($20)</w:t>
            </w:r>
          </w:p>
        </w:tc>
        <w:tc>
          <w:tcPr>
            <w:tcW w:type="dxa" w:w="936"/>
            <w:vAlign w:val="center"/>
            <w:shd w:fill="F5F7FA"/>
          </w:tcPr>
          <w:p>
            <w:pPr>
              <w:spacing w:after="0" w:before="0" w:line="240" w:lineRule="auto"/>
            </w:pPr>
            <w:r/>
            <w:r>
              <w:rPr>
                <w:rFonts w:ascii="Aptos" w:hAnsi="Aptos"/>
                <w:b w:val="0"/>
                <w:color w:val="111827"/>
                <w:sz w:val="11"/>
              </w:rPr>
              <w:t>1.12</w:t>
            </w:r>
          </w:p>
        </w:tc>
        <w:tc>
          <w:tcPr>
            <w:tcW w:type="dxa" w:w="1008"/>
            <w:vAlign w:val="center"/>
            <w:shd w:fill="F5F7FA"/>
          </w:tcPr>
          <w:p>
            <w:pPr>
              <w:spacing w:after="0" w:before="0" w:line="240" w:lineRule="auto"/>
            </w:pPr>
            <w:r/>
            <w:r>
              <w:rPr>
                <w:rFonts w:ascii="Aptos" w:hAnsi="Aptos"/>
                <w:b w:val="0"/>
                <w:color w:val="111827"/>
                <w:sz w:val="11"/>
              </w:rPr>
              <w:t>1.50</w:t>
            </w:r>
          </w:p>
        </w:tc>
        <w:tc>
          <w:tcPr>
            <w:tcW w:type="dxa" w:w="936"/>
            <w:vAlign w:val="center"/>
            <w:shd w:fill="F5F7FA"/>
          </w:tcPr>
          <w:p>
            <w:pPr>
              <w:spacing w:after="0" w:before="0" w:line="240" w:lineRule="auto"/>
            </w:pPr>
            <w:r/>
            <w:r>
              <w:rPr>
                <w:rFonts w:ascii="Aptos" w:hAnsi="Aptos"/>
                <w:b w:val="0"/>
                <w:color w:val="111827"/>
                <w:sz w:val="11"/>
              </w:rPr>
              <w:t>2.25</w:t>
            </w:r>
          </w:p>
        </w:tc>
        <w:tc>
          <w:tcPr>
            <w:tcW w:type="dxa" w:w="1008"/>
            <w:vAlign w:val="center"/>
            <w:shd w:fill="F5F7FA"/>
          </w:tcPr>
          <w:p>
            <w:pPr>
              <w:spacing w:after="0" w:before="0" w:line="240" w:lineRule="auto"/>
            </w:pPr>
            <w:r/>
            <w:r>
              <w:rPr>
                <w:rFonts w:ascii="Aptos" w:hAnsi="Aptos"/>
                <w:b w:val="0"/>
                <w:color w:val="111827"/>
                <w:sz w:val="11"/>
              </w:rPr>
              <w:t>minutes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Labor minutes are a named research gap.</w:t>
            </w:r>
          </w:p>
        </w:tc>
        <w:tc>
          <w:tcPr>
            <w:tcW w:type="dxa" w:w="3024"/>
            <w:vAlign w:val="center"/>
            <w:shd w:fill="F5F7FA"/>
          </w:tcPr>
          <w:p>
            <w:pPr>
              <w:spacing w:after="0" w:before="0" w:line="240" w:lineRule="auto"/>
            </w:pPr>
            <w:r/>
            <w:r>
              <w:rPr>
                <w:rFonts w:ascii="Aptos" w:hAnsi="Aptos"/>
                <w:b w:val="0"/>
                <w:color w:val="111827"/>
                <w:sz w:val="11"/>
              </w:rPr>
              <w:t>Can flip retrieval decisions for low-value items.</w:t>
            </w:r>
          </w:p>
        </w:tc>
        <w:tc>
          <w:tcPr>
            <w:tcW w:type="dxa" w:w="1008"/>
            <w:vAlign w:val="center"/>
            <w:shd w:fill="F5F7FA"/>
          </w:tcPr>
          <w:p>
            <w:pPr>
              <w:spacing w:after="0" w:before="0" w:line="240" w:lineRule="auto"/>
            </w:pPr>
            <w:r/>
            <w:r>
              <w:rPr>
                <w:rFonts w:ascii="Aptos" w:hAnsi="Aptos"/>
                <w:b w:val="0"/>
                <w:color w:val="111827"/>
                <w:sz w:val="11"/>
              </w:rPr>
              <w:t>P01</w:t>
            </w:r>
          </w:p>
        </w:tc>
      </w:tr>
      <w:tr>
        <w:tc>
          <w:tcPr>
            <w:tcW w:type="dxa" w:w="1728"/>
            <w:vAlign w:val="center"/>
          </w:tcPr>
          <w:p>
            <w:pPr>
              <w:spacing w:after="0" w:before="0" w:line="240" w:lineRule="auto"/>
            </w:pPr>
            <w:r/>
            <w:r>
              <w:rPr>
                <w:rFonts w:ascii="Aptos" w:hAnsi="Aptos"/>
                <w:b/>
                <w:color w:val="111827"/>
                <w:sz w:val="11"/>
              </w:rPr>
              <w:t>Monthly product depreciation</w:t>
            </w:r>
          </w:p>
        </w:tc>
        <w:tc>
          <w:tcPr>
            <w:tcW w:type="dxa" w:w="2088"/>
            <w:vAlign w:val="center"/>
          </w:tcPr>
          <w:p>
            <w:pPr>
              <w:spacing w:after="0" w:before="0" w:line="240" w:lineRule="auto"/>
            </w:pPr>
            <w:r/>
            <w:r>
              <w:rPr>
                <w:rFonts w:ascii="Aptos" w:hAnsi="Aptos"/>
                <w:b w:val="0"/>
                <w:color w:val="111827"/>
                <w:sz w:val="11"/>
              </w:rPr>
              <w:t>Cosmetic/personal-care item ($20)</w:t>
            </w:r>
          </w:p>
        </w:tc>
        <w:tc>
          <w:tcPr>
            <w:tcW w:type="dxa" w:w="936"/>
            <w:vAlign w:val="center"/>
          </w:tcPr>
          <w:p>
            <w:pPr>
              <w:spacing w:after="0" w:before="0" w:line="240" w:lineRule="auto"/>
            </w:pPr>
            <w:r/>
            <w:r>
              <w:rPr>
                <w:rFonts w:ascii="Aptos" w:hAnsi="Aptos"/>
                <w:b w:val="0"/>
                <w:color w:val="111827"/>
                <w:sz w:val="11"/>
              </w:rPr>
              <w:t>0.8%</w:t>
            </w:r>
          </w:p>
        </w:tc>
        <w:tc>
          <w:tcPr>
            <w:tcW w:type="dxa" w:w="1008"/>
            <w:vAlign w:val="center"/>
          </w:tcPr>
          <w:p>
            <w:pPr>
              <w:spacing w:after="0" w:before="0" w:line="240" w:lineRule="auto"/>
            </w:pPr>
            <w:r/>
            <w:r>
              <w:rPr>
                <w:rFonts w:ascii="Aptos" w:hAnsi="Aptos"/>
                <w:b w:val="0"/>
                <w:color w:val="111827"/>
                <w:sz w:val="11"/>
              </w:rPr>
              <w:t>1.5%</w:t>
            </w:r>
          </w:p>
        </w:tc>
        <w:tc>
          <w:tcPr>
            <w:tcW w:type="dxa" w:w="936"/>
            <w:vAlign w:val="center"/>
          </w:tcPr>
          <w:p>
            <w:pPr>
              <w:spacing w:after="0" w:before="0" w:line="240" w:lineRule="auto"/>
            </w:pPr>
            <w:r/>
            <w:r>
              <w:rPr>
                <w:rFonts w:ascii="Aptos" w:hAnsi="Aptos"/>
                <w:b w:val="0"/>
                <w:color w:val="111827"/>
                <w:sz w:val="11"/>
              </w:rPr>
              <w:t>3.0%</w:t>
            </w:r>
          </w:p>
        </w:tc>
        <w:tc>
          <w:tcPr>
            <w:tcW w:type="dxa" w:w="1008"/>
            <w:vAlign w:val="center"/>
          </w:tcPr>
          <w:p>
            <w:pPr>
              <w:spacing w:after="0" w:before="0" w:line="240" w:lineRule="auto"/>
            </w:pPr>
            <w:r/>
            <w:r>
              <w:rPr>
                <w:rFonts w:ascii="Aptos" w:hAnsi="Aptos"/>
                <w:b w:val="0"/>
                <w:color w:val="111827"/>
                <w:sz w:val="11"/>
              </w:rPr>
              <w:t>% per month</w:t>
            </w:r>
          </w:p>
        </w:tc>
        <w:tc>
          <w:tcPr>
            <w:tcW w:type="dxa" w:w="1224"/>
            <w:vAlign w:val="center"/>
          </w:tcPr>
          <w:p>
            <w:pPr>
              <w:spacing w:after="0" w:before="0" w:line="240" w:lineRule="auto"/>
            </w:pPr>
            <w:r/>
            <w:r>
              <w:rPr>
                <w:rFonts w:ascii="Aptos" w:hAnsi="Aptos"/>
                <w:b w:val="0"/>
                <w:color w:val="111827"/>
                <w:sz w:val="11"/>
              </w:rPr>
              <w:t>Proxy/assumption</w:t>
            </w:r>
          </w:p>
        </w:tc>
        <w:tc>
          <w:tcPr>
            <w:tcW w:type="dxa" w:w="3096"/>
            <w:vAlign w:val="center"/>
          </w:tcPr>
          <w:p>
            <w:pPr>
              <w:spacing w:after="0" w:before="0" w:line="240" w:lineRule="auto"/>
            </w:pPr>
            <w:r/>
            <w:r>
              <w:rPr>
                <w:rFonts w:ascii="Aptos" w:hAnsi="Aptos"/>
                <w:b w:val="0"/>
                <w:color w:val="111827"/>
                <w:sz w:val="11"/>
              </w:rPr>
              <w:t>Electronics market evidence supports faster depreciation; other categories use lower proxies.</w:t>
            </w:r>
          </w:p>
        </w:tc>
        <w:tc>
          <w:tcPr>
            <w:tcW w:type="dxa" w:w="3024"/>
            <w:vAlign w:val="center"/>
          </w:tcPr>
          <w:p>
            <w:pPr>
              <w:spacing w:after="0" w:before="0" w:line="240" w:lineRule="auto"/>
            </w:pPr>
            <w:r/>
            <w:r>
              <w:rPr>
                <w:rFonts w:ascii="Aptos" w:hAnsi="Aptos"/>
                <w:b w:val="0"/>
                <w:color w:val="111827"/>
                <w:sz w:val="11"/>
              </w:rPr>
              <w:t>Penalizes slow resale and refurbishment.</w:t>
            </w:r>
          </w:p>
        </w:tc>
        <w:tc>
          <w:tcPr>
            <w:tcW w:type="dxa" w:w="1008"/>
            <w:vAlign w:val="center"/>
          </w:tcPr>
          <w:p>
            <w:pPr>
              <w:spacing w:after="0" w:before="0" w:line="240" w:lineRule="auto"/>
            </w:pPr>
            <w:r/>
            <w:r>
              <w:rPr>
                <w:rFonts w:ascii="Aptos" w:hAnsi="Aptos"/>
                <w:b w:val="0"/>
                <w:color w:val="111827"/>
                <w:sz w:val="11"/>
              </w:rPr>
              <w:t>S39; P02</w:t>
            </w:r>
          </w:p>
        </w:tc>
      </w:tr>
      <w:tr>
        <w:tc>
          <w:tcPr>
            <w:tcW w:type="dxa" w:w="1728"/>
            <w:vAlign w:val="center"/>
            <w:shd w:fill="F5F7FA"/>
          </w:tcPr>
          <w:p>
            <w:pPr>
              <w:spacing w:after="0" w:before="0" w:line="240" w:lineRule="auto"/>
            </w:pPr>
            <w:r/>
            <w:r>
              <w:rPr>
                <w:rFonts w:ascii="Aptos" w:hAnsi="Aptos"/>
                <w:b/>
                <w:color w:val="111827"/>
                <w:sz w:val="11"/>
              </w:rPr>
              <w:t>Confirmed substitution/counterfeit probability</w:t>
            </w:r>
          </w:p>
        </w:tc>
        <w:tc>
          <w:tcPr>
            <w:tcW w:type="dxa" w:w="2088"/>
            <w:vAlign w:val="center"/>
            <w:shd w:fill="F5F7FA"/>
          </w:tcPr>
          <w:p>
            <w:pPr>
              <w:spacing w:after="0" w:before="0" w:line="240" w:lineRule="auto"/>
            </w:pPr>
            <w:r/>
            <w:r>
              <w:rPr>
                <w:rFonts w:ascii="Aptos" w:hAnsi="Aptos"/>
                <w:b w:val="0"/>
                <w:color w:val="111827"/>
                <w:sz w:val="11"/>
              </w:rPr>
              <w:t>Cosmetic/personal-care item ($20)</w:t>
            </w:r>
          </w:p>
        </w:tc>
        <w:tc>
          <w:tcPr>
            <w:tcW w:type="dxa" w:w="936"/>
            <w:vAlign w:val="center"/>
            <w:shd w:fill="F5F7FA"/>
          </w:tcPr>
          <w:p>
            <w:pPr>
              <w:spacing w:after="0" w:before="0" w:line="240" w:lineRule="auto"/>
            </w:pPr>
            <w:r/>
            <w:r>
              <w:rPr>
                <w:rFonts w:ascii="Aptos" w:hAnsi="Aptos"/>
                <w:b w:val="0"/>
                <w:color w:val="111827"/>
                <w:sz w:val="11"/>
              </w:rPr>
              <w:t>0.0%</w:t>
            </w:r>
          </w:p>
        </w:tc>
        <w:tc>
          <w:tcPr>
            <w:tcW w:type="dxa" w:w="1008"/>
            <w:vAlign w:val="center"/>
            <w:shd w:fill="F5F7FA"/>
          </w:tcPr>
          <w:p>
            <w:pPr>
              <w:spacing w:after="0" w:before="0" w:line="240" w:lineRule="auto"/>
            </w:pPr>
            <w:r/>
            <w:r>
              <w:rPr>
                <w:rFonts w:ascii="Aptos" w:hAnsi="Aptos"/>
                <w:b w:val="0"/>
                <w:color w:val="111827"/>
                <w:sz w:val="11"/>
              </w:rPr>
              <w:t>1.0%</w:t>
            </w:r>
          </w:p>
        </w:tc>
        <w:tc>
          <w:tcPr>
            <w:tcW w:type="dxa" w:w="936"/>
            <w:vAlign w:val="center"/>
            <w:shd w:fill="F5F7FA"/>
          </w:tcPr>
          <w:p>
            <w:pPr>
              <w:spacing w:after="0" w:before="0" w:line="240" w:lineRule="auto"/>
            </w:pPr>
            <w:r/>
            <w:r>
              <w:rPr>
                <w:rFonts w:ascii="Aptos" w:hAnsi="Aptos"/>
                <w:b w:val="0"/>
                <w:color w:val="111827"/>
                <w:sz w:val="11"/>
              </w:rPr>
              <w:t>2.0%</w:t>
            </w:r>
          </w:p>
        </w:tc>
        <w:tc>
          <w:tcPr>
            <w:tcW w:type="dxa" w:w="1008"/>
            <w:vAlign w:val="center"/>
            <w:shd w:fill="F5F7FA"/>
          </w:tcPr>
          <w:p>
            <w:pPr>
              <w:spacing w:after="0" w:before="0" w:line="240" w:lineRule="auto"/>
            </w:pPr>
            <w:r/>
            <w:r>
              <w:rPr>
                <w:rFonts w:ascii="Aptos" w:hAnsi="Aptos"/>
                <w:b w:val="0"/>
                <w:color w:val="111827"/>
                <w:sz w:val="11"/>
              </w:rPr>
              <w:t>% of returns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Industry estimates combine fraud, abuse, and claims and are not category-specific; model uses narrower confirmed-event probabilities.</w:t>
            </w:r>
          </w:p>
        </w:tc>
        <w:tc>
          <w:tcPr>
            <w:tcW w:type="dxa" w:w="3024"/>
            <w:vAlign w:val="center"/>
            <w:shd w:fill="F5F7FA"/>
          </w:tcPr>
          <w:p>
            <w:pPr>
              <w:spacing w:after="0" w:before="0" w:line="240" w:lineRule="auto"/>
            </w:pPr>
            <w:r/>
            <w:r>
              <w:rPr>
                <w:rFonts w:ascii="Aptos" w:hAnsi="Aptos"/>
                <w:b w:val="0"/>
                <w:color w:val="111827"/>
                <w:sz w:val="11"/>
              </w:rPr>
              <w:t>Reduces expected recovery and can justify serial/authentication controls.</w:t>
            </w:r>
          </w:p>
        </w:tc>
        <w:tc>
          <w:tcPr>
            <w:tcW w:type="dxa" w:w="1008"/>
            <w:vAlign w:val="center"/>
            <w:shd w:fill="F5F7FA"/>
          </w:tcPr>
          <w:p>
            <w:pPr>
              <w:spacing w:after="0" w:before="0" w:line="240" w:lineRule="auto"/>
            </w:pPr>
            <w:r/>
            <w:r>
              <w:rPr>
                <w:rFonts w:ascii="Aptos" w:hAnsi="Aptos"/>
                <w:b w:val="0"/>
                <w:color w:val="111827"/>
                <w:sz w:val="11"/>
              </w:rPr>
              <w:t>S31; P01</w:t>
            </w:r>
          </w:p>
        </w:tc>
      </w:tr>
      <w:tr>
        <w:tc>
          <w:tcPr>
            <w:tcW w:type="dxa" w:w="1728"/>
            <w:vAlign w:val="center"/>
          </w:tcPr>
          <w:p>
            <w:pPr>
              <w:spacing w:after="0" w:before="0" w:line="240" w:lineRule="auto"/>
            </w:pPr>
            <w:r/>
            <w:r>
              <w:rPr>
                <w:rFonts w:ascii="Aptos" w:hAnsi="Aptos"/>
                <w:b/>
                <w:color w:val="111827"/>
                <w:sz w:val="11"/>
              </w:rPr>
              <w:t>Landed product cost (C)</w:t>
            </w:r>
          </w:p>
        </w:tc>
        <w:tc>
          <w:tcPr>
            <w:tcW w:type="dxa" w:w="2088"/>
            <w:vAlign w:val="center"/>
          </w:tcPr>
          <w:p>
            <w:pPr>
              <w:spacing w:after="0" w:before="0" w:line="240" w:lineRule="auto"/>
            </w:pPr>
            <w:r/>
            <w:r>
              <w:rPr>
                <w:rFonts w:ascii="Aptos" w:hAnsi="Aptos"/>
                <w:b w:val="0"/>
                <w:color w:val="111827"/>
                <w:sz w:val="11"/>
              </w:rPr>
              <w:t>Small household product ($20)</w:t>
            </w:r>
          </w:p>
        </w:tc>
        <w:tc>
          <w:tcPr>
            <w:tcW w:type="dxa" w:w="936"/>
            <w:vAlign w:val="center"/>
          </w:tcPr>
          <w:p>
            <w:pPr>
              <w:spacing w:after="0" w:before="0" w:line="240" w:lineRule="auto"/>
            </w:pPr>
            <w:r/>
            <w:r>
              <w:rPr>
                <w:rFonts w:ascii="Aptos" w:hAnsi="Aptos"/>
                <w:b w:val="0"/>
                <w:color w:val="111827"/>
                <w:sz w:val="11"/>
              </w:rPr>
              <w:t>$5.00</w:t>
            </w:r>
          </w:p>
        </w:tc>
        <w:tc>
          <w:tcPr>
            <w:tcW w:type="dxa" w:w="1008"/>
            <w:vAlign w:val="center"/>
          </w:tcPr>
          <w:p>
            <w:pPr>
              <w:spacing w:after="0" w:before="0" w:line="240" w:lineRule="auto"/>
            </w:pPr>
            <w:r/>
            <w:r>
              <w:rPr>
                <w:rFonts w:ascii="Aptos" w:hAnsi="Aptos"/>
                <w:b w:val="0"/>
                <w:color w:val="111827"/>
                <w:sz w:val="11"/>
              </w:rPr>
              <w:t>$7.00</w:t>
            </w:r>
          </w:p>
        </w:tc>
        <w:tc>
          <w:tcPr>
            <w:tcW w:type="dxa" w:w="936"/>
            <w:vAlign w:val="center"/>
          </w:tcPr>
          <w:p>
            <w:pPr>
              <w:spacing w:after="0" w:before="0" w:line="240" w:lineRule="auto"/>
            </w:pPr>
            <w:r/>
            <w:r>
              <w:rPr>
                <w:rFonts w:ascii="Aptos" w:hAnsi="Aptos"/>
                <w:b w:val="0"/>
                <w:color w:val="111827"/>
                <w:sz w:val="11"/>
              </w:rPr>
              <w:t>$9.00</w:t>
            </w:r>
          </w:p>
        </w:tc>
        <w:tc>
          <w:tcPr>
            <w:tcW w:type="dxa" w:w="1008"/>
            <w:vAlign w:val="center"/>
          </w:tcPr>
          <w:p>
            <w:pPr>
              <w:spacing w:after="0" w:before="0" w:line="240" w:lineRule="auto"/>
            </w:pPr>
            <w:r/>
            <w:r>
              <w:rPr>
                <w:rFonts w:ascii="Aptos" w:hAnsi="Aptos"/>
                <w:b w:val="0"/>
                <w:color w:val="111827"/>
                <w:sz w:val="11"/>
              </w:rPr>
              <w:t>$</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No product-level COGS supplied; calibrated to category margin structure.</w:t>
            </w:r>
          </w:p>
        </w:tc>
        <w:tc>
          <w:tcPr>
            <w:tcW w:type="dxa" w:w="3024"/>
            <w:vAlign w:val="center"/>
          </w:tcPr>
          <w:p>
            <w:pPr>
              <w:spacing w:after="0" w:before="0" w:line="240" w:lineRule="auto"/>
            </w:pPr>
            <w:r/>
            <w:r>
              <w:rPr>
                <w:rFonts w:ascii="Aptos" w:hAnsi="Aptos"/>
                <w:b w:val="0"/>
                <w:color w:val="111827"/>
                <w:sz w:val="11"/>
              </w:rPr>
              <w:t>Does not change return-tax dollars under the specified incremental formula, but changes post-return loss and tax as % of kept contribution.</w:t>
            </w:r>
          </w:p>
        </w:tc>
        <w:tc>
          <w:tcPr>
            <w:tcW w:type="dxa" w:w="1008"/>
            <w:vAlign w:val="center"/>
          </w:tcPr>
          <w:p>
            <w:pPr>
              <w:spacing w:after="0" w:before="0" w:line="240" w:lineRule="auto"/>
            </w:pPr>
            <w:r/>
            <w:r>
              <w:rPr>
                <w:rFonts w:ascii="Aptos" w:hAnsi="Aptos"/>
                <w:b w:val="0"/>
                <w:color w:val="111827"/>
                <w:sz w:val="11"/>
              </w:rPr>
              <w:t>P01; P02</w:t>
            </w:r>
          </w:p>
        </w:tc>
      </w:tr>
      <w:tr>
        <w:tc>
          <w:tcPr>
            <w:tcW w:type="dxa" w:w="1728"/>
            <w:vAlign w:val="center"/>
            <w:shd w:fill="F5F7FA"/>
          </w:tcPr>
          <w:p>
            <w:pPr>
              <w:spacing w:after="0" w:before="0" w:line="240" w:lineRule="auto"/>
            </w:pPr>
            <w:r/>
            <w:r>
              <w:rPr>
                <w:rFonts w:ascii="Aptos" w:hAnsi="Aptos"/>
                <w:b/>
                <w:color w:val="111827"/>
                <w:sz w:val="11"/>
              </w:rPr>
              <w:t>Outbound fulfillment and shipping (Fo)</w:t>
            </w:r>
          </w:p>
        </w:tc>
        <w:tc>
          <w:tcPr>
            <w:tcW w:type="dxa" w:w="2088"/>
            <w:vAlign w:val="center"/>
            <w:shd w:fill="F5F7FA"/>
          </w:tcPr>
          <w:p>
            <w:pPr>
              <w:spacing w:after="0" w:before="0" w:line="240" w:lineRule="auto"/>
            </w:pPr>
            <w:r/>
            <w:r>
              <w:rPr>
                <w:rFonts w:ascii="Aptos" w:hAnsi="Aptos"/>
                <w:b w:val="0"/>
                <w:color w:val="111827"/>
                <w:sz w:val="11"/>
              </w:rPr>
              <w:t>Small household product ($20)</w:t>
            </w:r>
          </w:p>
        </w:tc>
        <w:tc>
          <w:tcPr>
            <w:tcW w:type="dxa" w:w="936"/>
            <w:vAlign w:val="center"/>
            <w:shd w:fill="F5F7FA"/>
          </w:tcPr>
          <w:p>
            <w:pPr>
              <w:spacing w:after="0" w:before="0" w:line="240" w:lineRule="auto"/>
            </w:pPr>
            <w:r/>
            <w:r>
              <w:rPr>
                <w:rFonts w:ascii="Aptos" w:hAnsi="Aptos"/>
                <w:b w:val="0"/>
                <w:color w:val="111827"/>
                <w:sz w:val="11"/>
              </w:rPr>
              <w:t>$4.12</w:t>
            </w:r>
          </w:p>
        </w:tc>
        <w:tc>
          <w:tcPr>
            <w:tcW w:type="dxa" w:w="1008"/>
            <w:vAlign w:val="center"/>
            <w:shd w:fill="F5F7FA"/>
          </w:tcPr>
          <w:p>
            <w:pPr>
              <w:spacing w:after="0" w:before="0" w:line="240" w:lineRule="auto"/>
            </w:pPr>
            <w:r/>
            <w:r>
              <w:rPr>
                <w:rFonts w:ascii="Aptos" w:hAnsi="Aptos"/>
                <w:b w:val="0"/>
                <w:color w:val="111827"/>
                <w:sz w:val="11"/>
              </w:rPr>
              <w:t>$5.50</w:t>
            </w:r>
          </w:p>
        </w:tc>
        <w:tc>
          <w:tcPr>
            <w:tcW w:type="dxa" w:w="936"/>
            <w:vAlign w:val="center"/>
            <w:shd w:fill="F5F7FA"/>
          </w:tcPr>
          <w:p>
            <w:pPr>
              <w:spacing w:after="0" w:before="0" w:line="240" w:lineRule="auto"/>
            </w:pPr>
            <w:r/>
            <w:r>
              <w:rPr>
                <w:rFonts w:ascii="Aptos" w:hAnsi="Aptos"/>
                <w:b w:val="0"/>
                <w:color w:val="111827"/>
                <w:sz w:val="11"/>
              </w:rPr>
              <w:t>$7.43</w:t>
            </w:r>
          </w:p>
        </w:tc>
        <w:tc>
          <w:tcPr>
            <w:tcW w:type="dxa" w:w="1008"/>
            <w:vAlign w:val="center"/>
            <w:shd w:fill="F5F7FA"/>
          </w:tcPr>
          <w:p>
            <w:pPr>
              <w:spacing w:after="0" w:before="0" w:line="240" w:lineRule="auto"/>
            </w:pPr>
            <w:r/>
            <w:r>
              <w:rPr>
                <w:rFonts w:ascii="Aptos" w:hAnsi="Aptos"/>
                <w:b w:val="0"/>
                <w:color w:val="111827"/>
                <w:sz w:val="11"/>
              </w:rPr>
              <w:t>$</w:t>
            </w:r>
          </w:p>
        </w:tc>
        <w:tc>
          <w:tcPr>
            <w:tcW w:type="dxa" w:w="1224"/>
            <w:vAlign w:val="center"/>
            <w:shd w:fill="F5F7FA"/>
          </w:tcPr>
          <w:p>
            <w:pPr>
              <w:spacing w:after="0" w:before="0" w:line="240" w:lineRule="auto"/>
            </w:pPr>
            <w:r/>
            <w:r>
              <w:rPr>
                <w:rFonts w:ascii="Aptos" w:hAnsi="Aptos"/>
                <w:b w:val="0"/>
                <w:color w:val="111827"/>
                <w:sz w:val="11"/>
              </w:rPr>
              <w:t>Proxy</w:t>
            </w:r>
          </w:p>
        </w:tc>
        <w:tc>
          <w:tcPr>
            <w:tcW w:type="dxa" w:w="3096"/>
            <w:vAlign w:val="center"/>
            <w:shd w:fill="F5F7FA"/>
          </w:tcPr>
          <w:p>
            <w:pPr>
              <w:spacing w:after="0" w:before="0" w:line="240" w:lineRule="auto"/>
            </w:pPr>
            <w:r/>
            <w:r>
              <w:rPr>
                <w:rFonts w:ascii="Aptos" w:hAnsi="Aptos"/>
                <w:b w:val="0"/>
                <w:color w:val="111827"/>
                <w:sz w:val="11"/>
              </w:rPr>
              <w:t>Calibrated to package size and public carrier/WFS anchors; actual negotiated rates unknown.</w:t>
            </w:r>
          </w:p>
        </w:tc>
        <w:tc>
          <w:tcPr>
            <w:tcW w:type="dxa" w:w="3024"/>
            <w:vAlign w:val="center"/>
            <w:shd w:fill="F5F7FA"/>
          </w:tcPr>
          <w:p>
            <w:pPr>
              <w:spacing w:after="0" w:before="0" w:line="240" w:lineRule="auto"/>
            </w:pPr>
            <w:r/>
            <w:r>
              <w:rPr>
                <w:rFonts w:ascii="Aptos" w:hAnsi="Aptos"/>
                <w:b w:val="0"/>
                <w:color w:val="111827"/>
                <w:sz w:val="11"/>
              </w:rPr>
              <w:t>Changes kept and post-return contribution equally; does not change incremental return-tax dollars unless used again as secondary transport.</w:t>
            </w:r>
          </w:p>
        </w:tc>
        <w:tc>
          <w:tcPr>
            <w:tcW w:type="dxa" w:w="1008"/>
            <w:vAlign w:val="center"/>
            <w:shd w:fill="F5F7FA"/>
          </w:tcPr>
          <w:p>
            <w:pPr>
              <w:spacing w:after="0" w:before="0" w:line="240" w:lineRule="auto"/>
            </w:pPr>
            <w:r/>
            <w:r>
              <w:rPr>
                <w:rFonts w:ascii="Aptos" w:hAnsi="Aptos"/>
                <w:b w:val="0"/>
                <w:color w:val="111827"/>
                <w:sz w:val="11"/>
              </w:rPr>
              <w:t>S17; S21-S26</w:t>
            </w:r>
          </w:p>
        </w:tc>
      </w:tr>
      <w:tr>
        <w:tc>
          <w:tcPr>
            <w:tcW w:type="dxa" w:w="1728"/>
            <w:vAlign w:val="center"/>
          </w:tcPr>
          <w:p>
            <w:pPr>
              <w:spacing w:after="0" w:before="0" w:line="240" w:lineRule="auto"/>
            </w:pPr>
            <w:r/>
            <w:r>
              <w:rPr>
                <w:rFonts w:ascii="Aptos" w:hAnsi="Aptos"/>
                <w:b/>
                <w:color w:val="111827"/>
                <w:sz w:val="11"/>
              </w:rPr>
              <w:t>Return rate (p_r)</w:t>
            </w:r>
          </w:p>
        </w:tc>
        <w:tc>
          <w:tcPr>
            <w:tcW w:type="dxa" w:w="2088"/>
            <w:vAlign w:val="center"/>
          </w:tcPr>
          <w:p>
            <w:pPr>
              <w:spacing w:after="0" w:before="0" w:line="240" w:lineRule="auto"/>
            </w:pPr>
            <w:r/>
            <w:r>
              <w:rPr>
                <w:rFonts w:ascii="Aptos" w:hAnsi="Aptos"/>
                <w:b w:val="0"/>
                <w:color w:val="111827"/>
                <w:sz w:val="11"/>
              </w:rPr>
              <w:t>Small household product ($20)</w:t>
            </w:r>
          </w:p>
        </w:tc>
        <w:tc>
          <w:tcPr>
            <w:tcW w:type="dxa" w:w="936"/>
            <w:vAlign w:val="center"/>
          </w:tcPr>
          <w:p>
            <w:pPr>
              <w:spacing w:after="0" w:before="0" w:line="240" w:lineRule="auto"/>
            </w:pPr>
            <w:r/>
            <w:r>
              <w:rPr>
                <w:rFonts w:ascii="Aptos" w:hAnsi="Aptos"/>
                <w:b w:val="0"/>
                <w:color w:val="111827"/>
                <w:sz w:val="11"/>
              </w:rPr>
              <w:t>9.0%</w:t>
            </w:r>
          </w:p>
        </w:tc>
        <w:tc>
          <w:tcPr>
            <w:tcW w:type="dxa" w:w="1008"/>
            <w:vAlign w:val="center"/>
          </w:tcPr>
          <w:p>
            <w:pPr>
              <w:spacing w:after="0" w:before="0" w:line="240" w:lineRule="auto"/>
            </w:pPr>
            <w:r/>
            <w:r>
              <w:rPr>
                <w:rFonts w:ascii="Aptos" w:hAnsi="Aptos"/>
                <w:b w:val="0"/>
                <w:color w:val="111827"/>
                <w:sz w:val="11"/>
              </w:rPr>
              <w:t>12.0%</w:t>
            </w:r>
          </w:p>
        </w:tc>
        <w:tc>
          <w:tcPr>
            <w:tcW w:type="dxa" w:w="936"/>
            <w:vAlign w:val="center"/>
          </w:tcPr>
          <w:p>
            <w:pPr>
              <w:spacing w:after="0" w:before="0" w:line="240" w:lineRule="auto"/>
            </w:pPr>
            <w:r/>
            <w:r>
              <w:rPr>
                <w:rFonts w:ascii="Aptos" w:hAnsi="Aptos"/>
                <w:b w:val="0"/>
                <w:color w:val="111827"/>
                <w:sz w:val="11"/>
              </w:rPr>
              <w:t>15.0%</w:t>
            </w:r>
          </w:p>
        </w:tc>
        <w:tc>
          <w:tcPr>
            <w:tcW w:type="dxa" w:w="1008"/>
            <w:vAlign w:val="center"/>
          </w:tcPr>
          <w:p>
            <w:pPr>
              <w:spacing w:after="0" w:before="0" w:line="240" w:lineRule="auto"/>
            </w:pPr>
            <w:r/>
            <w:r>
              <w:rPr>
                <w:rFonts w:ascii="Aptos" w:hAnsi="Aptos"/>
                <w:b w:val="0"/>
                <w:color w:val="111827"/>
                <w:sz w:val="11"/>
              </w:rPr>
              <w:t>% of orders</w:t>
            </w:r>
          </w:p>
        </w:tc>
        <w:tc>
          <w:tcPr>
            <w:tcW w:type="dxa" w:w="1224"/>
            <w:vAlign w:val="center"/>
          </w:tcPr>
          <w:p>
            <w:pPr>
              <w:spacing w:after="0" w:before="0" w:line="240" w:lineRule="auto"/>
            </w:pPr>
            <w:r/>
            <w:r>
              <w:rPr>
                <w:rFonts w:ascii="Aptos" w:hAnsi="Aptos"/>
                <w:b w:val="0"/>
                <w:color w:val="111827"/>
                <w:sz w:val="11"/>
              </w:rPr>
              <w:t>Assumption/proxy</w:t>
            </w:r>
          </w:p>
        </w:tc>
        <w:tc>
          <w:tcPr>
            <w:tcW w:type="dxa" w:w="3096"/>
            <w:vAlign w:val="center"/>
          </w:tcPr>
          <w:p>
            <w:pPr>
              <w:spacing w:after="0" w:before="0" w:line="240" w:lineRule="auto"/>
            </w:pPr>
            <w:r/>
            <w:r>
              <w:rPr>
                <w:rFonts w:ascii="Aptos" w:hAnsi="Aptos"/>
                <w:b w:val="0"/>
                <w:color w:val="111827"/>
                <w:sz w:val="11"/>
              </w:rPr>
              <w:t>Category-specific population rates are not consistently disclosed; broad online and furniture anchors used.</w:t>
            </w:r>
          </w:p>
        </w:tc>
        <w:tc>
          <w:tcPr>
            <w:tcW w:type="dxa" w:w="3024"/>
            <w:vAlign w:val="center"/>
          </w:tcPr>
          <w:p>
            <w:pPr>
              <w:spacing w:after="0" w:before="0" w:line="240" w:lineRule="auto"/>
            </w:pPr>
            <w:r/>
            <w:r>
              <w:rPr>
                <w:rFonts w:ascii="Aptos" w:hAnsi="Aptos"/>
                <w:b w:val="0"/>
                <w:color w:val="111827"/>
                <w:sz w:val="11"/>
              </w:rPr>
              <w:t>Scales expected return tax per order linearly.</w:t>
            </w:r>
          </w:p>
        </w:tc>
        <w:tc>
          <w:tcPr>
            <w:tcW w:type="dxa" w:w="1008"/>
            <w:vAlign w:val="center"/>
          </w:tcPr>
          <w:p>
            <w:pPr>
              <w:spacing w:after="0" w:before="0" w:line="240" w:lineRule="auto"/>
            </w:pPr>
            <w:r/>
            <w:r>
              <w:rPr>
                <w:rFonts w:ascii="Aptos" w:hAnsi="Aptos"/>
                <w:b w:val="0"/>
                <w:color w:val="111827"/>
                <w:sz w:val="11"/>
              </w:rPr>
              <w:t>S34; S40; P01</w:t>
            </w:r>
          </w:p>
        </w:tc>
      </w:tr>
      <w:tr>
        <w:tc>
          <w:tcPr>
            <w:tcW w:type="dxa" w:w="1728"/>
            <w:vAlign w:val="center"/>
            <w:shd w:fill="F5F7FA"/>
          </w:tcPr>
          <w:p>
            <w:pPr>
              <w:spacing w:after="0" w:before="0" w:line="240" w:lineRule="auto"/>
            </w:pPr>
            <w:r/>
            <w:r>
              <w:rPr>
                <w:rFonts w:ascii="Aptos" w:hAnsi="Aptos"/>
                <w:b/>
                <w:color w:val="111827"/>
                <w:sz w:val="11"/>
              </w:rPr>
              <w:t>Inspection minutes</w:t>
            </w:r>
          </w:p>
        </w:tc>
        <w:tc>
          <w:tcPr>
            <w:tcW w:type="dxa" w:w="2088"/>
            <w:vAlign w:val="center"/>
            <w:shd w:fill="F5F7FA"/>
          </w:tcPr>
          <w:p>
            <w:pPr>
              <w:spacing w:after="0" w:before="0" w:line="240" w:lineRule="auto"/>
            </w:pPr>
            <w:r/>
            <w:r>
              <w:rPr>
                <w:rFonts w:ascii="Aptos" w:hAnsi="Aptos"/>
                <w:b w:val="0"/>
                <w:color w:val="111827"/>
                <w:sz w:val="11"/>
              </w:rPr>
              <w:t>Small household product ($20)</w:t>
            </w:r>
          </w:p>
        </w:tc>
        <w:tc>
          <w:tcPr>
            <w:tcW w:type="dxa" w:w="936"/>
            <w:vAlign w:val="center"/>
            <w:shd w:fill="F5F7FA"/>
          </w:tcPr>
          <w:p>
            <w:pPr>
              <w:spacing w:after="0" w:before="0" w:line="240" w:lineRule="auto"/>
            </w:pPr>
            <w:r/>
            <w:r>
              <w:rPr>
                <w:rFonts w:ascii="Aptos" w:hAnsi="Aptos"/>
                <w:b w:val="0"/>
                <w:color w:val="111827"/>
                <w:sz w:val="11"/>
              </w:rPr>
              <w:t>1.50</w:t>
            </w:r>
          </w:p>
        </w:tc>
        <w:tc>
          <w:tcPr>
            <w:tcW w:type="dxa" w:w="1008"/>
            <w:vAlign w:val="center"/>
            <w:shd w:fill="F5F7FA"/>
          </w:tcPr>
          <w:p>
            <w:pPr>
              <w:spacing w:after="0" w:before="0" w:line="240" w:lineRule="auto"/>
            </w:pPr>
            <w:r/>
            <w:r>
              <w:rPr>
                <w:rFonts w:ascii="Aptos" w:hAnsi="Aptos"/>
                <w:b w:val="0"/>
                <w:color w:val="111827"/>
                <w:sz w:val="11"/>
              </w:rPr>
              <w:t>2.00</w:t>
            </w:r>
          </w:p>
        </w:tc>
        <w:tc>
          <w:tcPr>
            <w:tcW w:type="dxa" w:w="936"/>
            <w:vAlign w:val="center"/>
            <w:shd w:fill="F5F7FA"/>
          </w:tcPr>
          <w:p>
            <w:pPr>
              <w:spacing w:after="0" w:before="0" w:line="240" w:lineRule="auto"/>
            </w:pPr>
            <w:r/>
            <w:r>
              <w:rPr>
                <w:rFonts w:ascii="Aptos" w:hAnsi="Aptos"/>
                <w:b w:val="0"/>
                <w:color w:val="111827"/>
                <w:sz w:val="11"/>
              </w:rPr>
              <w:t>3.00</w:t>
            </w:r>
          </w:p>
        </w:tc>
        <w:tc>
          <w:tcPr>
            <w:tcW w:type="dxa" w:w="1008"/>
            <w:vAlign w:val="center"/>
            <w:shd w:fill="F5F7FA"/>
          </w:tcPr>
          <w:p>
            <w:pPr>
              <w:spacing w:after="0" w:before="0" w:line="240" w:lineRule="auto"/>
            </w:pPr>
            <w:r/>
            <w:r>
              <w:rPr>
                <w:rFonts w:ascii="Aptos" w:hAnsi="Aptos"/>
                <w:b w:val="0"/>
                <w:color w:val="111827"/>
                <w:sz w:val="11"/>
              </w:rPr>
              <w:t>minutes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Labor minutes are a named research gap.</w:t>
            </w:r>
          </w:p>
        </w:tc>
        <w:tc>
          <w:tcPr>
            <w:tcW w:type="dxa" w:w="3024"/>
            <w:vAlign w:val="center"/>
            <w:shd w:fill="F5F7FA"/>
          </w:tcPr>
          <w:p>
            <w:pPr>
              <w:spacing w:after="0" w:before="0" w:line="240" w:lineRule="auto"/>
            </w:pPr>
            <w:r/>
            <w:r>
              <w:rPr>
                <w:rFonts w:ascii="Aptos" w:hAnsi="Aptos"/>
                <w:b w:val="0"/>
                <w:color w:val="111827"/>
                <w:sz w:val="11"/>
              </w:rPr>
              <w:t>Can flip retrieval decisions for low-value items.</w:t>
            </w:r>
          </w:p>
        </w:tc>
        <w:tc>
          <w:tcPr>
            <w:tcW w:type="dxa" w:w="1008"/>
            <w:vAlign w:val="center"/>
            <w:shd w:fill="F5F7FA"/>
          </w:tcPr>
          <w:p>
            <w:pPr>
              <w:spacing w:after="0" w:before="0" w:line="240" w:lineRule="auto"/>
            </w:pPr>
            <w:r/>
            <w:r>
              <w:rPr>
                <w:rFonts w:ascii="Aptos" w:hAnsi="Aptos"/>
                <w:b w:val="0"/>
                <w:color w:val="111827"/>
                <w:sz w:val="11"/>
              </w:rPr>
              <w:t>P01</w:t>
            </w:r>
          </w:p>
        </w:tc>
      </w:tr>
      <w:tr>
        <w:tc>
          <w:tcPr>
            <w:tcW w:type="dxa" w:w="1728"/>
            <w:vAlign w:val="center"/>
          </w:tcPr>
          <w:p>
            <w:pPr>
              <w:spacing w:after="0" w:before="0" w:line="240" w:lineRule="auto"/>
            </w:pPr>
            <w:r/>
            <w:r>
              <w:rPr>
                <w:rFonts w:ascii="Aptos" w:hAnsi="Aptos"/>
                <w:b/>
                <w:color w:val="111827"/>
                <w:sz w:val="11"/>
              </w:rPr>
              <w:t>Monthly product depreciation</w:t>
            </w:r>
          </w:p>
        </w:tc>
        <w:tc>
          <w:tcPr>
            <w:tcW w:type="dxa" w:w="2088"/>
            <w:vAlign w:val="center"/>
          </w:tcPr>
          <w:p>
            <w:pPr>
              <w:spacing w:after="0" w:before="0" w:line="240" w:lineRule="auto"/>
            </w:pPr>
            <w:r/>
            <w:r>
              <w:rPr>
                <w:rFonts w:ascii="Aptos" w:hAnsi="Aptos"/>
                <w:b w:val="0"/>
                <w:color w:val="111827"/>
                <w:sz w:val="11"/>
              </w:rPr>
              <w:t>Small household product ($20)</w:t>
            </w:r>
          </w:p>
        </w:tc>
        <w:tc>
          <w:tcPr>
            <w:tcW w:type="dxa" w:w="936"/>
            <w:vAlign w:val="center"/>
          </w:tcPr>
          <w:p>
            <w:pPr>
              <w:spacing w:after="0" w:before="0" w:line="240" w:lineRule="auto"/>
            </w:pPr>
            <w:r/>
            <w:r>
              <w:rPr>
                <w:rFonts w:ascii="Aptos" w:hAnsi="Aptos"/>
                <w:b w:val="0"/>
                <w:color w:val="111827"/>
                <w:sz w:val="11"/>
              </w:rPr>
              <w:t>0.2%</w:t>
            </w:r>
          </w:p>
        </w:tc>
        <w:tc>
          <w:tcPr>
            <w:tcW w:type="dxa" w:w="1008"/>
            <w:vAlign w:val="center"/>
          </w:tcPr>
          <w:p>
            <w:pPr>
              <w:spacing w:after="0" w:before="0" w:line="240" w:lineRule="auto"/>
            </w:pPr>
            <w:r/>
            <w:r>
              <w:rPr>
                <w:rFonts w:ascii="Aptos" w:hAnsi="Aptos"/>
                <w:b w:val="0"/>
                <w:color w:val="111827"/>
                <w:sz w:val="11"/>
              </w:rPr>
              <w:t>0.5%</w:t>
            </w:r>
          </w:p>
        </w:tc>
        <w:tc>
          <w:tcPr>
            <w:tcW w:type="dxa" w:w="936"/>
            <w:vAlign w:val="center"/>
          </w:tcPr>
          <w:p>
            <w:pPr>
              <w:spacing w:after="0" w:before="0" w:line="240" w:lineRule="auto"/>
            </w:pPr>
            <w:r/>
            <w:r>
              <w:rPr>
                <w:rFonts w:ascii="Aptos" w:hAnsi="Aptos"/>
                <w:b w:val="0"/>
                <w:color w:val="111827"/>
                <w:sz w:val="11"/>
              </w:rPr>
              <w:t>1.0%</w:t>
            </w:r>
          </w:p>
        </w:tc>
        <w:tc>
          <w:tcPr>
            <w:tcW w:type="dxa" w:w="1008"/>
            <w:vAlign w:val="center"/>
          </w:tcPr>
          <w:p>
            <w:pPr>
              <w:spacing w:after="0" w:before="0" w:line="240" w:lineRule="auto"/>
            </w:pPr>
            <w:r/>
            <w:r>
              <w:rPr>
                <w:rFonts w:ascii="Aptos" w:hAnsi="Aptos"/>
                <w:b w:val="0"/>
                <w:color w:val="111827"/>
                <w:sz w:val="11"/>
              </w:rPr>
              <w:t>% per month</w:t>
            </w:r>
          </w:p>
        </w:tc>
        <w:tc>
          <w:tcPr>
            <w:tcW w:type="dxa" w:w="1224"/>
            <w:vAlign w:val="center"/>
          </w:tcPr>
          <w:p>
            <w:pPr>
              <w:spacing w:after="0" w:before="0" w:line="240" w:lineRule="auto"/>
            </w:pPr>
            <w:r/>
            <w:r>
              <w:rPr>
                <w:rFonts w:ascii="Aptos" w:hAnsi="Aptos"/>
                <w:b w:val="0"/>
                <w:color w:val="111827"/>
                <w:sz w:val="11"/>
              </w:rPr>
              <w:t>Proxy/assumption</w:t>
            </w:r>
          </w:p>
        </w:tc>
        <w:tc>
          <w:tcPr>
            <w:tcW w:type="dxa" w:w="3096"/>
            <w:vAlign w:val="center"/>
          </w:tcPr>
          <w:p>
            <w:pPr>
              <w:spacing w:after="0" w:before="0" w:line="240" w:lineRule="auto"/>
            </w:pPr>
            <w:r/>
            <w:r>
              <w:rPr>
                <w:rFonts w:ascii="Aptos" w:hAnsi="Aptos"/>
                <w:b w:val="0"/>
                <w:color w:val="111827"/>
                <w:sz w:val="11"/>
              </w:rPr>
              <w:t>Electronics market evidence supports faster depreciation; other categories use lower proxies.</w:t>
            </w:r>
          </w:p>
        </w:tc>
        <w:tc>
          <w:tcPr>
            <w:tcW w:type="dxa" w:w="3024"/>
            <w:vAlign w:val="center"/>
          </w:tcPr>
          <w:p>
            <w:pPr>
              <w:spacing w:after="0" w:before="0" w:line="240" w:lineRule="auto"/>
            </w:pPr>
            <w:r/>
            <w:r>
              <w:rPr>
                <w:rFonts w:ascii="Aptos" w:hAnsi="Aptos"/>
                <w:b w:val="0"/>
                <w:color w:val="111827"/>
                <w:sz w:val="11"/>
              </w:rPr>
              <w:t>Penalizes slow resale and refurbishment.</w:t>
            </w:r>
          </w:p>
        </w:tc>
        <w:tc>
          <w:tcPr>
            <w:tcW w:type="dxa" w:w="1008"/>
            <w:vAlign w:val="center"/>
          </w:tcPr>
          <w:p>
            <w:pPr>
              <w:spacing w:after="0" w:before="0" w:line="240" w:lineRule="auto"/>
            </w:pPr>
            <w:r/>
            <w:r>
              <w:rPr>
                <w:rFonts w:ascii="Aptos" w:hAnsi="Aptos"/>
                <w:b w:val="0"/>
                <w:color w:val="111827"/>
                <w:sz w:val="11"/>
              </w:rPr>
              <w:t>S39; P02</w:t>
            </w:r>
          </w:p>
        </w:tc>
      </w:tr>
      <w:tr>
        <w:tc>
          <w:tcPr>
            <w:tcW w:type="dxa" w:w="1728"/>
            <w:vAlign w:val="center"/>
            <w:shd w:fill="F5F7FA"/>
          </w:tcPr>
          <w:p>
            <w:pPr>
              <w:spacing w:after="0" w:before="0" w:line="240" w:lineRule="auto"/>
            </w:pPr>
            <w:r/>
            <w:r>
              <w:rPr>
                <w:rFonts w:ascii="Aptos" w:hAnsi="Aptos"/>
                <w:b/>
                <w:color w:val="111827"/>
                <w:sz w:val="11"/>
              </w:rPr>
              <w:t>Confirmed substitution/counterfeit probability</w:t>
            </w:r>
          </w:p>
        </w:tc>
        <w:tc>
          <w:tcPr>
            <w:tcW w:type="dxa" w:w="2088"/>
            <w:vAlign w:val="center"/>
            <w:shd w:fill="F5F7FA"/>
          </w:tcPr>
          <w:p>
            <w:pPr>
              <w:spacing w:after="0" w:before="0" w:line="240" w:lineRule="auto"/>
            </w:pPr>
            <w:r/>
            <w:r>
              <w:rPr>
                <w:rFonts w:ascii="Aptos" w:hAnsi="Aptos"/>
                <w:b w:val="0"/>
                <w:color w:val="111827"/>
                <w:sz w:val="11"/>
              </w:rPr>
              <w:t>Small household product ($20)</w:t>
            </w:r>
          </w:p>
        </w:tc>
        <w:tc>
          <w:tcPr>
            <w:tcW w:type="dxa" w:w="936"/>
            <w:vAlign w:val="center"/>
            <w:shd w:fill="F5F7FA"/>
          </w:tcPr>
          <w:p>
            <w:pPr>
              <w:spacing w:after="0" w:before="0" w:line="240" w:lineRule="auto"/>
            </w:pPr>
            <w:r/>
            <w:r>
              <w:rPr>
                <w:rFonts w:ascii="Aptos" w:hAnsi="Aptos"/>
                <w:b w:val="0"/>
                <w:color w:val="111827"/>
                <w:sz w:val="11"/>
              </w:rPr>
              <w:t>0.0%</w:t>
            </w:r>
          </w:p>
        </w:tc>
        <w:tc>
          <w:tcPr>
            <w:tcW w:type="dxa" w:w="1008"/>
            <w:vAlign w:val="center"/>
            <w:shd w:fill="F5F7FA"/>
          </w:tcPr>
          <w:p>
            <w:pPr>
              <w:spacing w:after="0" w:before="0" w:line="240" w:lineRule="auto"/>
            </w:pPr>
            <w:r/>
            <w:r>
              <w:rPr>
                <w:rFonts w:ascii="Aptos" w:hAnsi="Aptos"/>
                <w:b w:val="0"/>
                <w:color w:val="111827"/>
                <w:sz w:val="11"/>
              </w:rPr>
              <w:t>1.0%</w:t>
            </w:r>
          </w:p>
        </w:tc>
        <w:tc>
          <w:tcPr>
            <w:tcW w:type="dxa" w:w="936"/>
            <w:vAlign w:val="center"/>
            <w:shd w:fill="F5F7FA"/>
          </w:tcPr>
          <w:p>
            <w:pPr>
              <w:spacing w:after="0" w:before="0" w:line="240" w:lineRule="auto"/>
            </w:pPr>
            <w:r/>
            <w:r>
              <w:rPr>
                <w:rFonts w:ascii="Aptos" w:hAnsi="Aptos"/>
                <w:b w:val="0"/>
                <w:color w:val="111827"/>
                <w:sz w:val="11"/>
              </w:rPr>
              <w:t>2.0%</w:t>
            </w:r>
          </w:p>
        </w:tc>
        <w:tc>
          <w:tcPr>
            <w:tcW w:type="dxa" w:w="1008"/>
            <w:vAlign w:val="center"/>
            <w:shd w:fill="F5F7FA"/>
          </w:tcPr>
          <w:p>
            <w:pPr>
              <w:spacing w:after="0" w:before="0" w:line="240" w:lineRule="auto"/>
            </w:pPr>
            <w:r/>
            <w:r>
              <w:rPr>
                <w:rFonts w:ascii="Aptos" w:hAnsi="Aptos"/>
                <w:b w:val="0"/>
                <w:color w:val="111827"/>
                <w:sz w:val="11"/>
              </w:rPr>
              <w:t>% of returns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Industry estimates combine fraud, abuse, and claims and are not category-specific; model uses narrower confirmed-event probabilities.</w:t>
            </w:r>
          </w:p>
        </w:tc>
        <w:tc>
          <w:tcPr>
            <w:tcW w:type="dxa" w:w="3024"/>
            <w:vAlign w:val="center"/>
            <w:shd w:fill="F5F7FA"/>
          </w:tcPr>
          <w:p>
            <w:pPr>
              <w:spacing w:after="0" w:before="0" w:line="240" w:lineRule="auto"/>
            </w:pPr>
            <w:r/>
            <w:r>
              <w:rPr>
                <w:rFonts w:ascii="Aptos" w:hAnsi="Aptos"/>
                <w:b w:val="0"/>
                <w:color w:val="111827"/>
                <w:sz w:val="11"/>
              </w:rPr>
              <w:t>Reduces expected recovery and can justify serial/authentication controls.</w:t>
            </w:r>
          </w:p>
        </w:tc>
        <w:tc>
          <w:tcPr>
            <w:tcW w:type="dxa" w:w="1008"/>
            <w:vAlign w:val="center"/>
            <w:shd w:fill="F5F7FA"/>
          </w:tcPr>
          <w:p>
            <w:pPr>
              <w:spacing w:after="0" w:before="0" w:line="240" w:lineRule="auto"/>
            </w:pPr>
            <w:r/>
            <w:r>
              <w:rPr>
                <w:rFonts w:ascii="Aptos" w:hAnsi="Aptos"/>
                <w:b w:val="0"/>
                <w:color w:val="111827"/>
                <w:sz w:val="11"/>
              </w:rPr>
              <w:t>S31; P01</w:t>
            </w:r>
          </w:p>
        </w:tc>
      </w:tr>
      <w:tr>
        <w:tc>
          <w:tcPr>
            <w:tcW w:type="dxa" w:w="1728"/>
            <w:vAlign w:val="center"/>
          </w:tcPr>
          <w:p>
            <w:pPr>
              <w:spacing w:after="0" w:before="0" w:line="240" w:lineRule="auto"/>
            </w:pPr>
            <w:r/>
            <w:r>
              <w:rPr>
                <w:rFonts w:ascii="Aptos" w:hAnsi="Aptos"/>
                <w:b/>
                <w:color w:val="111827"/>
                <w:sz w:val="11"/>
              </w:rPr>
              <w:t>Landed product cost (C)</w:t>
            </w:r>
          </w:p>
        </w:tc>
        <w:tc>
          <w:tcPr>
            <w:tcW w:type="dxa" w:w="2088"/>
            <w:vAlign w:val="center"/>
          </w:tcPr>
          <w:p>
            <w:pPr>
              <w:spacing w:after="0" w:before="0" w:line="240" w:lineRule="auto"/>
            </w:pPr>
            <w:r/>
            <w:r>
              <w:rPr>
                <w:rFonts w:ascii="Aptos" w:hAnsi="Aptos"/>
                <w:b w:val="0"/>
                <w:color w:val="111827"/>
                <w:sz w:val="11"/>
              </w:rPr>
              <w:t>Footwear/premium apparel ($100)</w:t>
            </w:r>
          </w:p>
        </w:tc>
        <w:tc>
          <w:tcPr>
            <w:tcW w:type="dxa" w:w="936"/>
            <w:vAlign w:val="center"/>
          </w:tcPr>
          <w:p>
            <w:pPr>
              <w:spacing w:after="0" w:before="0" w:line="240" w:lineRule="auto"/>
            </w:pPr>
            <w:r/>
            <w:r>
              <w:rPr>
                <w:rFonts w:ascii="Aptos" w:hAnsi="Aptos"/>
                <w:b w:val="0"/>
                <w:color w:val="111827"/>
                <w:sz w:val="11"/>
              </w:rPr>
              <w:t>$25.00</w:t>
            </w:r>
          </w:p>
        </w:tc>
        <w:tc>
          <w:tcPr>
            <w:tcW w:type="dxa" w:w="1008"/>
            <w:vAlign w:val="center"/>
          </w:tcPr>
          <w:p>
            <w:pPr>
              <w:spacing w:after="0" w:before="0" w:line="240" w:lineRule="auto"/>
            </w:pPr>
            <w:r/>
            <w:r>
              <w:rPr>
                <w:rFonts w:ascii="Aptos" w:hAnsi="Aptos"/>
                <w:b w:val="0"/>
                <w:color w:val="111827"/>
                <w:sz w:val="11"/>
              </w:rPr>
              <w:t>$35.00</w:t>
            </w:r>
          </w:p>
        </w:tc>
        <w:tc>
          <w:tcPr>
            <w:tcW w:type="dxa" w:w="936"/>
            <w:vAlign w:val="center"/>
          </w:tcPr>
          <w:p>
            <w:pPr>
              <w:spacing w:after="0" w:before="0" w:line="240" w:lineRule="auto"/>
            </w:pPr>
            <w:r/>
            <w:r>
              <w:rPr>
                <w:rFonts w:ascii="Aptos" w:hAnsi="Aptos"/>
                <w:b w:val="0"/>
                <w:color w:val="111827"/>
                <w:sz w:val="11"/>
              </w:rPr>
              <w:t>$45.00</w:t>
            </w:r>
          </w:p>
        </w:tc>
        <w:tc>
          <w:tcPr>
            <w:tcW w:type="dxa" w:w="1008"/>
            <w:vAlign w:val="center"/>
          </w:tcPr>
          <w:p>
            <w:pPr>
              <w:spacing w:after="0" w:before="0" w:line="240" w:lineRule="auto"/>
            </w:pPr>
            <w:r/>
            <w:r>
              <w:rPr>
                <w:rFonts w:ascii="Aptos" w:hAnsi="Aptos"/>
                <w:b w:val="0"/>
                <w:color w:val="111827"/>
                <w:sz w:val="11"/>
              </w:rPr>
              <w:t>$</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No product-level COGS supplied; calibrated to category margin structure.</w:t>
            </w:r>
          </w:p>
        </w:tc>
        <w:tc>
          <w:tcPr>
            <w:tcW w:type="dxa" w:w="3024"/>
            <w:vAlign w:val="center"/>
          </w:tcPr>
          <w:p>
            <w:pPr>
              <w:spacing w:after="0" w:before="0" w:line="240" w:lineRule="auto"/>
            </w:pPr>
            <w:r/>
            <w:r>
              <w:rPr>
                <w:rFonts w:ascii="Aptos" w:hAnsi="Aptos"/>
                <w:b w:val="0"/>
                <w:color w:val="111827"/>
                <w:sz w:val="11"/>
              </w:rPr>
              <w:t>Does not change return-tax dollars under the specified incremental formula, but changes post-return loss and tax as % of kept contribution.</w:t>
            </w:r>
          </w:p>
        </w:tc>
        <w:tc>
          <w:tcPr>
            <w:tcW w:type="dxa" w:w="1008"/>
            <w:vAlign w:val="center"/>
          </w:tcPr>
          <w:p>
            <w:pPr>
              <w:spacing w:after="0" w:before="0" w:line="240" w:lineRule="auto"/>
            </w:pPr>
            <w:r/>
            <w:r>
              <w:rPr>
                <w:rFonts w:ascii="Aptos" w:hAnsi="Aptos"/>
                <w:b w:val="0"/>
                <w:color w:val="111827"/>
                <w:sz w:val="11"/>
              </w:rPr>
              <w:t>P01; P02</w:t>
            </w:r>
          </w:p>
        </w:tc>
      </w:tr>
      <w:tr>
        <w:tc>
          <w:tcPr>
            <w:tcW w:type="dxa" w:w="1728"/>
            <w:vAlign w:val="center"/>
            <w:shd w:fill="F5F7FA"/>
          </w:tcPr>
          <w:p>
            <w:pPr>
              <w:spacing w:after="0" w:before="0" w:line="240" w:lineRule="auto"/>
            </w:pPr>
            <w:r/>
            <w:r>
              <w:rPr>
                <w:rFonts w:ascii="Aptos" w:hAnsi="Aptos"/>
                <w:b/>
                <w:color w:val="111827"/>
                <w:sz w:val="11"/>
              </w:rPr>
              <w:t>Outbound fulfillment and shipping (Fo)</w:t>
            </w:r>
          </w:p>
        </w:tc>
        <w:tc>
          <w:tcPr>
            <w:tcW w:type="dxa" w:w="2088"/>
            <w:vAlign w:val="center"/>
            <w:shd w:fill="F5F7FA"/>
          </w:tcPr>
          <w:p>
            <w:pPr>
              <w:spacing w:after="0" w:before="0" w:line="240" w:lineRule="auto"/>
            </w:pPr>
            <w:r/>
            <w:r>
              <w:rPr>
                <w:rFonts w:ascii="Aptos" w:hAnsi="Aptos"/>
                <w:b w:val="0"/>
                <w:color w:val="111827"/>
                <w:sz w:val="11"/>
              </w:rPr>
              <w:t>Footwear/premium apparel ($100)</w:t>
            </w:r>
          </w:p>
        </w:tc>
        <w:tc>
          <w:tcPr>
            <w:tcW w:type="dxa" w:w="936"/>
            <w:vAlign w:val="center"/>
            <w:shd w:fill="F5F7FA"/>
          </w:tcPr>
          <w:p>
            <w:pPr>
              <w:spacing w:after="0" w:before="0" w:line="240" w:lineRule="auto"/>
            </w:pPr>
            <w:r/>
            <w:r>
              <w:rPr>
                <w:rFonts w:ascii="Aptos" w:hAnsi="Aptos"/>
                <w:b w:val="0"/>
                <w:color w:val="111827"/>
                <w:sz w:val="11"/>
              </w:rPr>
              <w:t>$5.25</w:t>
            </w:r>
          </w:p>
        </w:tc>
        <w:tc>
          <w:tcPr>
            <w:tcW w:type="dxa" w:w="1008"/>
            <w:vAlign w:val="center"/>
            <w:shd w:fill="F5F7FA"/>
          </w:tcPr>
          <w:p>
            <w:pPr>
              <w:spacing w:after="0" w:before="0" w:line="240" w:lineRule="auto"/>
            </w:pPr>
            <w:r/>
            <w:r>
              <w:rPr>
                <w:rFonts w:ascii="Aptos" w:hAnsi="Aptos"/>
                <w:b w:val="0"/>
                <w:color w:val="111827"/>
                <w:sz w:val="11"/>
              </w:rPr>
              <w:t>$7.00</w:t>
            </w:r>
          </w:p>
        </w:tc>
        <w:tc>
          <w:tcPr>
            <w:tcW w:type="dxa" w:w="936"/>
            <w:vAlign w:val="center"/>
            <w:shd w:fill="F5F7FA"/>
          </w:tcPr>
          <w:p>
            <w:pPr>
              <w:spacing w:after="0" w:before="0" w:line="240" w:lineRule="auto"/>
            </w:pPr>
            <w:r/>
            <w:r>
              <w:rPr>
                <w:rFonts w:ascii="Aptos" w:hAnsi="Aptos"/>
                <w:b w:val="0"/>
                <w:color w:val="111827"/>
                <w:sz w:val="11"/>
              </w:rPr>
              <w:t>$9.45</w:t>
            </w:r>
          </w:p>
        </w:tc>
        <w:tc>
          <w:tcPr>
            <w:tcW w:type="dxa" w:w="1008"/>
            <w:vAlign w:val="center"/>
            <w:shd w:fill="F5F7FA"/>
          </w:tcPr>
          <w:p>
            <w:pPr>
              <w:spacing w:after="0" w:before="0" w:line="240" w:lineRule="auto"/>
            </w:pPr>
            <w:r/>
            <w:r>
              <w:rPr>
                <w:rFonts w:ascii="Aptos" w:hAnsi="Aptos"/>
                <w:b w:val="0"/>
                <w:color w:val="111827"/>
                <w:sz w:val="11"/>
              </w:rPr>
              <w:t>$</w:t>
            </w:r>
          </w:p>
        </w:tc>
        <w:tc>
          <w:tcPr>
            <w:tcW w:type="dxa" w:w="1224"/>
            <w:vAlign w:val="center"/>
            <w:shd w:fill="F5F7FA"/>
          </w:tcPr>
          <w:p>
            <w:pPr>
              <w:spacing w:after="0" w:before="0" w:line="240" w:lineRule="auto"/>
            </w:pPr>
            <w:r/>
            <w:r>
              <w:rPr>
                <w:rFonts w:ascii="Aptos" w:hAnsi="Aptos"/>
                <w:b w:val="0"/>
                <w:color w:val="111827"/>
                <w:sz w:val="11"/>
              </w:rPr>
              <w:t>Proxy</w:t>
            </w:r>
          </w:p>
        </w:tc>
        <w:tc>
          <w:tcPr>
            <w:tcW w:type="dxa" w:w="3096"/>
            <w:vAlign w:val="center"/>
            <w:shd w:fill="F5F7FA"/>
          </w:tcPr>
          <w:p>
            <w:pPr>
              <w:spacing w:after="0" w:before="0" w:line="240" w:lineRule="auto"/>
            </w:pPr>
            <w:r/>
            <w:r>
              <w:rPr>
                <w:rFonts w:ascii="Aptos" w:hAnsi="Aptos"/>
                <w:b w:val="0"/>
                <w:color w:val="111827"/>
                <w:sz w:val="11"/>
              </w:rPr>
              <w:t>Calibrated to package size and public carrier/WFS anchors; actual negotiated rates unknown.</w:t>
            </w:r>
          </w:p>
        </w:tc>
        <w:tc>
          <w:tcPr>
            <w:tcW w:type="dxa" w:w="3024"/>
            <w:vAlign w:val="center"/>
            <w:shd w:fill="F5F7FA"/>
          </w:tcPr>
          <w:p>
            <w:pPr>
              <w:spacing w:after="0" w:before="0" w:line="240" w:lineRule="auto"/>
            </w:pPr>
            <w:r/>
            <w:r>
              <w:rPr>
                <w:rFonts w:ascii="Aptos" w:hAnsi="Aptos"/>
                <w:b w:val="0"/>
                <w:color w:val="111827"/>
                <w:sz w:val="11"/>
              </w:rPr>
              <w:t>Changes kept and post-return contribution equally; does not change incremental return-tax dollars unless used again as secondary transport.</w:t>
            </w:r>
          </w:p>
        </w:tc>
        <w:tc>
          <w:tcPr>
            <w:tcW w:type="dxa" w:w="1008"/>
            <w:vAlign w:val="center"/>
            <w:shd w:fill="F5F7FA"/>
          </w:tcPr>
          <w:p>
            <w:pPr>
              <w:spacing w:after="0" w:before="0" w:line="240" w:lineRule="auto"/>
            </w:pPr>
            <w:r/>
            <w:r>
              <w:rPr>
                <w:rFonts w:ascii="Aptos" w:hAnsi="Aptos"/>
                <w:b w:val="0"/>
                <w:color w:val="111827"/>
                <w:sz w:val="11"/>
              </w:rPr>
              <w:t>S17; S21-S26</w:t>
            </w:r>
          </w:p>
        </w:tc>
      </w:tr>
      <w:tr>
        <w:tc>
          <w:tcPr>
            <w:tcW w:type="dxa" w:w="1728"/>
            <w:vAlign w:val="center"/>
          </w:tcPr>
          <w:p>
            <w:pPr>
              <w:spacing w:after="0" w:before="0" w:line="240" w:lineRule="auto"/>
            </w:pPr>
            <w:r/>
            <w:r>
              <w:rPr>
                <w:rFonts w:ascii="Aptos" w:hAnsi="Aptos"/>
                <w:b/>
                <w:color w:val="111827"/>
                <w:sz w:val="11"/>
              </w:rPr>
              <w:t>Return rate (p_r)</w:t>
            </w:r>
          </w:p>
        </w:tc>
        <w:tc>
          <w:tcPr>
            <w:tcW w:type="dxa" w:w="2088"/>
            <w:vAlign w:val="center"/>
          </w:tcPr>
          <w:p>
            <w:pPr>
              <w:spacing w:after="0" w:before="0" w:line="240" w:lineRule="auto"/>
            </w:pPr>
            <w:r/>
            <w:r>
              <w:rPr>
                <w:rFonts w:ascii="Aptos" w:hAnsi="Aptos"/>
                <w:b w:val="0"/>
                <w:color w:val="111827"/>
                <w:sz w:val="11"/>
              </w:rPr>
              <w:t>Footwear/premium apparel ($100)</w:t>
            </w:r>
          </w:p>
        </w:tc>
        <w:tc>
          <w:tcPr>
            <w:tcW w:type="dxa" w:w="936"/>
            <w:vAlign w:val="center"/>
          </w:tcPr>
          <w:p>
            <w:pPr>
              <w:spacing w:after="0" w:before="0" w:line="240" w:lineRule="auto"/>
            </w:pPr>
            <w:r/>
            <w:r>
              <w:rPr>
                <w:rFonts w:ascii="Aptos" w:hAnsi="Aptos"/>
                <w:b w:val="0"/>
                <w:color w:val="111827"/>
                <w:sz w:val="11"/>
              </w:rPr>
              <w:t>22.5%</w:t>
            </w:r>
          </w:p>
        </w:tc>
        <w:tc>
          <w:tcPr>
            <w:tcW w:type="dxa" w:w="1008"/>
            <w:vAlign w:val="center"/>
          </w:tcPr>
          <w:p>
            <w:pPr>
              <w:spacing w:after="0" w:before="0" w:line="240" w:lineRule="auto"/>
            </w:pPr>
            <w:r/>
            <w:r>
              <w:rPr>
                <w:rFonts w:ascii="Aptos" w:hAnsi="Aptos"/>
                <w:b w:val="0"/>
                <w:color w:val="111827"/>
                <w:sz w:val="11"/>
              </w:rPr>
              <w:t>30.0%</w:t>
            </w:r>
          </w:p>
        </w:tc>
        <w:tc>
          <w:tcPr>
            <w:tcW w:type="dxa" w:w="936"/>
            <w:vAlign w:val="center"/>
          </w:tcPr>
          <w:p>
            <w:pPr>
              <w:spacing w:after="0" w:before="0" w:line="240" w:lineRule="auto"/>
            </w:pPr>
            <w:r/>
            <w:r>
              <w:rPr>
                <w:rFonts w:ascii="Aptos" w:hAnsi="Aptos"/>
                <w:b w:val="0"/>
                <w:color w:val="111827"/>
                <w:sz w:val="11"/>
              </w:rPr>
              <w:t>37.5%</w:t>
            </w:r>
          </w:p>
        </w:tc>
        <w:tc>
          <w:tcPr>
            <w:tcW w:type="dxa" w:w="1008"/>
            <w:vAlign w:val="center"/>
          </w:tcPr>
          <w:p>
            <w:pPr>
              <w:spacing w:after="0" w:before="0" w:line="240" w:lineRule="auto"/>
            </w:pPr>
            <w:r/>
            <w:r>
              <w:rPr>
                <w:rFonts w:ascii="Aptos" w:hAnsi="Aptos"/>
                <w:b w:val="0"/>
                <w:color w:val="111827"/>
                <w:sz w:val="11"/>
              </w:rPr>
              <w:t>% of orders</w:t>
            </w:r>
          </w:p>
        </w:tc>
        <w:tc>
          <w:tcPr>
            <w:tcW w:type="dxa" w:w="1224"/>
            <w:vAlign w:val="center"/>
          </w:tcPr>
          <w:p>
            <w:pPr>
              <w:spacing w:after="0" w:before="0" w:line="240" w:lineRule="auto"/>
            </w:pPr>
            <w:r/>
            <w:r>
              <w:rPr>
                <w:rFonts w:ascii="Aptos" w:hAnsi="Aptos"/>
                <w:b w:val="0"/>
                <w:color w:val="111827"/>
                <w:sz w:val="11"/>
              </w:rPr>
              <w:t>Assumption/proxy</w:t>
            </w:r>
          </w:p>
        </w:tc>
        <w:tc>
          <w:tcPr>
            <w:tcW w:type="dxa" w:w="3096"/>
            <w:vAlign w:val="center"/>
          </w:tcPr>
          <w:p>
            <w:pPr>
              <w:spacing w:after="0" w:before="0" w:line="240" w:lineRule="auto"/>
            </w:pPr>
            <w:r/>
            <w:r>
              <w:rPr>
                <w:rFonts w:ascii="Aptos" w:hAnsi="Aptos"/>
                <w:b w:val="0"/>
                <w:color w:val="111827"/>
                <w:sz w:val="11"/>
              </w:rPr>
              <w:t>Category-specific population rates are not consistently disclosed; broad online and furniture anchors used.</w:t>
            </w:r>
          </w:p>
        </w:tc>
        <w:tc>
          <w:tcPr>
            <w:tcW w:type="dxa" w:w="3024"/>
            <w:vAlign w:val="center"/>
          </w:tcPr>
          <w:p>
            <w:pPr>
              <w:spacing w:after="0" w:before="0" w:line="240" w:lineRule="auto"/>
            </w:pPr>
            <w:r/>
            <w:r>
              <w:rPr>
                <w:rFonts w:ascii="Aptos" w:hAnsi="Aptos"/>
                <w:b w:val="0"/>
                <w:color w:val="111827"/>
                <w:sz w:val="11"/>
              </w:rPr>
              <w:t>Scales expected return tax per order linearly.</w:t>
            </w:r>
          </w:p>
        </w:tc>
        <w:tc>
          <w:tcPr>
            <w:tcW w:type="dxa" w:w="1008"/>
            <w:vAlign w:val="center"/>
          </w:tcPr>
          <w:p>
            <w:pPr>
              <w:spacing w:after="0" w:before="0" w:line="240" w:lineRule="auto"/>
            </w:pPr>
            <w:r/>
            <w:r>
              <w:rPr>
                <w:rFonts w:ascii="Aptos" w:hAnsi="Aptos"/>
                <w:b w:val="0"/>
                <w:color w:val="111827"/>
                <w:sz w:val="11"/>
              </w:rPr>
              <w:t>S34; S40; P01</w:t>
            </w:r>
          </w:p>
        </w:tc>
      </w:tr>
      <w:tr>
        <w:tc>
          <w:tcPr>
            <w:tcW w:type="dxa" w:w="1728"/>
            <w:vAlign w:val="center"/>
            <w:shd w:fill="F5F7FA"/>
          </w:tcPr>
          <w:p>
            <w:pPr>
              <w:spacing w:after="0" w:before="0" w:line="240" w:lineRule="auto"/>
            </w:pPr>
            <w:r/>
            <w:r>
              <w:rPr>
                <w:rFonts w:ascii="Aptos" w:hAnsi="Aptos"/>
                <w:b/>
                <w:color w:val="111827"/>
                <w:sz w:val="11"/>
              </w:rPr>
              <w:t>Inspection minutes</w:t>
            </w:r>
          </w:p>
        </w:tc>
        <w:tc>
          <w:tcPr>
            <w:tcW w:type="dxa" w:w="2088"/>
            <w:vAlign w:val="center"/>
            <w:shd w:fill="F5F7FA"/>
          </w:tcPr>
          <w:p>
            <w:pPr>
              <w:spacing w:after="0" w:before="0" w:line="240" w:lineRule="auto"/>
            </w:pPr>
            <w:r/>
            <w:r>
              <w:rPr>
                <w:rFonts w:ascii="Aptos" w:hAnsi="Aptos"/>
                <w:b w:val="0"/>
                <w:color w:val="111827"/>
                <w:sz w:val="11"/>
              </w:rPr>
              <w:t>Footwear/premium apparel ($100)</w:t>
            </w:r>
          </w:p>
        </w:tc>
        <w:tc>
          <w:tcPr>
            <w:tcW w:type="dxa" w:w="936"/>
            <w:vAlign w:val="center"/>
            <w:shd w:fill="F5F7FA"/>
          </w:tcPr>
          <w:p>
            <w:pPr>
              <w:spacing w:after="0" w:before="0" w:line="240" w:lineRule="auto"/>
            </w:pPr>
            <w:r/>
            <w:r>
              <w:rPr>
                <w:rFonts w:ascii="Aptos" w:hAnsi="Aptos"/>
                <w:b w:val="0"/>
                <w:color w:val="111827"/>
                <w:sz w:val="11"/>
              </w:rPr>
              <w:t>3.00</w:t>
            </w:r>
          </w:p>
        </w:tc>
        <w:tc>
          <w:tcPr>
            <w:tcW w:type="dxa" w:w="1008"/>
            <w:vAlign w:val="center"/>
            <w:shd w:fill="F5F7FA"/>
          </w:tcPr>
          <w:p>
            <w:pPr>
              <w:spacing w:after="0" w:before="0" w:line="240" w:lineRule="auto"/>
            </w:pPr>
            <w:r/>
            <w:r>
              <w:rPr>
                <w:rFonts w:ascii="Aptos" w:hAnsi="Aptos"/>
                <w:b w:val="0"/>
                <w:color w:val="111827"/>
                <w:sz w:val="11"/>
              </w:rPr>
              <w:t>4.00</w:t>
            </w:r>
          </w:p>
        </w:tc>
        <w:tc>
          <w:tcPr>
            <w:tcW w:type="dxa" w:w="936"/>
            <w:vAlign w:val="center"/>
            <w:shd w:fill="F5F7FA"/>
          </w:tcPr>
          <w:p>
            <w:pPr>
              <w:spacing w:after="0" w:before="0" w:line="240" w:lineRule="auto"/>
            </w:pPr>
            <w:r/>
            <w:r>
              <w:rPr>
                <w:rFonts w:ascii="Aptos" w:hAnsi="Aptos"/>
                <w:b w:val="0"/>
                <w:color w:val="111827"/>
                <w:sz w:val="11"/>
              </w:rPr>
              <w:t>6.00</w:t>
            </w:r>
          </w:p>
        </w:tc>
        <w:tc>
          <w:tcPr>
            <w:tcW w:type="dxa" w:w="1008"/>
            <w:vAlign w:val="center"/>
            <w:shd w:fill="F5F7FA"/>
          </w:tcPr>
          <w:p>
            <w:pPr>
              <w:spacing w:after="0" w:before="0" w:line="240" w:lineRule="auto"/>
            </w:pPr>
            <w:r/>
            <w:r>
              <w:rPr>
                <w:rFonts w:ascii="Aptos" w:hAnsi="Aptos"/>
                <w:b w:val="0"/>
                <w:color w:val="111827"/>
                <w:sz w:val="11"/>
              </w:rPr>
              <w:t>minutes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Labor minutes are a named research gap.</w:t>
            </w:r>
          </w:p>
        </w:tc>
        <w:tc>
          <w:tcPr>
            <w:tcW w:type="dxa" w:w="3024"/>
            <w:vAlign w:val="center"/>
            <w:shd w:fill="F5F7FA"/>
          </w:tcPr>
          <w:p>
            <w:pPr>
              <w:spacing w:after="0" w:before="0" w:line="240" w:lineRule="auto"/>
            </w:pPr>
            <w:r/>
            <w:r>
              <w:rPr>
                <w:rFonts w:ascii="Aptos" w:hAnsi="Aptos"/>
                <w:b w:val="0"/>
                <w:color w:val="111827"/>
                <w:sz w:val="11"/>
              </w:rPr>
              <w:t>Can flip retrieval decisions for low-value items.</w:t>
            </w:r>
          </w:p>
        </w:tc>
        <w:tc>
          <w:tcPr>
            <w:tcW w:type="dxa" w:w="1008"/>
            <w:vAlign w:val="center"/>
            <w:shd w:fill="F5F7FA"/>
          </w:tcPr>
          <w:p>
            <w:pPr>
              <w:spacing w:after="0" w:before="0" w:line="240" w:lineRule="auto"/>
            </w:pPr>
            <w:r/>
            <w:r>
              <w:rPr>
                <w:rFonts w:ascii="Aptos" w:hAnsi="Aptos"/>
                <w:b w:val="0"/>
                <w:color w:val="111827"/>
                <w:sz w:val="11"/>
              </w:rPr>
              <w:t>P01</w:t>
            </w:r>
          </w:p>
        </w:tc>
      </w:tr>
      <w:tr>
        <w:tc>
          <w:tcPr>
            <w:tcW w:type="dxa" w:w="1728"/>
            <w:vAlign w:val="center"/>
          </w:tcPr>
          <w:p>
            <w:pPr>
              <w:spacing w:after="0" w:before="0" w:line="240" w:lineRule="auto"/>
            </w:pPr>
            <w:r/>
            <w:r>
              <w:rPr>
                <w:rFonts w:ascii="Aptos" w:hAnsi="Aptos"/>
                <w:b/>
                <w:color w:val="111827"/>
                <w:sz w:val="11"/>
              </w:rPr>
              <w:t>Monthly product depreciation</w:t>
            </w:r>
          </w:p>
        </w:tc>
        <w:tc>
          <w:tcPr>
            <w:tcW w:type="dxa" w:w="2088"/>
            <w:vAlign w:val="center"/>
          </w:tcPr>
          <w:p>
            <w:pPr>
              <w:spacing w:after="0" w:before="0" w:line="240" w:lineRule="auto"/>
            </w:pPr>
            <w:r/>
            <w:r>
              <w:rPr>
                <w:rFonts w:ascii="Aptos" w:hAnsi="Aptos"/>
                <w:b w:val="0"/>
                <w:color w:val="111827"/>
                <w:sz w:val="11"/>
              </w:rPr>
              <w:t>Footwear/premium apparel ($100)</w:t>
            </w:r>
          </w:p>
        </w:tc>
        <w:tc>
          <w:tcPr>
            <w:tcW w:type="dxa" w:w="936"/>
            <w:vAlign w:val="center"/>
          </w:tcPr>
          <w:p>
            <w:pPr>
              <w:spacing w:after="0" w:before="0" w:line="240" w:lineRule="auto"/>
            </w:pPr>
            <w:r/>
            <w:r>
              <w:rPr>
                <w:rFonts w:ascii="Aptos" w:hAnsi="Aptos"/>
                <w:b w:val="0"/>
                <w:color w:val="111827"/>
                <w:sz w:val="11"/>
              </w:rPr>
              <w:t>1.0%</w:t>
            </w:r>
          </w:p>
        </w:tc>
        <w:tc>
          <w:tcPr>
            <w:tcW w:type="dxa" w:w="1008"/>
            <w:vAlign w:val="center"/>
          </w:tcPr>
          <w:p>
            <w:pPr>
              <w:spacing w:after="0" w:before="0" w:line="240" w:lineRule="auto"/>
            </w:pPr>
            <w:r/>
            <w:r>
              <w:rPr>
                <w:rFonts w:ascii="Aptos" w:hAnsi="Aptos"/>
                <w:b w:val="0"/>
                <w:color w:val="111827"/>
                <w:sz w:val="11"/>
              </w:rPr>
              <w:t>2.0%</w:t>
            </w:r>
          </w:p>
        </w:tc>
        <w:tc>
          <w:tcPr>
            <w:tcW w:type="dxa" w:w="936"/>
            <w:vAlign w:val="center"/>
          </w:tcPr>
          <w:p>
            <w:pPr>
              <w:spacing w:after="0" w:before="0" w:line="240" w:lineRule="auto"/>
            </w:pPr>
            <w:r/>
            <w:r>
              <w:rPr>
                <w:rFonts w:ascii="Aptos" w:hAnsi="Aptos"/>
                <w:b w:val="0"/>
                <w:color w:val="111827"/>
                <w:sz w:val="11"/>
              </w:rPr>
              <w:t>4.0%</w:t>
            </w:r>
          </w:p>
        </w:tc>
        <w:tc>
          <w:tcPr>
            <w:tcW w:type="dxa" w:w="1008"/>
            <w:vAlign w:val="center"/>
          </w:tcPr>
          <w:p>
            <w:pPr>
              <w:spacing w:after="0" w:before="0" w:line="240" w:lineRule="auto"/>
            </w:pPr>
            <w:r/>
            <w:r>
              <w:rPr>
                <w:rFonts w:ascii="Aptos" w:hAnsi="Aptos"/>
                <w:b w:val="0"/>
                <w:color w:val="111827"/>
                <w:sz w:val="11"/>
              </w:rPr>
              <w:t>% per month</w:t>
            </w:r>
          </w:p>
        </w:tc>
        <w:tc>
          <w:tcPr>
            <w:tcW w:type="dxa" w:w="1224"/>
            <w:vAlign w:val="center"/>
          </w:tcPr>
          <w:p>
            <w:pPr>
              <w:spacing w:after="0" w:before="0" w:line="240" w:lineRule="auto"/>
            </w:pPr>
            <w:r/>
            <w:r>
              <w:rPr>
                <w:rFonts w:ascii="Aptos" w:hAnsi="Aptos"/>
                <w:b w:val="0"/>
                <w:color w:val="111827"/>
                <w:sz w:val="11"/>
              </w:rPr>
              <w:t>Proxy/assumption</w:t>
            </w:r>
          </w:p>
        </w:tc>
        <w:tc>
          <w:tcPr>
            <w:tcW w:type="dxa" w:w="3096"/>
            <w:vAlign w:val="center"/>
          </w:tcPr>
          <w:p>
            <w:pPr>
              <w:spacing w:after="0" w:before="0" w:line="240" w:lineRule="auto"/>
            </w:pPr>
            <w:r/>
            <w:r>
              <w:rPr>
                <w:rFonts w:ascii="Aptos" w:hAnsi="Aptos"/>
                <w:b w:val="0"/>
                <w:color w:val="111827"/>
                <w:sz w:val="11"/>
              </w:rPr>
              <w:t>Electronics market evidence supports faster depreciation; other categories use lower proxies.</w:t>
            </w:r>
          </w:p>
        </w:tc>
        <w:tc>
          <w:tcPr>
            <w:tcW w:type="dxa" w:w="3024"/>
            <w:vAlign w:val="center"/>
          </w:tcPr>
          <w:p>
            <w:pPr>
              <w:spacing w:after="0" w:before="0" w:line="240" w:lineRule="auto"/>
            </w:pPr>
            <w:r/>
            <w:r>
              <w:rPr>
                <w:rFonts w:ascii="Aptos" w:hAnsi="Aptos"/>
                <w:b w:val="0"/>
                <w:color w:val="111827"/>
                <w:sz w:val="11"/>
              </w:rPr>
              <w:t>Penalizes slow resale and refurbishment.</w:t>
            </w:r>
          </w:p>
        </w:tc>
        <w:tc>
          <w:tcPr>
            <w:tcW w:type="dxa" w:w="1008"/>
            <w:vAlign w:val="center"/>
          </w:tcPr>
          <w:p>
            <w:pPr>
              <w:spacing w:after="0" w:before="0" w:line="240" w:lineRule="auto"/>
            </w:pPr>
            <w:r/>
            <w:r>
              <w:rPr>
                <w:rFonts w:ascii="Aptos" w:hAnsi="Aptos"/>
                <w:b w:val="0"/>
                <w:color w:val="111827"/>
                <w:sz w:val="11"/>
              </w:rPr>
              <w:t>S39; P02</w:t>
            </w:r>
          </w:p>
        </w:tc>
      </w:tr>
      <w:tr>
        <w:tc>
          <w:tcPr>
            <w:tcW w:type="dxa" w:w="1728"/>
            <w:vAlign w:val="center"/>
            <w:shd w:fill="F5F7FA"/>
          </w:tcPr>
          <w:p>
            <w:pPr>
              <w:spacing w:after="0" w:before="0" w:line="240" w:lineRule="auto"/>
            </w:pPr>
            <w:r/>
            <w:r>
              <w:rPr>
                <w:rFonts w:ascii="Aptos" w:hAnsi="Aptos"/>
                <w:b/>
                <w:color w:val="111827"/>
                <w:sz w:val="11"/>
              </w:rPr>
              <w:t>Confirmed substitution/counterfeit probability</w:t>
            </w:r>
          </w:p>
        </w:tc>
        <w:tc>
          <w:tcPr>
            <w:tcW w:type="dxa" w:w="2088"/>
            <w:vAlign w:val="center"/>
            <w:shd w:fill="F5F7FA"/>
          </w:tcPr>
          <w:p>
            <w:pPr>
              <w:spacing w:after="0" w:before="0" w:line="240" w:lineRule="auto"/>
            </w:pPr>
            <w:r/>
            <w:r>
              <w:rPr>
                <w:rFonts w:ascii="Aptos" w:hAnsi="Aptos"/>
                <w:b w:val="0"/>
                <w:color w:val="111827"/>
                <w:sz w:val="11"/>
              </w:rPr>
              <w:t>Footwear/premium apparel ($100)</w:t>
            </w:r>
          </w:p>
        </w:tc>
        <w:tc>
          <w:tcPr>
            <w:tcW w:type="dxa" w:w="936"/>
            <w:vAlign w:val="center"/>
            <w:shd w:fill="F5F7FA"/>
          </w:tcPr>
          <w:p>
            <w:pPr>
              <w:spacing w:after="0" w:before="0" w:line="240" w:lineRule="auto"/>
            </w:pPr>
            <w:r/>
            <w:r>
              <w:rPr>
                <w:rFonts w:ascii="Aptos" w:hAnsi="Aptos"/>
                <w:b w:val="0"/>
                <w:color w:val="111827"/>
                <w:sz w:val="11"/>
              </w:rPr>
              <w:t>0.0%</w:t>
            </w:r>
          </w:p>
        </w:tc>
        <w:tc>
          <w:tcPr>
            <w:tcW w:type="dxa" w:w="1008"/>
            <w:vAlign w:val="center"/>
            <w:shd w:fill="F5F7FA"/>
          </w:tcPr>
          <w:p>
            <w:pPr>
              <w:spacing w:after="0" w:before="0" w:line="240" w:lineRule="auto"/>
            </w:pPr>
            <w:r/>
            <w:r>
              <w:rPr>
                <w:rFonts w:ascii="Aptos" w:hAnsi="Aptos"/>
                <w:b w:val="0"/>
                <w:color w:val="111827"/>
                <w:sz w:val="11"/>
              </w:rPr>
              <w:t>3.0%</w:t>
            </w:r>
          </w:p>
        </w:tc>
        <w:tc>
          <w:tcPr>
            <w:tcW w:type="dxa" w:w="936"/>
            <w:vAlign w:val="center"/>
            <w:shd w:fill="F5F7FA"/>
          </w:tcPr>
          <w:p>
            <w:pPr>
              <w:spacing w:after="0" w:before="0" w:line="240" w:lineRule="auto"/>
            </w:pPr>
            <w:r/>
            <w:r>
              <w:rPr>
                <w:rFonts w:ascii="Aptos" w:hAnsi="Aptos"/>
                <w:b w:val="0"/>
                <w:color w:val="111827"/>
                <w:sz w:val="11"/>
              </w:rPr>
              <w:t>6.0%</w:t>
            </w:r>
          </w:p>
        </w:tc>
        <w:tc>
          <w:tcPr>
            <w:tcW w:type="dxa" w:w="1008"/>
            <w:vAlign w:val="center"/>
            <w:shd w:fill="F5F7FA"/>
          </w:tcPr>
          <w:p>
            <w:pPr>
              <w:spacing w:after="0" w:before="0" w:line="240" w:lineRule="auto"/>
            </w:pPr>
            <w:r/>
            <w:r>
              <w:rPr>
                <w:rFonts w:ascii="Aptos" w:hAnsi="Aptos"/>
                <w:b w:val="0"/>
                <w:color w:val="111827"/>
                <w:sz w:val="11"/>
              </w:rPr>
              <w:t>% of returns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Industry estimates combine fraud, abuse, and claims and are not category-specific; model uses narrower confirmed-event probabilities.</w:t>
            </w:r>
          </w:p>
        </w:tc>
        <w:tc>
          <w:tcPr>
            <w:tcW w:type="dxa" w:w="3024"/>
            <w:vAlign w:val="center"/>
            <w:shd w:fill="F5F7FA"/>
          </w:tcPr>
          <w:p>
            <w:pPr>
              <w:spacing w:after="0" w:before="0" w:line="240" w:lineRule="auto"/>
            </w:pPr>
            <w:r/>
            <w:r>
              <w:rPr>
                <w:rFonts w:ascii="Aptos" w:hAnsi="Aptos"/>
                <w:b w:val="0"/>
                <w:color w:val="111827"/>
                <w:sz w:val="11"/>
              </w:rPr>
              <w:t>Reduces expected recovery and can justify serial/authentication controls.</w:t>
            </w:r>
          </w:p>
        </w:tc>
        <w:tc>
          <w:tcPr>
            <w:tcW w:type="dxa" w:w="1008"/>
            <w:vAlign w:val="center"/>
            <w:shd w:fill="F5F7FA"/>
          </w:tcPr>
          <w:p>
            <w:pPr>
              <w:spacing w:after="0" w:before="0" w:line="240" w:lineRule="auto"/>
            </w:pPr>
            <w:r/>
            <w:r>
              <w:rPr>
                <w:rFonts w:ascii="Aptos" w:hAnsi="Aptos"/>
                <w:b w:val="0"/>
                <w:color w:val="111827"/>
                <w:sz w:val="11"/>
              </w:rPr>
              <w:t>S31; P01</w:t>
            </w:r>
          </w:p>
        </w:tc>
      </w:tr>
      <w:tr>
        <w:tc>
          <w:tcPr>
            <w:tcW w:type="dxa" w:w="1728"/>
            <w:vAlign w:val="center"/>
          </w:tcPr>
          <w:p>
            <w:pPr>
              <w:spacing w:after="0" w:before="0" w:line="240" w:lineRule="auto"/>
            </w:pPr>
            <w:r/>
            <w:r>
              <w:rPr>
                <w:rFonts w:ascii="Aptos" w:hAnsi="Aptos"/>
                <w:b/>
                <w:color w:val="111827"/>
                <w:sz w:val="11"/>
              </w:rPr>
              <w:t>Landed product cost (C)</w:t>
            </w:r>
          </w:p>
        </w:tc>
        <w:tc>
          <w:tcPr>
            <w:tcW w:type="dxa" w:w="2088"/>
            <w:vAlign w:val="center"/>
          </w:tcPr>
          <w:p>
            <w:pPr>
              <w:spacing w:after="0" w:before="0" w:line="240" w:lineRule="auto"/>
            </w:pPr>
            <w:r/>
            <w:r>
              <w:rPr>
                <w:rFonts w:ascii="Aptos" w:hAnsi="Aptos"/>
                <w:b w:val="0"/>
                <w:color w:val="111827"/>
                <w:sz w:val="11"/>
              </w:rPr>
              <w:t>Headphones/small electronics ($100)</w:t>
            </w:r>
          </w:p>
        </w:tc>
        <w:tc>
          <w:tcPr>
            <w:tcW w:type="dxa" w:w="936"/>
            <w:vAlign w:val="center"/>
          </w:tcPr>
          <w:p>
            <w:pPr>
              <w:spacing w:after="0" w:before="0" w:line="240" w:lineRule="auto"/>
            </w:pPr>
            <w:r/>
            <w:r>
              <w:rPr>
                <w:rFonts w:ascii="Aptos" w:hAnsi="Aptos"/>
                <w:b w:val="0"/>
                <w:color w:val="111827"/>
                <w:sz w:val="11"/>
              </w:rPr>
              <w:t>$35.00</w:t>
            </w:r>
          </w:p>
        </w:tc>
        <w:tc>
          <w:tcPr>
            <w:tcW w:type="dxa" w:w="1008"/>
            <w:vAlign w:val="center"/>
          </w:tcPr>
          <w:p>
            <w:pPr>
              <w:spacing w:after="0" w:before="0" w:line="240" w:lineRule="auto"/>
            </w:pPr>
            <w:r/>
            <w:r>
              <w:rPr>
                <w:rFonts w:ascii="Aptos" w:hAnsi="Aptos"/>
                <w:b w:val="0"/>
                <w:color w:val="111827"/>
                <w:sz w:val="11"/>
              </w:rPr>
              <w:t>$45.00</w:t>
            </w:r>
          </w:p>
        </w:tc>
        <w:tc>
          <w:tcPr>
            <w:tcW w:type="dxa" w:w="936"/>
            <w:vAlign w:val="center"/>
          </w:tcPr>
          <w:p>
            <w:pPr>
              <w:spacing w:after="0" w:before="0" w:line="240" w:lineRule="auto"/>
            </w:pPr>
            <w:r/>
            <w:r>
              <w:rPr>
                <w:rFonts w:ascii="Aptos" w:hAnsi="Aptos"/>
                <w:b w:val="0"/>
                <w:color w:val="111827"/>
                <w:sz w:val="11"/>
              </w:rPr>
              <w:t>$55.00</w:t>
            </w:r>
          </w:p>
        </w:tc>
        <w:tc>
          <w:tcPr>
            <w:tcW w:type="dxa" w:w="1008"/>
            <w:vAlign w:val="center"/>
          </w:tcPr>
          <w:p>
            <w:pPr>
              <w:spacing w:after="0" w:before="0" w:line="240" w:lineRule="auto"/>
            </w:pPr>
            <w:r/>
            <w:r>
              <w:rPr>
                <w:rFonts w:ascii="Aptos" w:hAnsi="Aptos"/>
                <w:b w:val="0"/>
                <w:color w:val="111827"/>
                <w:sz w:val="11"/>
              </w:rPr>
              <w:t>$</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No product-level COGS supplied; calibrated to category margin structure.</w:t>
            </w:r>
          </w:p>
        </w:tc>
        <w:tc>
          <w:tcPr>
            <w:tcW w:type="dxa" w:w="3024"/>
            <w:vAlign w:val="center"/>
          </w:tcPr>
          <w:p>
            <w:pPr>
              <w:spacing w:after="0" w:before="0" w:line="240" w:lineRule="auto"/>
            </w:pPr>
            <w:r/>
            <w:r>
              <w:rPr>
                <w:rFonts w:ascii="Aptos" w:hAnsi="Aptos"/>
                <w:b w:val="0"/>
                <w:color w:val="111827"/>
                <w:sz w:val="11"/>
              </w:rPr>
              <w:t>Does not change return-tax dollars under the specified incremental formula, but changes post-return loss and tax as % of kept contribution.</w:t>
            </w:r>
          </w:p>
        </w:tc>
        <w:tc>
          <w:tcPr>
            <w:tcW w:type="dxa" w:w="1008"/>
            <w:vAlign w:val="center"/>
          </w:tcPr>
          <w:p>
            <w:pPr>
              <w:spacing w:after="0" w:before="0" w:line="240" w:lineRule="auto"/>
            </w:pPr>
            <w:r/>
            <w:r>
              <w:rPr>
                <w:rFonts w:ascii="Aptos" w:hAnsi="Aptos"/>
                <w:b w:val="0"/>
                <w:color w:val="111827"/>
                <w:sz w:val="11"/>
              </w:rPr>
              <w:t>P01; P02</w:t>
            </w:r>
          </w:p>
        </w:tc>
      </w:tr>
      <w:tr>
        <w:tc>
          <w:tcPr>
            <w:tcW w:type="dxa" w:w="1728"/>
            <w:vAlign w:val="center"/>
            <w:shd w:fill="F5F7FA"/>
          </w:tcPr>
          <w:p>
            <w:pPr>
              <w:spacing w:after="0" w:before="0" w:line="240" w:lineRule="auto"/>
            </w:pPr>
            <w:r/>
            <w:r>
              <w:rPr>
                <w:rFonts w:ascii="Aptos" w:hAnsi="Aptos"/>
                <w:b/>
                <w:color w:val="111827"/>
                <w:sz w:val="11"/>
              </w:rPr>
              <w:t>Outbound fulfillment and shipping (Fo)</w:t>
            </w:r>
          </w:p>
        </w:tc>
        <w:tc>
          <w:tcPr>
            <w:tcW w:type="dxa" w:w="2088"/>
            <w:vAlign w:val="center"/>
            <w:shd w:fill="F5F7FA"/>
          </w:tcPr>
          <w:p>
            <w:pPr>
              <w:spacing w:after="0" w:before="0" w:line="240" w:lineRule="auto"/>
            </w:pPr>
            <w:r/>
            <w:r>
              <w:rPr>
                <w:rFonts w:ascii="Aptos" w:hAnsi="Aptos"/>
                <w:b w:val="0"/>
                <w:color w:val="111827"/>
                <w:sz w:val="11"/>
              </w:rPr>
              <w:t>Headphones/small electronics ($100)</w:t>
            </w:r>
          </w:p>
        </w:tc>
        <w:tc>
          <w:tcPr>
            <w:tcW w:type="dxa" w:w="936"/>
            <w:vAlign w:val="center"/>
            <w:shd w:fill="F5F7FA"/>
          </w:tcPr>
          <w:p>
            <w:pPr>
              <w:spacing w:after="0" w:before="0" w:line="240" w:lineRule="auto"/>
            </w:pPr>
            <w:r/>
            <w:r>
              <w:rPr>
                <w:rFonts w:ascii="Aptos" w:hAnsi="Aptos"/>
                <w:b w:val="0"/>
                <w:color w:val="111827"/>
                <w:sz w:val="11"/>
              </w:rPr>
              <w:t>$4.50</w:t>
            </w:r>
          </w:p>
        </w:tc>
        <w:tc>
          <w:tcPr>
            <w:tcW w:type="dxa" w:w="1008"/>
            <w:vAlign w:val="center"/>
            <w:shd w:fill="F5F7FA"/>
          </w:tcPr>
          <w:p>
            <w:pPr>
              <w:spacing w:after="0" w:before="0" w:line="240" w:lineRule="auto"/>
            </w:pPr>
            <w:r/>
            <w:r>
              <w:rPr>
                <w:rFonts w:ascii="Aptos" w:hAnsi="Aptos"/>
                <w:b w:val="0"/>
                <w:color w:val="111827"/>
                <w:sz w:val="11"/>
              </w:rPr>
              <w:t>$6.00</w:t>
            </w:r>
          </w:p>
        </w:tc>
        <w:tc>
          <w:tcPr>
            <w:tcW w:type="dxa" w:w="936"/>
            <w:vAlign w:val="center"/>
            <w:shd w:fill="F5F7FA"/>
          </w:tcPr>
          <w:p>
            <w:pPr>
              <w:spacing w:after="0" w:before="0" w:line="240" w:lineRule="auto"/>
            </w:pPr>
            <w:r/>
            <w:r>
              <w:rPr>
                <w:rFonts w:ascii="Aptos" w:hAnsi="Aptos"/>
                <w:b w:val="0"/>
                <w:color w:val="111827"/>
                <w:sz w:val="11"/>
              </w:rPr>
              <w:t>$8.10</w:t>
            </w:r>
          </w:p>
        </w:tc>
        <w:tc>
          <w:tcPr>
            <w:tcW w:type="dxa" w:w="1008"/>
            <w:vAlign w:val="center"/>
            <w:shd w:fill="F5F7FA"/>
          </w:tcPr>
          <w:p>
            <w:pPr>
              <w:spacing w:after="0" w:before="0" w:line="240" w:lineRule="auto"/>
            </w:pPr>
            <w:r/>
            <w:r>
              <w:rPr>
                <w:rFonts w:ascii="Aptos" w:hAnsi="Aptos"/>
                <w:b w:val="0"/>
                <w:color w:val="111827"/>
                <w:sz w:val="11"/>
              </w:rPr>
              <w:t>$</w:t>
            </w:r>
          </w:p>
        </w:tc>
        <w:tc>
          <w:tcPr>
            <w:tcW w:type="dxa" w:w="1224"/>
            <w:vAlign w:val="center"/>
            <w:shd w:fill="F5F7FA"/>
          </w:tcPr>
          <w:p>
            <w:pPr>
              <w:spacing w:after="0" w:before="0" w:line="240" w:lineRule="auto"/>
            </w:pPr>
            <w:r/>
            <w:r>
              <w:rPr>
                <w:rFonts w:ascii="Aptos" w:hAnsi="Aptos"/>
                <w:b w:val="0"/>
                <w:color w:val="111827"/>
                <w:sz w:val="11"/>
              </w:rPr>
              <w:t>Proxy</w:t>
            </w:r>
          </w:p>
        </w:tc>
        <w:tc>
          <w:tcPr>
            <w:tcW w:type="dxa" w:w="3096"/>
            <w:vAlign w:val="center"/>
            <w:shd w:fill="F5F7FA"/>
          </w:tcPr>
          <w:p>
            <w:pPr>
              <w:spacing w:after="0" w:before="0" w:line="240" w:lineRule="auto"/>
            </w:pPr>
            <w:r/>
            <w:r>
              <w:rPr>
                <w:rFonts w:ascii="Aptos" w:hAnsi="Aptos"/>
                <w:b w:val="0"/>
                <w:color w:val="111827"/>
                <w:sz w:val="11"/>
              </w:rPr>
              <w:t>Calibrated to package size and public carrier/WFS anchors; actual negotiated rates unknown.</w:t>
            </w:r>
          </w:p>
        </w:tc>
        <w:tc>
          <w:tcPr>
            <w:tcW w:type="dxa" w:w="3024"/>
            <w:vAlign w:val="center"/>
            <w:shd w:fill="F5F7FA"/>
          </w:tcPr>
          <w:p>
            <w:pPr>
              <w:spacing w:after="0" w:before="0" w:line="240" w:lineRule="auto"/>
            </w:pPr>
            <w:r/>
            <w:r>
              <w:rPr>
                <w:rFonts w:ascii="Aptos" w:hAnsi="Aptos"/>
                <w:b w:val="0"/>
                <w:color w:val="111827"/>
                <w:sz w:val="11"/>
              </w:rPr>
              <w:t>Changes kept and post-return contribution equally; does not change incremental return-tax dollars unless used again as secondary transport.</w:t>
            </w:r>
          </w:p>
        </w:tc>
        <w:tc>
          <w:tcPr>
            <w:tcW w:type="dxa" w:w="1008"/>
            <w:vAlign w:val="center"/>
            <w:shd w:fill="F5F7FA"/>
          </w:tcPr>
          <w:p>
            <w:pPr>
              <w:spacing w:after="0" w:before="0" w:line="240" w:lineRule="auto"/>
            </w:pPr>
            <w:r/>
            <w:r>
              <w:rPr>
                <w:rFonts w:ascii="Aptos" w:hAnsi="Aptos"/>
                <w:b w:val="0"/>
                <w:color w:val="111827"/>
                <w:sz w:val="11"/>
              </w:rPr>
              <w:t>S17; S21-S26</w:t>
            </w:r>
          </w:p>
        </w:tc>
      </w:tr>
      <w:tr>
        <w:tc>
          <w:tcPr>
            <w:tcW w:type="dxa" w:w="1728"/>
            <w:vAlign w:val="center"/>
          </w:tcPr>
          <w:p>
            <w:pPr>
              <w:spacing w:after="0" w:before="0" w:line="240" w:lineRule="auto"/>
            </w:pPr>
            <w:r/>
            <w:r>
              <w:rPr>
                <w:rFonts w:ascii="Aptos" w:hAnsi="Aptos"/>
                <w:b/>
                <w:color w:val="111827"/>
                <w:sz w:val="11"/>
              </w:rPr>
              <w:t>Return rate (p_r)</w:t>
            </w:r>
          </w:p>
        </w:tc>
        <w:tc>
          <w:tcPr>
            <w:tcW w:type="dxa" w:w="2088"/>
            <w:vAlign w:val="center"/>
          </w:tcPr>
          <w:p>
            <w:pPr>
              <w:spacing w:after="0" w:before="0" w:line="240" w:lineRule="auto"/>
            </w:pPr>
            <w:r/>
            <w:r>
              <w:rPr>
                <w:rFonts w:ascii="Aptos" w:hAnsi="Aptos"/>
                <w:b w:val="0"/>
                <w:color w:val="111827"/>
                <w:sz w:val="11"/>
              </w:rPr>
              <w:t>Headphones/small electronics ($100)</w:t>
            </w:r>
          </w:p>
        </w:tc>
        <w:tc>
          <w:tcPr>
            <w:tcW w:type="dxa" w:w="936"/>
            <w:vAlign w:val="center"/>
          </w:tcPr>
          <w:p>
            <w:pPr>
              <w:spacing w:after="0" w:before="0" w:line="240" w:lineRule="auto"/>
            </w:pPr>
            <w:r/>
            <w:r>
              <w:rPr>
                <w:rFonts w:ascii="Aptos" w:hAnsi="Aptos"/>
                <w:b w:val="0"/>
                <w:color w:val="111827"/>
                <w:sz w:val="11"/>
              </w:rPr>
              <w:t>9.0%</w:t>
            </w:r>
          </w:p>
        </w:tc>
        <w:tc>
          <w:tcPr>
            <w:tcW w:type="dxa" w:w="1008"/>
            <w:vAlign w:val="center"/>
          </w:tcPr>
          <w:p>
            <w:pPr>
              <w:spacing w:after="0" w:before="0" w:line="240" w:lineRule="auto"/>
            </w:pPr>
            <w:r/>
            <w:r>
              <w:rPr>
                <w:rFonts w:ascii="Aptos" w:hAnsi="Aptos"/>
                <w:b w:val="0"/>
                <w:color w:val="111827"/>
                <w:sz w:val="11"/>
              </w:rPr>
              <w:t>12.0%</w:t>
            </w:r>
          </w:p>
        </w:tc>
        <w:tc>
          <w:tcPr>
            <w:tcW w:type="dxa" w:w="936"/>
            <w:vAlign w:val="center"/>
          </w:tcPr>
          <w:p>
            <w:pPr>
              <w:spacing w:after="0" w:before="0" w:line="240" w:lineRule="auto"/>
            </w:pPr>
            <w:r/>
            <w:r>
              <w:rPr>
                <w:rFonts w:ascii="Aptos" w:hAnsi="Aptos"/>
                <w:b w:val="0"/>
                <w:color w:val="111827"/>
                <w:sz w:val="11"/>
              </w:rPr>
              <w:t>15.0%</w:t>
            </w:r>
          </w:p>
        </w:tc>
        <w:tc>
          <w:tcPr>
            <w:tcW w:type="dxa" w:w="1008"/>
            <w:vAlign w:val="center"/>
          </w:tcPr>
          <w:p>
            <w:pPr>
              <w:spacing w:after="0" w:before="0" w:line="240" w:lineRule="auto"/>
            </w:pPr>
            <w:r/>
            <w:r>
              <w:rPr>
                <w:rFonts w:ascii="Aptos" w:hAnsi="Aptos"/>
                <w:b w:val="0"/>
                <w:color w:val="111827"/>
                <w:sz w:val="11"/>
              </w:rPr>
              <w:t>% of orders</w:t>
            </w:r>
          </w:p>
        </w:tc>
        <w:tc>
          <w:tcPr>
            <w:tcW w:type="dxa" w:w="1224"/>
            <w:vAlign w:val="center"/>
          </w:tcPr>
          <w:p>
            <w:pPr>
              <w:spacing w:after="0" w:before="0" w:line="240" w:lineRule="auto"/>
            </w:pPr>
            <w:r/>
            <w:r>
              <w:rPr>
                <w:rFonts w:ascii="Aptos" w:hAnsi="Aptos"/>
                <w:b w:val="0"/>
                <w:color w:val="111827"/>
                <w:sz w:val="11"/>
              </w:rPr>
              <w:t>Assumption/proxy</w:t>
            </w:r>
          </w:p>
        </w:tc>
        <w:tc>
          <w:tcPr>
            <w:tcW w:type="dxa" w:w="3096"/>
            <w:vAlign w:val="center"/>
          </w:tcPr>
          <w:p>
            <w:pPr>
              <w:spacing w:after="0" w:before="0" w:line="240" w:lineRule="auto"/>
            </w:pPr>
            <w:r/>
            <w:r>
              <w:rPr>
                <w:rFonts w:ascii="Aptos" w:hAnsi="Aptos"/>
                <w:b w:val="0"/>
                <w:color w:val="111827"/>
                <w:sz w:val="11"/>
              </w:rPr>
              <w:t>Category-specific population rates are not consistently disclosed; broad online and furniture anchors used.</w:t>
            </w:r>
          </w:p>
        </w:tc>
        <w:tc>
          <w:tcPr>
            <w:tcW w:type="dxa" w:w="3024"/>
            <w:vAlign w:val="center"/>
          </w:tcPr>
          <w:p>
            <w:pPr>
              <w:spacing w:after="0" w:before="0" w:line="240" w:lineRule="auto"/>
            </w:pPr>
            <w:r/>
            <w:r>
              <w:rPr>
                <w:rFonts w:ascii="Aptos" w:hAnsi="Aptos"/>
                <w:b w:val="0"/>
                <w:color w:val="111827"/>
                <w:sz w:val="11"/>
              </w:rPr>
              <w:t>Scales expected return tax per order linearly.</w:t>
            </w:r>
          </w:p>
        </w:tc>
        <w:tc>
          <w:tcPr>
            <w:tcW w:type="dxa" w:w="1008"/>
            <w:vAlign w:val="center"/>
          </w:tcPr>
          <w:p>
            <w:pPr>
              <w:spacing w:after="0" w:before="0" w:line="240" w:lineRule="auto"/>
            </w:pPr>
            <w:r/>
            <w:r>
              <w:rPr>
                <w:rFonts w:ascii="Aptos" w:hAnsi="Aptos"/>
                <w:b w:val="0"/>
                <w:color w:val="111827"/>
                <w:sz w:val="11"/>
              </w:rPr>
              <w:t>S34; S40; P01</w:t>
            </w:r>
          </w:p>
        </w:tc>
      </w:tr>
      <w:tr>
        <w:tc>
          <w:tcPr>
            <w:tcW w:type="dxa" w:w="1728"/>
            <w:vAlign w:val="center"/>
            <w:shd w:fill="F5F7FA"/>
          </w:tcPr>
          <w:p>
            <w:pPr>
              <w:spacing w:after="0" w:before="0" w:line="240" w:lineRule="auto"/>
            </w:pPr>
            <w:r/>
            <w:r>
              <w:rPr>
                <w:rFonts w:ascii="Aptos" w:hAnsi="Aptos"/>
                <w:b/>
                <w:color w:val="111827"/>
                <w:sz w:val="11"/>
              </w:rPr>
              <w:t>Inspection minutes</w:t>
            </w:r>
          </w:p>
        </w:tc>
        <w:tc>
          <w:tcPr>
            <w:tcW w:type="dxa" w:w="2088"/>
            <w:vAlign w:val="center"/>
            <w:shd w:fill="F5F7FA"/>
          </w:tcPr>
          <w:p>
            <w:pPr>
              <w:spacing w:after="0" w:before="0" w:line="240" w:lineRule="auto"/>
            </w:pPr>
            <w:r/>
            <w:r>
              <w:rPr>
                <w:rFonts w:ascii="Aptos" w:hAnsi="Aptos"/>
                <w:b w:val="0"/>
                <w:color w:val="111827"/>
                <w:sz w:val="11"/>
              </w:rPr>
              <w:t>Headphones/small electronics ($100)</w:t>
            </w:r>
          </w:p>
        </w:tc>
        <w:tc>
          <w:tcPr>
            <w:tcW w:type="dxa" w:w="936"/>
            <w:vAlign w:val="center"/>
            <w:shd w:fill="F5F7FA"/>
          </w:tcPr>
          <w:p>
            <w:pPr>
              <w:spacing w:after="0" w:before="0" w:line="240" w:lineRule="auto"/>
            </w:pPr>
            <w:r/>
            <w:r>
              <w:rPr>
                <w:rFonts w:ascii="Aptos" w:hAnsi="Aptos"/>
                <w:b w:val="0"/>
                <w:color w:val="111827"/>
                <w:sz w:val="11"/>
              </w:rPr>
              <w:t>6.00</w:t>
            </w:r>
          </w:p>
        </w:tc>
        <w:tc>
          <w:tcPr>
            <w:tcW w:type="dxa" w:w="1008"/>
            <w:vAlign w:val="center"/>
            <w:shd w:fill="F5F7FA"/>
          </w:tcPr>
          <w:p>
            <w:pPr>
              <w:spacing w:after="0" w:before="0" w:line="240" w:lineRule="auto"/>
            </w:pPr>
            <w:r/>
            <w:r>
              <w:rPr>
                <w:rFonts w:ascii="Aptos" w:hAnsi="Aptos"/>
                <w:b w:val="0"/>
                <w:color w:val="111827"/>
                <w:sz w:val="11"/>
              </w:rPr>
              <w:t>8.00</w:t>
            </w:r>
          </w:p>
        </w:tc>
        <w:tc>
          <w:tcPr>
            <w:tcW w:type="dxa" w:w="936"/>
            <w:vAlign w:val="center"/>
            <w:shd w:fill="F5F7FA"/>
          </w:tcPr>
          <w:p>
            <w:pPr>
              <w:spacing w:after="0" w:before="0" w:line="240" w:lineRule="auto"/>
            </w:pPr>
            <w:r/>
            <w:r>
              <w:rPr>
                <w:rFonts w:ascii="Aptos" w:hAnsi="Aptos"/>
                <w:b w:val="0"/>
                <w:color w:val="111827"/>
                <w:sz w:val="11"/>
              </w:rPr>
              <w:t>12.00</w:t>
            </w:r>
          </w:p>
        </w:tc>
        <w:tc>
          <w:tcPr>
            <w:tcW w:type="dxa" w:w="1008"/>
            <w:vAlign w:val="center"/>
            <w:shd w:fill="F5F7FA"/>
          </w:tcPr>
          <w:p>
            <w:pPr>
              <w:spacing w:after="0" w:before="0" w:line="240" w:lineRule="auto"/>
            </w:pPr>
            <w:r/>
            <w:r>
              <w:rPr>
                <w:rFonts w:ascii="Aptos" w:hAnsi="Aptos"/>
                <w:b w:val="0"/>
                <w:color w:val="111827"/>
                <w:sz w:val="11"/>
              </w:rPr>
              <w:t>minutes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Labor minutes are a named research gap.</w:t>
            </w:r>
          </w:p>
        </w:tc>
        <w:tc>
          <w:tcPr>
            <w:tcW w:type="dxa" w:w="3024"/>
            <w:vAlign w:val="center"/>
            <w:shd w:fill="F5F7FA"/>
          </w:tcPr>
          <w:p>
            <w:pPr>
              <w:spacing w:after="0" w:before="0" w:line="240" w:lineRule="auto"/>
            </w:pPr>
            <w:r/>
            <w:r>
              <w:rPr>
                <w:rFonts w:ascii="Aptos" w:hAnsi="Aptos"/>
                <w:b w:val="0"/>
                <w:color w:val="111827"/>
                <w:sz w:val="11"/>
              </w:rPr>
              <w:t>Can flip retrieval decisions for low-value items.</w:t>
            </w:r>
          </w:p>
        </w:tc>
        <w:tc>
          <w:tcPr>
            <w:tcW w:type="dxa" w:w="1008"/>
            <w:vAlign w:val="center"/>
            <w:shd w:fill="F5F7FA"/>
          </w:tcPr>
          <w:p>
            <w:pPr>
              <w:spacing w:after="0" w:before="0" w:line="240" w:lineRule="auto"/>
            </w:pPr>
            <w:r/>
            <w:r>
              <w:rPr>
                <w:rFonts w:ascii="Aptos" w:hAnsi="Aptos"/>
                <w:b w:val="0"/>
                <w:color w:val="111827"/>
                <w:sz w:val="11"/>
              </w:rPr>
              <w:t>P01</w:t>
            </w:r>
          </w:p>
        </w:tc>
      </w:tr>
      <w:tr>
        <w:tc>
          <w:tcPr>
            <w:tcW w:type="dxa" w:w="1728"/>
            <w:vAlign w:val="center"/>
          </w:tcPr>
          <w:p>
            <w:pPr>
              <w:spacing w:after="0" w:before="0" w:line="240" w:lineRule="auto"/>
            </w:pPr>
            <w:r/>
            <w:r>
              <w:rPr>
                <w:rFonts w:ascii="Aptos" w:hAnsi="Aptos"/>
                <w:b/>
                <w:color w:val="111827"/>
                <w:sz w:val="11"/>
              </w:rPr>
              <w:t>Monthly product depreciation</w:t>
            </w:r>
          </w:p>
        </w:tc>
        <w:tc>
          <w:tcPr>
            <w:tcW w:type="dxa" w:w="2088"/>
            <w:vAlign w:val="center"/>
          </w:tcPr>
          <w:p>
            <w:pPr>
              <w:spacing w:after="0" w:before="0" w:line="240" w:lineRule="auto"/>
            </w:pPr>
            <w:r/>
            <w:r>
              <w:rPr>
                <w:rFonts w:ascii="Aptos" w:hAnsi="Aptos"/>
                <w:b w:val="0"/>
                <w:color w:val="111827"/>
                <w:sz w:val="11"/>
              </w:rPr>
              <w:t>Headphones/small electronics ($100)</w:t>
            </w:r>
          </w:p>
        </w:tc>
        <w:tc>
          <w:tcPr>
            <w:tcW w:type="dxa" w:w="936"/>
            <w:vAlign w:val="center"/>
          </w:tcPr>
          <w:p>
            <w:pPr>
              <w:spacing w:after="0" w:before="0" w:line="240" w:lineRule="auto"/>
            </w:pPr>
            <w:r/>
            <w:r>
              <w:rPr>
                <w:rFonts w:ascii="Aptos" w:hAnsi="Aptos"/>
                <w:b w:val="0"/>
                <w:color w:val="111827"/>
                <w:sz w:val="11"/>
              </w:rPr>
              <w:t>1.5%</w:t>
            </w:r>
          </w:p>
        </w:tc>
        <w:tc>
          <w:tcPr>
            <w:tcW w:type="dxa" w:w="1008"/>
            <w:vAlign w:val="center"/>
          </w:tcPr>
          <w:p>
            <w:pPr>
              <w:spacing w:after="0" w:before="0" w:line="240" w:lineRule="auto"/>
            </w:pPr>
            <w:r/>
            <w:r>
              <w:rPr>
                <w:rFonts w:ascii="Aptos" w:hAnsi="Aptos"/>
                <w:b w:val="0"/>
                <w:color w:val="111827"/>
                <w:sz w:val="11"/>
              </w:rPr>
              <w:t>3.0%</w:t>
            </w:r>
          </w:p>
        </w:tc>
        <w:tc>
          <w:tcPr>
            <w:tcW w:type="dxa" w:w="936"/>
            <w:vAlign w:val="center"/>
          </w:tcPr>
          <w:p>
            <w:pPr>
              <w:spacing w:after="0" w:before="0" w:line="240" w:lineRule="auto"/>
            </w:pPr>
            <w:r/>
            <w:r>
              <w:rPr>
                <w:rFonts w:ascii="Aptos" w:hAnsi="Aptos"/>
                <w:b w:val="0"/>
                <w:color w:val="111827"/>
                <w:sz w:val="11"/>
              </w:rPr>
              <w:t>6.0%</w:t>
            </w:r>
          </w:p>
        </w:tc>
        <w:tc>
          <w:tcPr>
            <w:tcW w:type="dxa" w:w="1008"/>
            <w:vAlign w:val="center"/>
          </w:tcPr>
          <w:p>
            <w:pPr>
              <w:spacing w:after="0" w:before="0" w:line="240" w:lineRule="auto"/>
            </w:pPr>
            <w:r/>
            <w:r>
              <w:rPr>
                <w:rFonts w:ascii="Aptos" w:hAnsi="Aptos"/>
                <w:b w:val="0"/>
                <w:color w:val="111827"/>
                <w:sz w:val="11"/>
              </w:rPr>
              <w:t>% per month</w:t>
            </w:r>
          </w:p>
        </w:tc>
        <w:tc>
          <w:tcPr>
            <w:tcW w:type="dxa" w:w="1224"/>
            <w:vAlign w:val="center"/>
          </w:tcPr>
          <w:p>
            <w:pPr>
              <w:spacing w:after="0" w:before="0" w:line="240" w:lineRule="auto"/>
            </w:pPr>
            <w:r/>
            <w:r>
              <w:rPr>
                <w:rFonts w:ascii="Aptos" w:hAnsi="Aptos"/>
                <w:b w:val="0"/>
                <w:color w:val="111827"/>
                <w:sz w:val="11"/>
              </w:rPr>
              <w:t>Proxy/assumption</w:t>
            </w:r>
          </w:p>
        </w:tc>
        <w:tc>
          <w:tcPr>
            <w:tcW w:type="dxa" w:w="3096"/>
            <w:vAlign w:val="center"/>
          </w:tcPr>
          <w:p>
            <w:pPr>
              <w:spacing w:after="0" w:before="0" w:line="240" w:lineRule="auto"/>
            </w:pPr>
            <w:r/>
            <w:r>
              <w:rPr>
                <w:rFonts w:ascii="Aptos" w:hAnsi="Aptos"/>
                <w:b w:val="0"/>
                <w:color w:val="111827"/>
                <w:sz w:val="11"/>
              </w:rPr>
              <w:t>Electronics market evidence supports faster depreciation; other categories use lower proxies.</w:t>
            </w:r>
          </w:p>
        </w:tc>
        <w:tc>
          <w:tcPr>
            <w:tcW w:type="dxa" w:w="3024"/>
            <w:vAlign w:val="center"/>
          </w:tcPr>
          <w:p>
            <w:pPr>
              <w:spacing w:after="0" w:before="0" w:line="240" w:lineRule="auto"/>
            </w:pPr>
            <w:r/>
            <w:r>
              <w:rPr>
                <w:rFonts w:ascii="Aptos" w:hAnsi="Aptos"/>
                <w:b w:val="0"/>
                <w:color w:val="111827"/>
                <w:sz w:val="11"/>
              </w:rPr>
              <w:t>Penalizes slow resale and refurbishment.</w:t>
            </w:r>
          </w:p>
        </w:tc>
        <w:tc>
          <w:tcPr>
            <w:tcW w:type="dxa" w:w="1008"/>
            <w:vAlign w:val="center"/>
          </w:tcPr>
          <w:p>
            <w:pPr>
              <w:spacing w:after="0" w:before="0" w:line="240" w:lineRule="auto"/>
            </w:pPr>
            <w:r/>
            <w:r>
              <w:rPr>
                <w:rFonts w:ascii="Aptos" w:hAnsi="Aptos"/>
                <w:b w:val="0"/>
                <w:color w:val="111827"/>
                <w:sz w:val="11"/>
              </w:rPr>
              <w:t>S39; P02</w:t>
            </w:r>
          </w:p>
        </w:tc>
      </w:tr>
      <w:tr>
        <w:tc>
          <w:tcPr>
            <w:tcW w:type="dxa" w:w="1728"/>
            <w:vAlign w:val="center"/>
            <w:shd w:fill="F5F7FA"/>
          </w:tcPr>
          <w:p>
            <w:pPr>
              <w:spacing w:after="0" w:before="0" w:line="240" w:lineRule="auto"/>
            </w:pPr>
            <w:r/>
            <w:r>
              <w:rPr>
                <w:rFonts w:ascii="Aptos" w:hAnsi="Aptos"/>
                <w:b/>
                <w:color w:val="111827"/>
                <w:sz w:val="11"/>
              </w:rPr>
              <w:t>Confirmed substitution/counterfeit probability</w:t>
            </w:r>
          </w:p>
        </w:tc>
        <w:tc>
          <w:tcPr>
            <w:tcW w:type="dxa" w:w="2088"/>
            <w:vAlign w:val="center"/>
            <w:shd w:fill="F5F7FA"/>
          </w:tcPr>
          <w:p>
            <w:pPr>
              <w:spacing w:after="0" w:before="0" w:line="240" w:lineRule="auto"/>
            </w:pPr>
            <w:r/>
            <w:r>
              <w:rPr>
                <w:rFonts w:ascii="Aptos" w:hAnsi="Aptos"/>
                <w:b w:val="0"/>
                <w:color w:val="111827"/>
                <w:sz w:val="11"/>
              </w:rPr>
              <w:t>Headphones/small electronics ($100)</w:t>
            </w:r>
          </w:p>
        </w:tc>
        <w:tc>
          <w:tcPr>
            <w:tcW w:type="dxa" w:w="936"/>
            <w:vAlign w:val="center"/>
            <w:shd w:fill="F5F7FA"/>
          </w:tcPr>
          <w:p>
            <w:pPr>
              <w:spacing w:after="0" w:before="0" w:line="240" w:lineRule="auto"/>
            </w:pPr>
            <w:r/>
            <w:r>
              <w:rPr>
                <w:rFonts w:ascii="Aptos" w:hAnsi="Aptos"/>
                <w:b w:val="0"/>
                <w:color w:val="111827"/>
                <w:sz w:val="11"/>
              </w:rPr>
              <w:t>0.0%</w:t>
            </w:r>
          </w:p>
        </w:tc>
        <w:tc>
          <w:tcPr>
            <w:tcW w:type="dxa" w:w="1008"/>
            <w:vAlign w:val="center"/>
            <w:shd w:fill="F5F7FA"/>
          </w:tcPr>
          <w:p>
            <w:pPr>
              <w:spacing w:after="0" w:before="0" w:line="240" w:lineRule="auto"/>
            </w:pPr>
            <w:r/>
            <w:r>
              <w:rPr>
                <w:rFonts w:ascii="Aptos" w:hAnsi="Aptos"/>
                <w:b w:val="0"/>
                <w:color w:val="111827"/>
                <w:sz w:val="11"/>
              </w:rPr>
              <w:t>5.0%</w:t>
            </w:r>
          </w:p>
        </w:tc>
        <w:tc>
          <w:tcPr>
            <w:tcW w:type="dxa" w:w="936"/>
            <w:vAlign w:val="center"/>
            <w:shd w:fill="F5F7FA"/>
          </w:tcPr>
          <w:p>
            <w:pPr>
              <w:spacing w:after="0" w:before="0" w:line="240" w:lineRule="auto"/>
            </w:pPr>
            <w:r/>
            <w:r>
              <w:rPr>
                <w:rFonts w:ascii="Aptos" w:hAnsi="Aptos"/>
                <w:b w:val="0"/>
                <w:color w:val="111827"/>
                <w:sz w:val="11"/>
              </w:rPr>
              <w:t>10.0%</w:t>
            </w:r>
          </w:p>
        </w:tc>
        <w:tc>
          <w:tcPr>
            <w:tcW w:type="dxa" w:w="1008"/>
            <w:vAlign w:val="center"/>
            <w:shd w:fill="F5F7FA"/>
          </w:tcPr>
          <w:p>
            <w:pPr>
              <w:spacing w:after="0" w:before="0" w:line="240" w:lineRule="auto"/>
            </w:pPr>
            <w:r/>
            <w:r>
              <w:rPr>
                <w:rFonts w:ascii="Aptos" w:hAnsi="Aptos"/>
                <w:b w:val="0"/>
                <w:color w:val="111827"/>
                <w:sz w:val="11"/>
              </w:rPr>
              <w:t>% of returns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Industry estimates combine fraud, abuse, and claims and are not category-specific; model uses narrower confirmed-event probabilities.</w:t>
            </w:r>
          </w:p>
        </w:tc>
        <w:tc>
          <w:tcPr>
            <w:tcW w:type="dxa" w:w="3024"/>
            <w:vAlign w:val="center"/>
            <w:shd w:fill="F5F7FA"/>
          </w:tcPr>
          <w:p>
            <w:pPr>
              <w:spacing w:after="0" w:before="0" w:line="240" w:lineRule="auto"/>
            </w:pPr>
            <w:r/>
            <w:r>
              <w:rPr>
                <w:rFonts w:ascii="Aptos" w:hAnsi="Aptos"/>
                <w:b w:val="0"/>
                <w:color w:val="111827"/>
                <w:sz w:val="11"/>
              </w:rPr>
              <w:t>Reduces expected recovery and can justify serial/authentication controls.</w:t>
            </w:r>
          </w:p>
        </w:tc>
        <w:tc>
          <w:tcPr>
            <w:tcW w:type="dxa" w:w="1008"/>
            <w:vAlign w:val="center"/>
            <w:shd w:fill="F5F7FA"/>
          </w:tcPr>
          <w:p>
            <w:pPr>
              <w:spacing w:after="0" w:before="0" w:line="240" w:lineRule="auto"/>
            </w:pPr>
            <w:r/>
            <w:r>
              <w:rPr>
                <w:rFonts w:ascii="Aptos" w:hAnsi="Aptos"/>
                <w:b w:val="0"/>
                <w:color w:val="111827"/>
                <w:sz w:val="11"/>
              </w:rPr>
              <w:t>S31; P01</w:t>
            </w:r>
          </w:p>
        </w:tc>
      </w:tr>
      <w:tr>
        <w:tc>
          <w:tcPr>
            <w:tcW w:type="dxa" w:w="1728"/>
            <w:vAlign w:val="center"/>
          </w:tcPr>
          <w:p>
            <w:pPr>
              <w:spacing w:after="0" w:before="0" w:line="240" w:lineRule="auto"/>
            </w:pPr>
            <w:r/>
            <w:r>
              <w:rPr>
                <w:rFonts w:ascii="Aptos" w:hAnsi="Aptos"/>
                <w:b/>
                <w:color w:val="111827"/>
                <w:sz w:val="11"/>
              </w:rPr>
              <w:t>Landed product cost (C)</w:t>
            </w:r>
          </w:p>
        </w:tc>
        <w:tc>
          <w:tcPr>
            <w:tcW w:type="dxa" w:w="2088"/>
            <w:vAlign w:val="center"/>
          </w:tcPr>
          <w:p>
            <w:pPr>
              <w:spacing w:after="0" w:before="0" w:line="240" w:lineRule="auto"/>
            </w:pPr>
            <w:r/>
            <w:r>
              <w:rPr>
                <w:rFonts w:ascii="Aptos" w:hAnsi="Aptos"/>
                <w:b w:val="0"/>
                <w:color w:val="111827"/>
                <w:sz w:val="11"/>
              </w:rPr>
              <w:t>Small appliance ($100)</w:t>
            </w:r>
          </w:p>
        </w:tc>
        <w:tc>
          <w:tcPr>
            <w:tcW w:type="dxa" w:w="936"/>
            <w:vAlign w:val="center"/>
          </w:tcPr>
          <w:p>
            <w:pPr>
              <w:spacing w:after="0" w:before="0" w:line="240" w:lineRule="auto"/>
            </w:pPr>
            <w:r/>
            <w:r>
              <w:rPr>
                <w:rFonts w:ascii="Aptos" w:hAnsi="Aptos"/>
                <w:b w:val="0"/>
                <w:color w:val="111827"/>
                <w:sz w:val="11"/>
              </w:rPr>
              <w:t>$32.00</w:t>
            </w:r>
          </w:p>
        </w:tc>
        <w:tc>
          <w:tcPr>
            <w:tcW w:type="dxa" w:w="1008"/>
            <w:vAlign w:val="center"/>
          </w:tcPr>
          <w:p>
            <w:pPr>
              <w:spacing w:after="0" w:before="0" w:line="240" w:lineRule="auto"/>
            </w:pPr>
            <w:r/>
            <w:r>
              <w:rPr>
                <w:rFonts w:ascii="Aptos" w:hAnsi="Aptos"/>
                <w:b w:val="0"/>
                <w:color w:val="111827"/>
                <w:sz w:val="11"/>
              </w:rPr>
              <w:t>$42.00</w:t>
            </w:r>
          </w:p>
        </w:tc>
        <w:tc>
          <w:tcPr>
            <w:tcW w:type="dxa" w:w="936"/>
            <w:vAlign w:val="center"/>
          </w:tcPr>
          <w:p>
            <w:pPr>
              <w:spacing w:after="0" w:before="0" w:line="240" w:lineRule="auto"/>
            </w:pPr>
            <w:r/>
            <w:r>
              <w:rPr>
                <w:rFonts w:ascii="Aptos" w:hAnsi="Aptos"/>
                <w:b w:val="0"/>
                <w:color w:val="111827"/>
                <w:sz w:val="11"/>
              </w:rPr>
              <w:t>$52.00</w:t>
            </w:r>
          </w:p>
        </w:tc>
        <w:tc>
          <w:tcPr>
            <w:tcW w:type="dxa" w:w="1008"/>
            <w:vAlign w:val="center"/>
          </w:tcPr>
          <w:p>
            <w:pPr>
              <w:spacing w:after="0" w:before="0" w:line="240" w:lineRule="auto"/>
            </w:pPr>
            <w:r/>
            <w:r>
              <w:rPr>
                <w:rFonts w:ascii="Aptos" w:hAnsi="Aptos"/>
                <w:b w:val="0"/>
                <w:color w:val="111827"/>
                <w:sz w:val="11"/>
              </w:rPr>
              <w:t>$</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No product-level COGS supplied; calibrated to category margin structure.</w:t>
            </w:r>
          </w:p>
        </w:tc>
        <w:tc>
          <w:tcPr>
            <w:tcW w:type="dxa" w:w="3024"/>
            <w:vAlign w:val="center"/>
          </w:tcPr>
          <w:p>
            <w:pPr>
              <w:spacing w:after="0" w:before="0" w:line="240" w:lineRule="auto"/>
            </w:pPr>
            <w:r/>
            <w:r>
              <w:rPr>
                <w:rFonts w:ascii="Aptos" w:hAnsi="Aptos"/>
                <w:b w:val="0"/>
                <w:color w:val="111827"/>
                <w:sz w:val="11"/>
              </w:rPr>
              <w:t>Does not change return-tax dollars under the specified incremental formula, but changes post-return loss and tax as % of kept contribution.</w:t>
            </w:r>
          </w:p>
        </w:tc>
        <w:tc>
          <w:tcPr>
            <w:tcW w:type="dxa" w:w="1008"/>
            <w:vAlign w:val="center"/>
          </w:tcPr>
          <w:p>
            <w:pPr>
              <w:spacing w:after="0" w:before="0" w:line="240" w:lineRule="auto"/>
            </w:pPr>
            <w:r/>
            <w:r>
              <w:rPr>
                <w:rFonts w:ascii="Aptos" w:hAnsi="Aptos"/>
                <w:b w:val="0"/>
                <w:color w:val="111827"/>
                <w:sz w:val="11"/>
              </w:rPr>
              <w:t>P01; P02</w:t>
            </w:r>
          </w:p>
        </w:tc>
      </w:tr>
      <w:tr>
        <w:tc>
          <w:tcPr>
            <w:tcW w:type="dxa" w:w="1728"/>
            <w:vAlign w:val="center"/>
            <w:shd w:fill="F5F7FA"/>
          </w:tcPr>
          <w:p>
            <w:pPr>
              <w:spacing w:after="0" w:before="0" w:line="240" w:lineRule="auto"/>
            </w:pPr>
            <w:r/>
            <w:r>
              <w:rPr>
                <w:rFonts w:ascii="Aptos" w:hAnsi="Aptos"/>
                <w:b/>
                <w:color w:val="111827"/>
                <w:sz w:val="11"/>
              </w:rPr>
              <w:t>Outbound fulfillment and shipping (Fo)</w:t>
            </w:r>
          </w:p>
        </w:tc>
        <w:tc>
          <w:tcPr>
            <w:tcW w:type="dxa" w:w="2088"/>
            <w:vAlign w:val="center"/>
            <w:shd w:fill="F5F7FA"/>
          </w:tcPr>
          <w:p>
            <w:pPr>
              <w:spacing w:after="0" w:before="0" w:line="240" w:lineRule="auto"/>
            </w:pPr>
            <w:r/>
            <w:r>
              <w:rPr>
                <w:rFonts w:ascii="Aptos" w:hAnsi="Aptos"/>
                <w:b w:val="0"/>
                <w:color w:val="111827"/>
                <w:sz w:val="11"/>
              </w:rPr>
              <w:t>Small appliance ($100)</w:t>
            </w:r>
          </w:p>
        </w:tc>
        <w:tc>
          <w:tcPr>
            <w:tcW w:type="dxa" w:w="936"/>
            <w:vAlign w:val="center"/>
            <w:shd w:fill="F5F7FA"/>
          </w:tcPr>
          <w:p>
            <w:pPr>
              <w:spacing w:after="0" w:before="0" w:line="240" w:lineRule="auto"/>
            </w:pPr>
            <w:r/>
            <w:r>
              <w:rPr>
                <w:rFonts w:ascii="Aptos" w:hAnsi="Aptos"/>
                <w:b w:val="0"/>
                <w:color w:val="111827"/>
                <w:sz w:val="11"/>
              </w:rPr>
              <w:t>$7.50</w:t>
            </w:r>
          </w:p>
        </w:tc>
        <w:tc>
          <w:tcPr>
            <w:tcW w:type="dxa" w:w="1008"/>
            <w:vAlign w:val="center"/>
            <w:shd w:fill="F5F7FA"/>
          </w:tcPr>
          <w:p>
            <w:pPr>
              <w:spacing w:after="0" w:before="0" w:line="240" w:lineRule="auto"/>
            </w:pPr>
            <w:r/>
            <w:r>
              <w:rPr>
                <w:rFonts w:ascii="Aptos" w:hAnsi="Aptos"/>
                <w:b w:val="0"/>
                <w:color w:val="111827"/>
                <w:sz w:val="11"/>
              </w:rPr>
              <w:t>$10.00</w:t>
            </w:r>
          </w:p>
        </w:tc>
        <w:tc>
          <w:tcPr>
            <w:tcW w:type="dxa" w:w="936"/>
            <w:vAlign w:val="center"/>
            <w:shd w:fill="F5F7FA"/>
          </w:tcPr>
          <w:p>
            <w:pPr>
              <w:spacing w:after="0" w:before="0" w:line="240" w:lineRule="auto"/>
            </w:pPr>
            <w:r/>
            <w:r>
              <w:rPr>
                <w:rFonts w:ascii="Aptos" w:hAnsi="Aptos"/>
                <w:b w:val="0"/>
                <w:color w:val="111827"/>
                <w:sz w:val="11"/>
              </w:rPr>
              <w:t>$13.50</w:t>
            </w:r>
          </w:p>
        </w:tc>
        <w:tc>
          <w:tcPr>
            <w:tcW w:type="dxa" w:w="1008"/>
            <w:vAlign w:val="center"/>
            <w:shd w:fill="F5F7FA"/>
          </w:tcPr>
          <w:p>
            <w:pPr>
              <w:spacing w:after="0" w:before="0" w:line="240" w:lineRule="auto"/>
            </w:pPr>
            <w:r/>
            <w:r>
              <w:rPr>
                <w:rFonts w:ascii="Aptos" w:hAnsi="Aptos"/>
                <w:b w:val="0"/>
                <w:color w:val="111827"/>
                <w:sz w:val="11"/>
              </w:rPr>
              <w:t>$</w:t>
            </w:r>
          </w:p>
        </w:tc>
        <w:tc>
          <w:tcPr>
            <w:tcW w:type="dxa" w:w="1224"/>
            <w:vAlign w:val="center"/>
            <w:shd w:fill="F5F7FA"/>
          </w:tcPr>
          <w:p>
            <w:pPr>
              <w:spacing w:after="0" w:before="0" w:line="240" w:lineRule="auto"/>
            </w:pPr>
            <w:r/>
            <w:r>
              <w:rPr>
                <w:rFonts w:ascii="Aptos" w:hAnsi="Aptos"/>
                <w:b w:val="0"/>
                <w:color w:val="111827"/>
                <w:sz w:val="11"/>
              </w:rPr>
              <w:t>Proxy</w:t>
            </w:r>
          </w:p>
        </w:tc>
        <w:tc>
          <w:tcPr>
            <w:tcW w:type="dxa" w:w="3096"/>
            <w:vAlign w:val="center"/>
            <w:shd w:fill="F5F7FA"/>
          </w:tcPr>
          <w:p>
            <w:pPr>
              <w:spacing w:after="0" w:before="0" w:line="240" w:lineRule="auto"/>
            </w:pPr>
            <w:r/>
            <w:r>
              <w:rPr>
                <w:rFonts w:ascii="Aptos" w:hAnsi="Aptos"/>
                <w:b w:val="0"/>
                <w:color w:val="111827"/>
                <w:sz w:val="11"/>
              </w:rPr>
              <w:t>Calibrated to package size and public carrier/WFS anchors; actual negotiated rates unknown.</w:t>
            </w:r>
          </w:p>
        </w:tc>
        <w:tc>
          <w:tcPr>
            <w:tcW w:type="dxa" w:w="3024"/>
            <w:vAlign w:val="center"/>
            <w:shd w:fill="F5F7FA"/>
          </w:tcPr>
          <w:p>
            <w:pPr>
              <w:spacing w:after="0" w:before="0" w:line="240" w:lineRule="auto"/>
            </w:pPr>
            <w:r/>
            <w:r>
              <w:rPr>
                <w:rFonts w:ascii="Aptos" w:hAnsi="Aptos"/>
                <w:b w:val="0"/>
                <w:color w:val="111827"/>
                <w:sz w:val="11"/>
              </w:rPr>
              <w:t>Changes kept and post-return contribution equally; does not change incremental return-tax dollars unless used again as secondary transport.</w:t>
            </w:r>
          </w:p>
        </w:tc>
        <w:tc>
          <w:tcPr>
            <w:tcW w:type="dxa" w:w="1008"/>
            <w:vAlign w:val="center"/>
            <w:shd w:fill="F5F7FA"/>
          </w:tcPr>
          <w:p>
            <w:pPr>
              <w:spacing w:after="0" w:before="0" w:line="240" w:lineRule="auto"/>
            </w:pPr>
            <w:r/>
            <w:r>
              <w:rPr>
                <w:rFonts w:ascii="Aptos" w:hAnsi="Aptos"/>
                <w:b w:val="0"/>
                <w:color w:val="111827"/>
                <w:sz w:val="11"/>
              </w:rPr>
              <w:t>S17; S21-S26</w:t>
            </w:r>
          </w:p>
        </w:tc>
      </w:tr>
      <w:tr>
        <w:tc>
          <w:tcPr>
            <w:tcW w:type="dxa" w:w="1728"/>
            <w:vAlign w:val="center"/>
          </w:tcPr>
          <w:p>
            <w:pPr>
              <w:spacing w:after="0" w:before="0" w:line="240" w:lineRule="auto"/>
            </w:pPr>
            <w:r/>
            <w:r>
              <w:rPr>
                <w:rFonts w:ascii="Aptos" w:hAnsi="Aptos"/>
                <w:b/>
                <w:color w:val="111827"/>
                <w:sz w:val="11"/>
              </w:rPr>
              <w:t>Return rate (p_r)</w:t>
            </w:r>
          </w:p>
        </w:tc>
        <w:tc>
          <w:tcPr>
            <w:tcW w:type="dxa" w:w="2088"/>
            <w:vAlign w:val="center"/>
          </w:tcPr>
          <w:p>
            <w:pPr>
              <w:spacing w:after="0" w:before="0" w:line="240" w:lineRule="auto"/>
            </w:pPr>
            <w:r/>
            <w:r>
              <w:rPr>
                <w:rFonts w:ascii="Aptos" w:hAnsi="Aptos"/>
                <w:b w:val="0"/>
                <w:color w:val="111827"/>
                <w:sz w:val="11"/>
              </w:rPr>
              <w:t>Small appliance ($100)</w:t>
            </w:r>
          </w:p>
        </w:tc>
        <w:tc>
          <w:tcPr>
            <w:tcW w:type="dxa" w:w="936"/>
            <w:vAlign w:val="center"/>
          </w:tcPr>
          <w:p>
            <w:pPr>
              <w:spacing w:after="0" w:before="0" w:line="240" w:lineRule="auto"/>
            </w:pPr>
            <w:r/>
            <w:r>
              <w:rPr>
                <w:rFonts w:ascii="Aptos" w:hAnsi="Aptos"/>
                <w:b w:val="0"/>
                <w:color w:val="111827"/>
                <w:sz w:val="11"/>
              </w:rPr>
              <w:t>11.2%</w:t>
            </w:r>
          </w:p>
        </w:tc>
        <w:tc>
          <w:tcPr>
            <w:tcW w:type="dxa" w:w="1008"/>
            <w:vAlign w:val="center"/>
          </w:tcPr>
          <w:p>
            <w:pPr>
              <w:spacing w:after="0" w:before="0" w:line="240" w:lineRule="auto"/>
            </w:pPr>
            <w:r/>
            <w:r>
              <w:rPr>
                <w:rFonts w:ascii="Aptos" w:hAnsi="Aptos"/>
                <w:b w:val="0"/>
                <w:color w:val="111827"/>
                <w:sz w:val="11"/>
              </w:rPr>
              <w:t>15.0%</w:t>
            </w:r>
          </w:p>
        </w:tc>
        <w:tc>
          <w:tcPr>
            <w:tcW w:type="dxa" w:w="936"/>
            <w:vAlign w:val="center"/>
          </w:tcPr>
          <w:p>
            <w:pPr>
              <w:spacing w:after="0" w:before="0" w:line="240" w:lineRule="auto"/>
            </w:pPr>
            <w:r/>
            <w:r>
              <w:rPr>
                <w:rFonts w:ascii="Aptos" w:hAnsi="Aptos"/>
                <w:b w:val="0"/>
                <w:color w:val="111827"/>
                <w:sz w:val="11"/>
              </w:rPr>
              <w:t>18.8%</w:t>
            </w:r>
          </w:p>
        </w:tc>
        <w:tc>
          <w:tcPr>
            <w:tcW w:type="dxa" w:w="1008"/>
            <w:vAlign w:val="center"/>
          </w:tcPr>
          <w:p>
            <w:pPr>
              <w:spacing w:after="0" w:before="0" w:line="240" w:lineRule="auto"/>
            </w:pPr>
            <w:r/>
            <w:r>
              <w:rPr>
                <w:rFonts w:ascii="Aptos" w:hAnsi="Aptos"/>
                <w:b w:val="0"/>
                <w:color w:val="111827"/>
                <w:sz w:val="11"/>
              </w:rPr>
              <w:t>% of orders</w:t>
            </w:r>
          </w:p>
        </w:tc>
        <w:tc>
          <w:tcPr>
            <w:tcW w:type="dxa" w:w="1224"/>
            <w:vAlign w:val="center"/>
          </w:tcPr>
          <w:p>
            <w:pPr>
              <w:spacing w:after="0" w:before="0" w:line="240" w:lineRule="auto"/>
            </w:pPr>
            <w:r/>
            <w:r>
              <w:rPr>
                <w:rFonts w:ascii="Aptos" w:hAnsi="Aptos"/>
                <w:b w:val="0"/>
                <w:color w:val="111827"/>
                <w:sz w:val="11"/>
              </w:rPr>
              <w:t>Assumption/proxy</w:t>
            </w:r>
          </w:p>
        </w:tc>
        <w:tc>
          <w:tcPr>
            <w:tcW w:type="dxa" w:w="3096"/>
            <w:vAlign w:val="center"/>
          </w:tcPr>
          <w:p>
            <w:pPr>
              <w:spacing w:after="0" w:before="0" w:line="240" w:lineRule="auto"/>
            </w:pPr>
            <w:r/>
            <w:r>
              <w:rPr>
                <w:rFonts w:ascii="Aptos" w:hAnsi="Aptos"/>
                <w:b w:val="0"/>
                <w:color w:val="111827"/>
                <w:sz w:val="11"/>
              </w:rPr>
              <w:t>Category-specific population rates are not consistently disclosed; broad online and furniture anchors used.</w:t>
            </w:r>
          </w:p>
        </w:tc>
        <w:tc>
          <w:tcPr>
            <w:tcW w:type="dxa" w:w="3024"/>
            <w:vAlign w:val="center"/>
          </w:tcPr>
          <w:p>
            <w:pPr>
              <w:spacing w:after="0" w:before="0" w:line="240" w:lineRule="auto"/>
            </w:pPr>
            <w:r/>
            <w:r>
              <w:rPr>
                <w:rFonts w:ascii="Aptos" w:hAnsi="Aptos"/>
                <w:b w:val="0"/>
                <w:color w:val="111827"/>
                <w:sz w:val="11"/>
              </w:rPr>
              <w:t>Scales expected return tax per order linearly.</w:t>
            </w:r>
          </w:p>
        </w:tc>
        <w:tc>
          <w:tcPr>
            <w:tcW w:type="dxa" w:w="1008"/>
            <w:vAlign w:val="center"/>
          </w:tcPr>
          <w:p>
            <w:pPr>
              <w:spacing w:after="0" w:before="0" w:line="240" w:lineRule="auto"/>
            </w:pPr>
            <w:r/>
            <w:r>
              <w:rPr>
                <w:rFonts w:ascii="Aptos" w:hAnsi="Aptos"/>
                <w:b w:val="0"/>
                <w:color w:val="111827"/>
                <w:sz w:val="11"/>
              </w:rPr>
              <w:t>S34; S40; P01</w:t>
            </w:r>
          </w:p>
        </w:tc>
      </w:tr>
      <w:tr>
        <w:tc>
          <w:tcPr>
            <w:tcW w:type="dxa" w:w="1728"/>
            <w:vAlign w:val="center"/>
            <w:shd w:fill="F5F7FA"/>
          </w:tcPr>
          <w:p>
            <w:pPr>
              <w:spacing w:after="0" w:before="0" w:line="240" w:lineRule="auto"/>
            </w:pPr>
            <w:r/>
            <w:r>
              <w:rPr>
                <w:rFonts w:ascii="Aptos" w:hAnsi="Aptos"/>
                <w:b/>
                <w:color w:val="111827"/>
                <w:sz w:val="11"/>
              </w:rPr>
              <w:t>Inspection minutes</w:t>
            </w:r>
          </w:p>
        </w:tc>
        <w:tc>
          <w:tcPr>
            <w:tcW w:type="dxa" w:w="2088"/>
            <w:vAlign w:val="center"/>
            <w:shd w:fill="F5F7FA"/>
          </w:tcPr>
          <w:p>
            <w:pPr>
              <w:spacing w:after="0" w:before="0" w:line="240" w:lineRule="auto"/>
            </w:pPr>
            <w:r/>
            <w:r>
              <w:rPr>
                <w:rFonts w:ascii="Aptos" w:hAnsi="Aptos"/>
                <w:b w:val="0"/>
                <w:color w:val="111827"/>
                <w:sz w:val="11"/>
              </w:rPr>
              <w:t>Small appliance ($100)</w:t>
            </w:r>
          </w:p>
        </w:tc>
        <w:tc>
          <w:tcPr>
            <w:tcW w:type="dxa" w:w="936"/>
            <w:vAlign w:val="center"/>
            <w:shd w:fill="F5F7FA"/>
          </w:tcPr>
          <w:p>
            <w:pPr>
              <w:spacing w:after="0" w:before="0" w:line="240" w:lineRule="auto"/>
            </w:pPr>
            <w:r/>
            <w:r>
              <w:rPr>
                <w:rFonts w:ascii="Aptos" w:hAnsi="Aptos"/>
                <w:b w:val="0"/>
                <w:color w:val="111827"/>
                <w:sz w:val="11"/>
              </w:rPr>
              <w:t>7.50</w:t>
            </w:r>
          </w:p>
        </w:tc>
        <w:tc>
          <w:tcPr>
            <w:tcW w:type="dxa" w:w="1008"/>
            <w:vAlign w:val="center"/>
            <w:shd w:fill="F5F7FA"/>
          </w:tcPr>
          <w:p>
            <w:pPr>
              <w:spacing w:after="0" w:before="0" w:line="240" w:lineRule="auto"/>
            </w:pPr>
            <w:r/>
            <w:r>
              <w:rPr>
                <w:rFonts w:ascii="Aptos" w:hAnsi="Aptos"/>
                <w:b w:val="0"/>
                <w:color w:val="111827"/>
                <w:sz w:val="11"/>
              </w:rPr>
              <w:t>10.00</w:t>
            </w:r>
          </w:p>
        </w:tc>
        <w:tc>
          <w:tcPr>
            <w:tcW w:type="dxa" w:w="936"/>
            <w:vAlign w:val="center"/>
            <w:shd w:fill="F5F7FA"/>
          </w:tcPr>
          <w:p>
            <w:pPr>
              <w:spacing w:after="0" w:before="0" w:line="240" w:lineRule="auto"/>
            </w:pPr>
            <w:r/>
            <w:r>
              <w:rPr>
                <w:rFonts w:ascii="Aptos" w:hAnsi="Aptos"/>
                <w:b w:val="0"/>
                <w:color w:val="111827"/>
                <w:sz w:val="11"/>
              </w:rPr>
              <w:t>15.00</w:t>
            </w:r>
          </w:p>
        </w:tc>
        <w:tc>
          <w:tcPr>
            <w:tcW w:type="dxa" w:w="1008"/>
            <w:vAlign w:val="center"/>
            <w:shd w:fill="F5F7FA"/>
          </w:tcPr>
          <w:p>
            <w:pPr>
              <w:spacing w:after="0" w:before="0" w:line="240" w:lineRule="auto"/>
            </w:pPr>
            <w:r/>
            <w:r>
              <w:rPr>
                <w:rFonts w:ascii="Aptos" w:hAnsi="Aptos"/>
                <w:b w:val="0"/>
                <w:color w:val="111827"/>
                <w:sz w:val="11"/>
              </w:rPr>
              <w:t>minutes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Labor minutes are a named research gap.</w:t>
            </w:r>
          </w:p>
        </w:tc>
        <w:tc>
          <w:tcPr>
            <w:tcW w:type="dxa" w:w="3024"/>
            <w:vAlign w:val="center"/>
            <w:shd w:fill="F5F7FA"/>
          </w:tcPr>
          <w:p>
            <w:pPr>
              <w:spacing w:after="0" w:before="0" w:line="240" w:lineRule="auto"/>
            </w:pPr>
            <w:r/>
            <w:r>
              <w:rPr>
                <w:rFonts w:ascii="Aptos" w:hAnsi="Aptos"/>
                <w:b w:val="0"/>
                <w:color w:val="111827"/>
                <w:sz w:val="11"/>
              </w:rPr>
              <w:t>Can flip retrieval decisions for low-value items.</w:t>
            </w:r>
          </w:p>
        </w:tc>
        <w:tc>
          <w:tcPr>
            <w:tcW w:type="dxa" w:w="1008"/>
            <w:vAlign w:val="center"/>
            <w:shd w:fill="F5F7FA"/>
          </w:tcPr>
          <w:p>
            <w:pPr>
              <w:spacing w:after="0" w:before="0" w:line="240" w:lineRule="auto"/>
            </w:pPr>
            <w:r/>
            <w:r>
              <w:rPr>
                <w:rFonts w:ascii="Aptos" w:hAnsi="Aptos"/>
                <w:b w:val="0"/>
                <w:color w:val="111827"/>
                <w:sz w:val="11"/>
              </w:rPr>
              <w:t>P01</w:t>
            </w:r>
          </w:p>
        </w:tc>
      </w:tr>
      <w:tr>
        <w:tc>
          <w:tcPr>
            <w:tcW w:type="dxa" w:w="1728"/>
            <w:vAlign w:val="center"/>
          </w:tcPr>
          <w:p>
            <w:pPr>
              <w:spacing w:after="0" w:before="0" w:line="240" w:lineRule="auto"/>
            </w:pPr>
            <w:r/>
            <w:r>
              <w:rPr>
                <w:rFonts w:ascii="Aptos" w:hAnsi="Aptos"/>
                <w:b/>
                <w:color w:val="111827"/>
                <w:sz w:val="11"/>
              </w:rPr>
              <w:t>Monthly product depreciation</w:t>
            </w:r>
          </w:p>
        </w:tc>
        <w:tc>
          <w:tcPr>
            <w:tcW w:type="dxa" w:w="2088"/>
            <w:vAlign w:val="center"/>
          </w:tcPr>
          <w:p>
            <w:pPr>
              <w:spacing w:after="0" w:before="0" w:line="240" w:lineRule="auto"/>
            </w:pPr>
            <w:r/>
            <w:r>
              <w:rPr>
                <w:rFonts w:ascii="Aptos" w:hAnsi="Aptos"/>
                <w:b w:val="0"/>
                <w:color w:val="111827"/>
                <w:sz w:val="11"/>
              </w:rPr>
              <w:t>Small appliance ($100)</w:t>
            </w:r>
          </w:p>
        </w:tc>
        <w:tc>
          <w:tcPr>
            <w:tcW w:type="dxa" w:w="936"/>
            <w:vAlign w:val="center"/>
          </w:tcPr>
          <w:p>
            <w:pPr>
              <w:spacing w:after="0" w:before="0" w:line="240" w:lineRule="auto"/>
            </w:pPr>
            <w:r/>
            <w:r>
              <w:rPr>
                <w:rFonts w:ascii="Aptos" w:hAnsi="Aptos"/>
                <w:b w:val="0"/>
                <w:color w:val="111827"/>
                <w:sz w:val="11"/>
              </w:rPr>
              <w:t>0.5%</w:t>
            </w:r>
          </w:p>
        </w:tc>
        <w:tc>
          <w:tcPr>
            <w:tcW w:type="dxa" w:w="1008"/>
            <w:vAlign w:val="center"/>
          </w:tcPr>
          <w:p>
            <w:pPr>
              <w:spacing w:after="0" w:before="0" w:line="240" w:lineRule="auto"/>
            </w:pPr>
            <w:r/>
            <w:r>
              <w:rPr>
                <w:rFonts w:ascii="Aptos" w:hAnsi="Aptos"/>
                <w:b w:val="0"/>
                <w:color w:val="111827"/>
                <w:sz w:val="11"/>
              </w:rPr>
              <w:t>1.0%</w:t>
            </w:r>
          </w:p>
        </w:tc>
        <w:tc>
          <w:tcPr>
            <w:tcW w:type="dxa" w:w="936"/>
            <w:vAlign w:val="center"/>
          </w:tcPr>
          <w:p>
            <w:pPr>
              <w:spacing w:after="0" w:before="0" w:line="240" w:lineRule="auto"/>
            </w:pPr>
            <w:r/>
            <w:r>
              <w:rPr>
                <w:rFonts w:ascii="Aptos" w:hAnsi="Aptos"/>
                <w:b w:val="0"/>
                <w:color w:val="111827"/>
                <w:sz w:val="11"/>
              </w:rPr>
              <w:t>2.0%</w:t>
            </w:r>
          </w:p>
        </w:tc>
        <w:tc>
          <w:tcPr>
            <w:tcW w:type="dxa" w:w="1008"/>
            <w:vAlign w:val="center"/>
          </w:tcPr>
          <w:p>
            <w:pPr>
              <w:spacing w:after="0" w:before="0" w:line="240" w:lineRule="auto"/>
            </w:pPr>
            <w:r/>
            <w:r>
              <w:rPr>
                <w:rFonts w:ascii="Aptos" w:hAnsi="Aptos"/>
                <w:b w:val="0"/>
                <w:color w:val="111827"/>
                <w:sz w:val="11"/>
              </w:rPr>
              <w:t>% per month</w:t>
            </w:r>
          </w:p>
        </w:tc>
        <w:tc>
          <w:tcPr>
            <w:tcW w:type="dxa" w:w="1224"/>
            <w:vAlign w:val="center"/>
          </w:tcPr>
          <w:p>
            <w:pPr>
              <w:spacing w:after="0" w:before="0" w:line="240" w:lineRule="auto"/>
            </w:pPr>
            <w:r/>
            <w:r>
              <w:rPr>
                <w:rFonts w:ascii="Aptos" w:hAnsi="Aptos"/>
                <w:b w:val="0"/>
                <w:color w:val="111827"/>
                <w:sz w:val="11"/>
              </w:rPr>
              <w:t>Proxy/assumption</w:t>
            </w:r>
          </w:p>
        </w:tc>
        <w:tc>
          <w:tcPr>
            <w:tcW w:type="dxa" w:w="3096"/>
            <w:vAlign w:val="center"/>
          </w:tcPr>
          <w:p>
            <w:pPr>
              <w:spacing w:after="0" w:before="0" w:line="240" w:lineRule="auto"/>
            </w:pPr>
            <w:r/>
            <w:r>
              <w:rPr>
                <w:rFonts w:ascii="Aptos" w:hAnsi="Aptos"/>
                <w:b w:val="0"/>
                <w:color w:val="111827"/>
                <w:sz w:val="11"/>
              </w:rPr>
              <w:t>Electronics market evidence supports faster depreciation; other categories use lower proxies.</w:t>
            </w:r>
          </w:p>
        </w:tc>
        <w:tc>
          <w:tcPr>
            <w:tcW w:type="dxa" w:w="3024"/>
            <w:vAlign w:val="center"/>
          </w:tcPr>
          <w:p>
            <w:pPr>
              <w:spacing w:after="0" w:before="0" w:line="240" w:lineRule="auto"/>
            </w:pPr>
            <w:r/>
            <w:r>
              <w:rPr>
                <w:rFonts w:ascii="Aptos" w:hAnsi="Aptos"/>
                <w:b w:val="0"/>
                <w:color w:val="111827"/>
                <w:sz w:val="11"/>
              </w:rPr>
              <w:t>Penalizes slow resale and refurbishment.</w:t>
            </w:r>
          </w:p>
        </w:tc>
        <w:tc>
          <w:tcPr>
            <w:tcW w:type="dxa" w:w="1008"/>
            <w:vAlign w:val="center"/>
          </w:tcPr>
          <w:p>
            <w:pPr>
              <w:spacing w:after="0" w:before="0" w:line="240" w:lineRule="auto"/>
            </w:pPr>
            <w:r/>
            <w:r>
              <w:rPr>
                <w:rFonts w:ascii="Aptos" w:hAnsi="Aptos"/>
                <w:b w:val="0"/>
                <w:color w:val="111827"/>
                <w:sz w:val="11"/>
              </w:rPr>
              <w:t>S39; P02</w:t>
            </w:r>
          </w:p>
        </w:tc>
      </w:tr>
      <w:tr>
        <w:tc>
          <w:tcPr>
            <w:tcW w:type="dxa" w:w="1728"/>
            <w:vAlign w:val="center"/>
            <w:shd w:fill="F5F7FA"/>
          </w:tcPr>
          <w:p>
            <w:pPr>
              <w:spacing w:after="0" w:before="0" w:line="240" w:lineRule="auto"/>
            </w:pPr>
            <w:r/>
            <w:r>
              <w:rPr>
                <w:rFonts w:ascii="Aptos" w:hAnsi="Aptos"/>
                <w:b/>
                <w:color w:val="111827"/>
                <w:sz w:val="11"/>
              </w:rPr>
              <w:t>Confirmed substitution/counterfeit probability</w:t>
            </w:r>
          </w:p>
        </w:tc>
        <w:tc>
          <w:tcPr>
            <w:tcW w:type="dxa" w:w="2088"/>
            <w:vAlign w:val="center"/>
            <w:shd w:fill="F5F7FA"/>
          </w:tcPr>
          <w:p>
            <w:pPr>
              <w:spacing w:after="0" w:before="0" w:line="240" w:lineRule="auto"/>
            </w:pPr>
            <w:r/>
            <w:r>
              <w:rPr>
                <w:rFonts w:ascii="Aptos" w:hAnsi="Aptos"/>
                <w:b w:val="0"/>
                <w:color w:val="111827"/>
                <w:sz w:val="11"/>
              </w:rPr>
              <w:t>Small appliance ($100)</w:t>
            </w:r>
          </w:p>
        </w:tc>
        <w:tc>
          <w:tcPr>
            <w:tcW w:type="dxa" w:w="936"/>
            <w:vAlign w:val="center"/>
            <w:shd w:fill="F5F7FA"/>
          </w:tcPr>
          <w:p>
            <w:pPr>
              <w:spacing w:after="0" w:before="0" w:line="240" w:lineRule="auto"/>
            </w:pPr>
            <w:r/>
            <w:r>
              <w:rPr>
                <w:rFonts w:ascii="Aptos" w:hAnsi="Aptos"/>
                <w:b w:val="0"/>
                <w:color w:val="111827"/>
                <w:sz w:val="11"/>
              </w:rPr>
              <w:t>0.0%</w:t>
            </w:r>
          </w:p>
        </w:tc>
        <w:tc>
          <w:tcPr>
            <w:tcW w:type="dxa" w:w="1008"/>
            <w:vAlign w:val="center"/>
            <w:shd w:fill="F5F7FA"/>
          </w:tcPr>
          <w:p>
            <w:pPr>
              <w:spacing w:after="0" w:before="0" w:line="240" w:lineRule="auto"/>
            </w:pPr>
            <w:r/>
            <w:r>
              <w:rPr>
                <w:rFonts w:ascii="Aptos" w:hAnsi="Aptos"/>
                <w:b w:val="0"/>
                <w:color w:val="111827"/>
                <w:sz w:val="11"/>
              </w:rPr>
              <w:t>3.0%</w:t>
            </w:r>
          </w:p>
        </w:tc>
        <w:tc>
          <w:tcPr>
            <w:tcW w:type="dxa" w:w="936"/>
            <w:vAlign w:val="center"/>
            <w:shd w:fill="F5F7FA"/>
          </w:tcPr>
          <w:p>
            <w:pPr>
              <w:spacing w:after="0" w:before="0" w:line="240" w:lineRule="auto"/>
            </w:pPr>
            <w:r/>
            <w:r>
              <w:rPr>
                <w:rFonts w:ascii="Aptos" w:hAnsi="Aptos"/>
                <w:b w:val="0"/>
                <w:color w:val="111827"/>
                <w:sz w:val="11"/>
              </w:rPr>
              <w:t>6.0%</w:t>
            </w:r>
          </w:p>
        </w:tc>
        <w:tc>
          <w:tcPr>
            <w:tcW w:type="dxa" w:w="1008"/>
            <w:vAlign w:val="center"/>
            <w:shd w:fill="F5F7FA"/>
          </w:tcPr>
          <w:p>
            <w:pPr>
              <w:spacing w:after="0" w:before="0" w:line="240" w:lineRule="auto"/>
            </w:pPr>
            <w:r/>
            <w:r>
              <w:rPr>
                <w:rFonts w:ascii="Aptos" w:hAnsi="Aptos"/>
                <w:b w:val="0"/>
                <w:color w:val="111827"/>
                <w:sz w:val="11"/>
              </w:rPr>
              <w:t>% of returns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Industry estimates combine fraud, abuse, and claims and are not category-specific; model uses narrower confirmed-event probabilities.</w:t>
            </w:r>
          </w:p>
        </w:tc>
        <w:tc>
          <w:tcPr>
            <w:tcW w:type="dxa" w:w="3024"/>
            <w:vAlign w:val="center"/>
            <w:shd w:fill="F5F7FA"/>
          </w:tcPr>
          <w:p>
            <w:pPr>
              <w:spacing w:after="0" w:before="0" w:line="240" w:lineRule="auto"/>
            </w:pPr>
            <w:r/>
            <w:r>
              <w:rPr>
                <w:rFonts w:ascii="Aptos" w:hAnsi="Aptos"/>
                <w:b w:val="0"/>
                <w:color w:val="111827"/>
                <w:sz w:val="11"/>
              </w:rPr>
              <w:t>Reduces expected recovery and can justify serial/authentication controls.</w:t>
            </w:r>
          </w:p>
        </w:tc>
        <w:tc>
          <w:tcPr>
            <w:tcW w:type="dxa" w:w="1008"/>
            <w:vAlign w:val="center"/>
            <w:shd w:fill="F5F7FA"/>
          </w:tcPr>
          <w:p>
            <w:pPr>
              <w:spacing w:after="0" w:before="0" w:line="240" w:lineRule="auto"/>
            </w:pPr>
            <w:r/>
            <w:r>
              <w:rPr>
                <w:rFonts w:ascii="Aptos" w:hAnsi="Aptos"/>
                <w:b w:val="0"/>
                <w:color w:val="111827"/>
                <w:sz w:val="11"/>
              </w:rPr>
              <w:t>S31; P01</w:t>
            </w:r>
          </w:p>
        </w:tc>
      </w:tr>
      <w:tr>
        <w:tc>
          <w:tcPr>
            <w:tcW w:type="dxa" w:w="1728"/>
            <w:vAlign w:val="center"/>
          </w:tcPr>
          <w:p>
            <w:pPr>
              <w:spacing w:after="0" w:before="0" w:line="240" w:lineRule="auto"/>
            </w:pPr>
            <w:r/>
            <w:r>
              <w:rPr>
                <w:rFonts w:ascii="Aptos" w:hAnsi="Aptos"/>
                <w:b/>
                <w:color w:val="111827"/>
                <w:sz w:val="11"/>
              </w:rPr>
              <w:t>Landed product cost (C)</w:t>
            </w:r>
          </w:p>
        </w:tc>
        <w:tc>
          <w:tcPr>
            <w:tcW w:type="dxa" w:w="2088"/>
            <w:vAlign w:val="center"/>
          </w:tcPr>
          <w:p>
            <w:pPr>
              <w:spacing w:after="0" w:before="0" w:line="240" w:lineRule="auto"/>
            </w:pPr>
            <w:r/>
            <w:r>
              <w:rPr>
                <w:rFonts w:ascii="Aptos" w:hAnsi="Aptos"/>
                <w:b w:val="0"/>
                <w:color w:val="111827"/>
                <w:sz w:val="11"/>
              </w:rPr>
              <w:t>Laptop/phone premium electronics ($500)</w:t>
            </w:r>
          </w:p>
        </w:tc>
        <w:tc>
          <w:tcPr>
            <w:tcW w:type="dxa" w:w="936"/>
            <w:vAlign w:val="center"/>
          </w:tcPr>
          <w:p>
            <w:pPr>
              <w:spacing w:after="0" w:before="0" w:line="240" w:lineRule="auto"/>
            </w:pPr>
            <w:r/>
            <w:r>
              <w:rPr>
                <w:rFonts w:ascii="Aptos" w:hAnsi="Aptos"/>
                <w:b w:val="0"/>
                <w:color w:val="111827"/>
                <w:sz w:val="11"/>
              </w:rPr>
              <w:t>$300.00</w:t>
            </w:r>
          </w:p>
        </w:tc>
        <w:tc>
          <w:tcPr>
            <w:tcW w:type="dxa" w:w="1008"/>
            <w:vAlign w:val="center"/>
          </w:tcPr>
          <w:p>
            <w:pPr>
              <w:spacing w:after="0" w:before="0" w:line="240" w:lineRule="auto"/>
            </w:pPr>
            <w:r/>
            <w:r>
              <w:rPr>
                <w:rFonts w:ascii="Aptos" w:hAnsi="Aptos"/>
                <w:b w:val="0"/>
                <w:color w:val="111827"/>
                <w:sz w:val="11"/>
              </w:rPr>
              <w:t>$350.00</w:t>
            </w:r>
          </w:p>
        </w:tc>
        <w:tc>
          <w:tcPr>
            <w:tcW w:type="dxa" w:w="936"/>
            <w:vAlign w:val="center"/>
          </w:tcPr>
          <w:p>
            <w:pPr>
              <w:spacing w:after="0" w:before="0" w:line="240" w:lineRule="auto"/>
            </w:pPr>
            <w:r/>
            <w:r>
              <w:rPr>
                <w:rFonts w:ascii="Aptos" w:hAnsi="Aptos"/>
                <w:b w:val="0"/>
                <w:color w:val="111827"/>
                <w:sz w:val="11"/>
              </w:rPr>
              <w:t>$400.00</w:t>
            </w:r>
          </w:p>
        </w:tc>
        <w:tc>
          <w:tcPr>
            <w:tcW w:type="dxa" w:w="1008"/>
            <w:vAlign w:val="center"/>
          </w:tcPr>
          <w:p>
            <w:pPr>
              <w:spacing w:after="0" w:before="0" w:line="240" w:lineRule="auto"/>
            </w:pPr>
            <w:r/>
            <w:r>
              <w:rPr>
                <w:rFonts w:ascii="Aptos" w:hAnsi="Aptos"/>
                <w:b w:val="0"/>
                <w:color w:val="111827"/>
                <w:sz w:val="11"/>
              </w:rPr>
              <w:t>$</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No product-level COGS supplied; calibrated to category margin structure.</w:t>
            </w:r>
          </w:p>
        </w:tc>
        <w:tc>
          <w:tcPr>
            <w:tcW w:type="dxa" w:w="3024"/>
            <w:vAlign w:val="center"/>
          </w:tcPr>
          <w:p>
            <w:pPr>
              <w:spacing w:after="0" w:before="0" w:line="240" w:lineRule="auto"/>
            </w:pPr>
            <w:r/>
            <w:r>
              <w:rPr>
                <w:rFonts w:ascii="Aptos" w:hAnsi="Aptos"/>
                <w:b w:val="0"/>
                <w:color w:val="111827"/>
                <w:sz w:val="11"/>
              </w:rPr>
              <w:t>Does not change return-tax dollars under the specified incremental formula, but changes post-return loss and tax as % of kept contribution.</w:t>
            </w:r>
          </w:p>
        </w:tc>
        <w:tc>
          <w:tcPr>
            <w:tcW w:type="dxa" w:w="1008"/>
            <w:vAlign w:val="center"/>
          </w:tcPr>
          <w:p>
            <w:pPr>
              <w:spacing w:after="0" w:before="0" w:line="240" w:lineRule="auto"/>
            </w:pPr>
            <w:r/>
            <w:r>
              <w:rPr>
                <w:rFonts w:ascii="Aptos" w:hAnsi="Aptos"/>
                <w:b w:val="0"/>
                <w:color w:val="111827"/>
                <w:sz w:val="11"/>
              </w:rPr>
              <w:t>P01; P02</w:t>
            </w:r>
          </w:p>
        </w:tc>
      </w:tr>
      <w:tr>
        <w:tc>
          <w:tcPr>
            <w:tcW w:type="dxa" w:w="1728"/>
            <w:vAlign w:val="center"/>
            <w:shd w:fill="F5F7FA"/>
          </w:tcPr>
          <w:p>
            <w:pPr>
              <w:spacing w:after="0" w:before="0" w:line="240" w:lineRule="auto"/>
            </w:pPr>
            <w:r/>
            <w:r>
              <w:rPr>
                <w:rFonts w:ascii="Aptos" w:hAnsi="Aptos"/>
                <w:b/>
                <w:color w:val="111827"/>
                <w:sz w:val="11"/>
              </w:rPr>
              <w:t>Outbound fulfillment and shipping (Fo)</w:t>
            </w:r>
          </w:p>
        </w:tc>
        <w:tc>
          <w:tcPr>
            <w:tcW w:type="dxa" w:w="2088"/>
            <w:vAlign w:val="center"/>
            <w:shd w:fill="F5F7FA"/>
          </w:tcPr>
          <w:p>
            <w:pPr>
              <w:spacing w:after="0" w:before="0" w:line="240" w:lineRule="auto"/>
            </w:pPr>
            <w:r/>
            <w:r>
              <w:rPr>
                <w:rFonts w:ascii="Aptos" w:hAnsi="Aptos"/>
                <w:b w:val="0"/>
                <w:color w:val="111827"/>
                <w:sz w:val="11"/>
              </w:rPr>
              <w:t>Laptop/phone premium electronics ($500)</w:t>
            </w:r>
          </w:p>
        </w:tc>
        <w:tc>
          <w:tcPr>
            <w:tcW w:type="dxa" w:w="936"/>
            <w:vAlign w:val="center"/>
            <w:shd w:fill="F5F7FA"/>
          </w:tcPr>
          <w:p>
            <w:pPr>
              <w:spacing w:after="0" w:before="0" w:line="240" w:lineRule="auto"/>
            </w:pPr>
            <w:r/>
            <w:r>
              <w:rPr>
                <w:rFonts w:ascii="Aptos" w:hAnsi="Aptos"/>
                <w:b w:val="0"/>
                <w:color w:val="111827"/>
                <w:sz w:val="11"/>
              </w:rPr>
              <w:t>$7.50</w:t>
            </w:r>
          </w:p>
        </w:tc>
        <w:tc>
          <w:tcPr>
            <w:tcW w:type="dxa" w:w="1008"/>
            <w:vAlign w:val="center"/>
            <w:shd w:fill="F5F7FA"/>
          </w:tcPr>
          <w:p>
            <w:pPr>
              <w:spacing w:after="0" w:before="0" w:line="240" w:lineRule="auto"/>
            </w:pPr>
            <w:r/>
            <w:r>
              <w:rPr>
                <w:rFonts w:ascii="Aptos" w:hAnsi="Aptos"/>
                <w:b w:val="0"/>
                <w:color w:val="111827"/>
                <w:sz w:val="11"/>
              </w:rPr>
              <w:t>$10.00</w:t>
            </w:r>
          </w:p>
        </w:tc>
        <w:tc>
          <w:tcPr>
            <w:tcW w:type="dxa" w:w="936"/>
            <w:vAlign w:val="center"/>
            <w:shd w:fill="F5F7FA"/>
          </w:tcPr>
          <w:p>
            <w:pPr>
              <w:spacing w:after="0" w:before="0" w:line="240" w:lineRule="auto"/>
            </w:pPr>
            <w:r/>
            <w:r>
              <w:rPr>
                <w:rFonts w:ascii="Aptos" w:hAnsi="Aptos"/>
                <w:b w:val="0"/>
                <w:color w:val="111827"/>
                <w:sz w:val="11"/>
              </w:rPr>
              <w:t>$13.50</w:t>
            </w:r>
          </w:p>
        </w:tc>
        <w:tc>
          <w:tcPr>
            <w:tcW w:type="dxa" w:w="1008"/>
            <w:vAlign w:val="center"/>
            <w:shd w:fill="F5F7FA"/>
          </w:tcPr>
          <w:p>
            <w:pPr>
              <w:spacing w:after="0" w:before="0" w:line="240" w:lineRule="auto"/>
            </w:pPr>
            <w:r/>
            <w:r>
              <w:rPr>
                <w:rFonts w:ascii="Aptos" w:hAnsi="Aptos"/>
                <w:b w:val="0"/>
                <w:color w:val="111827"/>
                <w:sz w:val="11"/>
              </w:rPr>
              <w:t>$</w:t>
            </w:r>
          </w:p>
        </w:tc>
        <w:tc>
          <w:tcPr>
            <w:tcW w:type="dxa" w:w="1224"/>
            <w:vAlign w:val="center"/>
            <w:shd w:fill="F5F7FA"/>
          </w:tcPr>
          <w:p>
            <w:pPr>
              <w:spacing w:after="0" w:before="0" w:line="240" w:lineRule="auto"/>
            </w:pPr>
            <w:r/>
            <w:r>
              <w:rPr>
                <w:rFonts w:ascii="Aptos" w:hAnsi="Aptos"/>
                <w:b w:val="0"/>
                <w:color w:val="111827"/>
                <w:sz w:val="11"/>
              </w:rPr>
              <w:t>Proxy</w:t>
            </w:r>
          </w:p>
        </w:tc>
        <w:tc>
          <w:tcPr>
            <w:tcW w:type="dxa" w:w="3096"/>
            <w:vAlign w:val="center"/>
            <w:shd w:fill="F5F7FA"/>
          </w:tcPr>
          <w:p>
            <w:pPr>
              <w:spacing w:after="0" w:before="0" w:line="240" w:lineRule="auto"/>
            </w:pPr>
            <w:r/>
            <w:r>
              <w:rPr>
                <w:rFonts w:ascii="Aptos" w:hAnsi="Aptos"/>
                <w:b w:val="0"/>
                <w:color w:val="111827"/>
                <w:sz w:val="11"/>
              </w:rPr>
              <w:t>Calibrated to package size and public carrier/WFS anchors; actual negotiated rates unknown.</w:t>
            </w:r>
          </w:p>
        </w:tc>
        <w:tc>
          <w:tcPr>
            <w:tcW w:type="dxa" w:w="3024"/>
            <w:vAlign w:val="center"/>
            <w:shd w:fill="F5F7FA"/>
          </w:tcPr>
          <w:p>
            <w:pPr>
              <w:spacing w:after="0" w:before="0" w:line="240" w:lineRule="auto"/>
            </w:pPr>
            <w:r/>
            <w:r>
              <w:rPr>
                <w:rFonts w:ascii="Aptos" w:hAnsi="Aptos"/>
                <w:b w:val="0"/>
                <w:color w:val="111827"/>
                <w:sz w:val="11"/>
              </w:rPr>
              <w:t>Changes kept and post-return contribution equally; does not change incremental return-tax dollars unless used again as secondary transport.</w:t>
            </w:r>
          </w:p>
        </w:tc>
        <w:tc>
          <w:tcPr>
            <w:tcW w:type="dxa" w:w="1008"/>
            <w:vAlign w:val="center"/>
            <w:shd w:fill="F5F7FA"/>
          </w:tcPr>
          <w:p>
            <w:pPr>
              <w:spacing w:after="0" w:before="0" w:line="240" w:lineRule="auto"/>
            </w:pPr>
            <w:r/>
            <w:r>
              <w:rPr>
                <w:rFonts w:ascii="Aptos" w:hAnsi="Aptos"/>
                <w:b w:val="0"/>
                <w:color w:val="111827"/>
                <w:sz w:val="11"/>
              </w:rPr>
              <w:t>S17; S21-S26</w:t>
            </w:r>
          </w:p>
        </w:tc>
      </w:tr>
      <w:tr>
        <w:tc>
          <w:tcPr>
            <w:tcW w:type="dxa" w:w="1728"/>
            <w:vAlign w:val="center"/>
          </w:tcPr>
          <w:p>
            <w:pPr>
              <w:spacing w:after="0" w:before="0" w:line="240" w:lineRule="auto"/>
            </w:pPr>
            <w:r/>
            <w:r>
              <w:rPr>
                <w:rFonts w:ascii="Aptos" w:hAnsi="Aptos"/>
                <w:b/>
                <w:color w:val="111827"/>
                <w:sz w:val="11"/>
              </w:rPr>
              <w:t>Return rate (p_r)</w:t>
            </w:r>
          </w:p>
        </w:tc>
        <w:tc>
          <w:tcPr>
            <w:tcW w:type="dxa" w:w="2088"/>
            <w:vAlign w:val="center"/>
          </w:tcPr>
          <w:p>
            <w:pPr>
              <w:spacing w:after="0" w:before="0" w:line="240" w:lineRule="auto"/>
            </w:pPr>
            <w:r/>
            <w:r>
              <w:rPr>
                <w:rFonts w:ascii="Aptos" w:hAnsi="Aptos"/>
                <w:b w:val="0"/>
                <w:color w:val="111827"/>
                <w:sz w:val="11"/>
              </w:rPr>
              <w:t>Laptop/phone premium electronics ($500)</w:t>
            </w:r>
          </w:p>
        </w:tc>
        <w:tc>
          <w:tcPr>
            <w:tcW w:type="dxa" w:w="936"/>
            <w:vAlign w:val="center"/>
          </w:tcPr>
          <w:p>
            <w:pPr>
              <w:spacing w:after="0" w:before="0" w:line="240" w:lineRule="auto"/>
            </w:pPr>
            <w:r/>
            <w:r>
              <w:rPr>
                <w:rFonts w:ascii="Aptos" w:hAnsi="Aptos"/>
                <w:b w:val="0"/>
                <w:color w:val="111827"/>
                <w:sz w:val="11"/>
              </w:rPr>
              <w:t>7.5%</w:t>
            </w:r>
          </w:p>
        </w:tc>
        <w:tc>
          <w:tcPr>
            <w:tcW w:type="dxa" w:w="1008"/>
            <w:vAlign w:val="center"/>
          </w:tcPr>
          <w:p>
            <w:pPr>
              <w:spacing w:after="0" w:before="0" w:line="240" w:lineRule="auto"/>
            </w:pPr>
            <w:r/>
            <w:r>
              <w:rPr>
                <w:rFonts w:ascii="Aptos" w:hAnsi="Aptos"/>
                <w:b w:val="0"/>
                <w:color w:val="111827"/>
                <w:sz w:val="11"/>
              </w:rPr>
              <w:t>10.0%</w:t>
            </w:r>
          </w:p>
        </w:tc>
        <w:tc>
          <w:tcPr>
            <w:tcW w:type="dxa" w:w="936"/>
            <w:vAlign w:val="center"/>
          </w:tcPr>
          <w:p>
            <w:pPr>
              <w:spacing w:after="0" w:before="0" w:line="240" w:lineRule="auto"/>
            </w:pPr>
            <w:r/>
            <w:r>
              <w:rPr>
                <w:rFonts w:ascii="Aptos" w:hAnsi="Aptos"/>
                <w:b w:val="0"/>
                <w:color w:val="111827"/>
                <w:sz w:val="11"/>
              </w:rPr>
              <w:t>12.5%</w:t>
            </w:r>
          </w:p>
        </w:tc>
        <w:tc>
          <w:tcPr>
            <w:tcW w:type="dxa" w:w="1008"/>
            <w:vAlign w:val="center"/>
          </w:tcPr>
          <w:p>
            <w:pPr>
              <w:spacing w:after="0" w:before="0" w:line="240" w:lineRule="auto"/>
            </w:pPr>
            <w:r/>
            <w:r>
              <w:rPr>
                <w:rFonts w:ascii="Aptos" w:hAnsi="Aptos"/>
                <w:b w:val="0"/>
                <w:color w:val="111827"/>
                <w:sz w:val="11"/>
              </w:rPr>
              <w:t>% of orders</w:t>
            </w:r>
          </w:p>
        </w:tc>
        <w:tc>
          <w:tcPr>
            <w:tcW w:type="dxa" w:w="1224"/>
            <w:vAlign w:val="center"/>
          </w:tcPr>
          <w:p>
            <w:pPr>
              <w:spacing w:after="0" w:before="0" w:line="240" w:lineRule="auto"/>
            </w:pPr>
            <w:r/>
            <w:r>
              <w:rPr>
                <w:rFonts w:ascii="Aptos" w:hAnsi="Aptos"/>
                <w:b w:val="0"/>
                <w:color w:val="111827"/>
                <w:sz w:val="11"/>
              </w:rPr>
              <w:t>Assumption/proxy</w:t>
            </w:r>
          </w:p>
        </w:tc>
        <w:tc>
          <w:tcPr>
            <w:tcW w:type="dxa" w:w="3096"/>
            <w:vAlign w:val="center"/>
          </w:tcPr>
          <w:p>
            <w:pPr>
              <w:spacing w:after="0" w:before="0" w:line="240" w:lineRule="auto"/>
            </w:pPr>
            <w:r/>
            <w:r>
              <w:rPr>
                <w:rFonts w:ascii="Aptos" w:hAnsi="Aptos"/>
                <w:b w:val="0"/>
                <w:color w:val="111827"/>
                <w:sz w:val="11"/>
              </w:rPr>
              <w:t>Category-specific population rates are not consistently disclosed; broad online and furniture anchors used.</w:t>
            </w:r>
          </w:p>
        </w:tc>
        <w:tc>
          <w:tcPr>
            <w:tcW w:type="dxa" w:w="3024"/>
            <w:vAlign w:val="center"/>
          </w:tcPr>
          <w:p>
            <w:pPr>
              <w:spacing w:after="0" w:before="0" w:line="240" w:lineRule="auto"/>
            </w:pPr>
            <w:r/>
            <w:r>
              <w:rPr>
                <w:rFonts w:ascii="Aptos" w:hAnsi="Aptos"/>
                <w:b w:val="0"/>
                <w:color w:val="111827"/>
                <w:sz w:val="11"/>
              </w:rPr>
              <w:t>Scales expected return tax per order linearly.</w:t>
            </w:r>
          </w:p>
        </w:tc>
        <w:tc>
          <w:tcPr>
            <w:tcW w:type="dxa" w:w="1008"/>
            <w:vAlign w:val="center"/>
          </w:tcPr>
          <w:p>
            <w:pPr>
              <w:spacing w:after="0" w:before="0" w:line="240" w:lineRule="auto"/>
            </w:pPr>
            <w:r/>
            <w:r>
              <w:rPr>
                <w:rFonts w:ascii="Aptos" w:hAnsi="Aptos"/>
                <w:b w:val="0"/>
                <w:color w:val="111827"/>
                <w:sz w:val="11"/>
              </w:rPr>
              <w:t>S34; S40; P01</w:t>
            </w:r>
          </w:p>
        </w:tc>
      </w:tr>
      <w:tr>
        <w:tc>
          <w:tcPr>
            <w:tcW w:type="dxa" w:w="1728"/>
            <w:vAlign w:val="center"/>
            <w:shd w:fill="F5F7FA"/>
          </w:tcPr>
          <w:p>
            <w:pPr>
              <w:spacing w:after="0" w:before="0" w:line="240" w:lineRule="auto"/>
            </w:pPr>
            <w:r/>
            <w:r>
              <w:rPr>
                <w:rFonts w:ascii="Aptos" w:hAnsi="Aptos"/>
                <w:b/>
                <w:color w:val="111827"/>
                <w:sz w:val="11"/>
              </w:rPr>
              <w:t>Inspection minutes</w:t>
            </w:r>
          </w:p>
        </w:tc>
        <w:tc>
          <w:tcPr>
            <w:tcW w:type="dxa" w:w="2088"/>
            <w:vAlign w:val="center"/>
            <w:shd w:fill="F5F7FA"/>
          </w:tcPr>
          <w:p>
            <w:pPr>
              <w:spacing w:after="0" w:before="0" w:line="240" w:lineRule="auto"/>
            </w:pPr>
            <w:r/>
            <w:r>
              <w:rPr>
                <w:rFonts w:ascii="Aptos" w:hAnsi="Aptos"/>
                <w:b w:val="0"/>
                <w:color w:val="111827"/>
                <w:sz w:val="11"/>
              </w:rPr>
              <w:t>Laptop/phone premium electronics ($500)</w:t>
            </w:r>
          </w:p>
        </w:tc>
        <w:tc>
          <w:tcPr>
            <w:tcW w:type="dxa" w:w="936"/>
            <w:vAlign w:val="center"/>
            <w:shd w:fill="F5F7FA"/>
          </w:tcPr>
          <w:p>
            <w:pPr>
              <w:spacing w:after="0" w:before="0" w:line="240" w:lineRule="auto"/>
            </w:pPr>
            <w:r/>
            <w:r>
              <w:rPr>
                <w:rFonts w:ascii="Aptos" w:hAnsi="Aptos"/>
                <w:b w:val="0"/>
                <w:color w:val="111827"/>
                <w:sz w:val="11"/>
              </w:rPr>
              <w:t>13.50</w:t>
            </w:r>
          </w:p>
        </w:tc>
        <w:tc>
          <w:tcPr>
            <w:tcW w:type="dxa" w:w="1008"/>
            <w:vAlign w:val="center"/>
            <w:shd w:fill="F5F7FA"/>
          </w:tcPr>
          <w:p>
            <w:pPr>
              <w:spacing w:after="0" w:before="0" w:line="240" w:lineRule="auto"/>
            </w:pPr>
            <w:r/>
            <w:r>
              <w:rPr>
                <w:rFonts w:ascii="Aptos" w:hAnsi="Aptos"/>
                <w:b w:val="0"/>
                <w:color w:val="111827"/>
                <w:sz w:val="11"/>
              </w:rPr>
              <w:t>18.00</w:t>
            </w:r>
          </w:p>
        </w:tc>
        <w:tc>
          <w:tcPr>
            <w:tcW w:type="dxa" w:w="936"/>
            <w:vAlign w:val="center"/>
            <w:shd w:fill="F5F7FA"/>
          </w:tcPr>
          <w:p>
            <w:pPr>
              <w:spacing w:after="0" w:before="0" w:line="240" w:lineRule="auto"/>
            </w:pPr>
            <w:r/>
            <w:r>
              <w:rPr>
                <w:rFonts w:ascii="Aptos" w:hAnsi="Aptos"/>
                <w:b w:val="0"/>
                <w:color w:val="111827"/>
                <w:sz w:val="11"/>
              </w:rPr>
              <w:t>27.00</w:t>
            </w:r>
          </w:p>
        </w:tc>
        <w:tc>
          <w:tcPr>
            <w:tcW w:type="dxa" w:w="1008"/>
            <w:vAlign w:val="center"/>
            <w:shd w:fill="F5F7FA"/>
          </w:tcPr>
          <w:p>
            <w:pPr>
              <w:spacing w:after="0" w:before="0" w:line="240" w:lineRule="auto"/>
            </w:pPr>
            <w:r/>
            <w:r>
              <w:rPr>
                <w:rFonts w:ascii="Aptos" w:hAnsi="Aptos"/>
                <w:b w:val="0"/>
                <w:color w:val="111827"/>
                <w:sz w:val="11"/>
              </w:rPr>
              <w:t>minutes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Labor minutes are a named research gap.</w:t>
            </w:r>
          </w:p>
        </w:tc>
        <w:tc>
          <w:tcPr>
            <w:tcW w:type="dxa" w:w="3024"/>
            <w:vAlign w:val="center"/>
            <w:shd w:fill="F5F7FA"/>
          </w:tcPr>
          <w:p>
            <w:pPr>
              <w:spacing w:after="0" w:before="0" w:line="240" w:lineRule="auto"/>
            </w:pPr>
            <w:r/>
            <w:r>
              <w:rPr>
                <w:rFonts w:ascii="Aptos" w:hAnsi="Aptos"/>
                <w:b w:val="0"/>
                <w:color w:val="111827"/>
                <w:sz w:val="11"/>
              </w:rPr>
              <w:t>Can flip retrieval decisions for low-value items.</w:t>
            </w:r>
          </w:p>
        </w:tc>
        <w:tc>
          <w:tcPr>
            <w:tcW w:type="dxa" w:w="1008"/>
            <w:vAlign w:val="center"/>
            <w:shd w:fill="F5F7FA"/>
          </w:tcPr>
          <w:p>
            <w:pPr>
              <w:spacing w:after="0" w:before="0" w:line="240" w:lineRule="auto"/>
            </w:pPr>
            <w:r/>
            <w:r>
              <w:rPr>
                <w:rFonts w:ascii="Aptos" w:hAnsi="Aptos"/>
                <w:b w:val="0"/>
                <w:color w:val="111827"/>
                <w:sz w:val="11"/>
              </w:rPr>
              <w:t>P01</w:t>
            </w:r>
          </w:p>
        </w:tc>
      </w:tr>
      <w:tr>
        <w:tc>
          <w:tcPr>
            <w:tcW w:type="dxa" w:w="1728"/>
            <w:vAlign w:val="center"/>
          </w:tcPr>
          <w:p>
            <w:pPr>
              <w:spacing w:after="0" w:before="0" w:line="240" w:lineRule="auto"/>
            </w:pPr>
            <w:r/>
            <w:r>
              <w:rPr>
                <w:rFonts w:ascii="Aptos" w:hAnsi="Aptos"/>
                <w:b/>
                <w:color w:val="111827"/>
                <w:sz w:val="11"/>
              </w:rPr>
              <w:t>Monthly product depreciation</w:t>
            </w:r>
          </w:p>
        </w:tc>
        <w:tc>
          <w:tcPr>
            <w:tcW w:type="dxa" w:w="2088"/>
            <w:vAlign w:val="center"/>
          </w:tcPr>
          <w:p>
            <w:pPr>
              <w:spacing w:after="0" w:before="0" w:line="240" w:lineRule="auto"/>
            </w:pPr>
            <w:r/>
            <w:r>
              <w:rPr>
                <w:rFonts w:ascii="Aptos" w:hAnsi="Aptos"/>
                <w:b w:val="0"/>
                <w:color w:val="111827"/>
                <w:sz w:val="11"/>
              </w:rPr>
              <w:t>Laptop/phone premium electronics ($500)</w:t>
            </w:r>
          </w:p>
        </w:tc>
        <w:tc>
          <w:tcPr>
            <w:tcW w:type="dxa" w:w="936"/>
            <w:vAlign w:val="center"/>
          </w:tcPr>
          <w:p>
            <w:pPr>
              <w:spacing w:after="0" w:before="0" w:line="240" w:lineRule="auto"/>
            </w:pPr>
            <w:r/>
            <w:r>
              <w:rPr>
                <w:rFonts w:ascii="Aptos" w:hAnsi="Aptos"/>
                <w:b w:val="0"/>
                <w:color w:val="111827"/>
                <w:sz w:val="11"/>
              </w:rPr>
              <w:t>1.8%</w:t>
            </w:r>
          </w:p>
        </w:tc>
        <w:tc>
          <w:tcPr>
            <w:tcW w:type="dxa" w:w="1008"/>
            <w:vAlign w:val="center"/>
          </w:tcPr>
          <w:p>
            <w:pPr>
              <w:spacing w:after="0" w:before="0" w:line="240" w:lineRule="auto"/>
            </w:pPr>
            <w:r/>
            <w:r>
              <w:rPr>
                <w:rFonts w:ascii="Aptos" w:hAnsi="Aptos"/>
                <w:b w:val="0"/>
                <w:color w:val="111827"/>
                <w:sz w:val="11"/>
              </w:rPr>
              <w:t>3.5%</w:t>
            </w:r>
          </w:p>
        </w:tc>
        <w:tc>
          <w:tcPr>
            <w:tcW w:type="dxa" w:w="936"/>
            <w:vAlign w:val="center"/>
          </w:tcPr>
          <w:p>
            <w:pPr>
              <w:spacing w:after="0" w:before="0" w:line="240" w:lineRule="auto"/>
            </w:pPr>
            <w:r/>
            <w:r>
              <w:rPr>
                <w:rFonts w:ascii="Aptos" w:hAnsi="Aptos"/>
                <w:b w:val="0"/>
                <w:color w:val="111827"/>
                <w:sz w:val="11"/>
              </w:rPr>
              <w:t>7.0%</w:t>
            </w:r>
          </w:p>
        </w:tc>
        <w:tc>
          <w:tcPr>
            <w:tcW w:type="dxa" w:w="1008"/>
            <w:vAlign w:val="center"/>
          </w:tcPr>
          <w:p>
            <w:pPr>
              <w:spacing w:after="0" w:before="0" w:line="240" w:lineRule="auto"/>
            </w:pPr>
            <w:r/>
            <w:r>
              <w:rPr>
                <w:rFonts w:ascii="Aptos" w:hAnsi="Aptos"/>
                <w:b w:val="0"/>
                <w:color w:val="111827"/>
                <w:sz w:val="11"/>
              </w:rPr>
              <w:t>% per month</w:t>
            </w:r>
          </w:p>
        </w:tc>
        <w:tc>
          <w:tcPr>
            <w:tcW w:type="dxa" w:w="1224"/>
            <w:vAlign w:val="center"/>
          </w:tcPr>
          <w:p>
            <w:pPr>
              <w:spacing w:after="0" w:before="0" w:line="240" w:lineRule="auto"/>
            </w:pPr>
            <w:r/>
            <w:r>
              <w:rPr>
                <w:rFonts w:ascii="Aptos" w:hAnsi="Aptos"/>
                <w:b w:val="0"/>
                <w:color w:val="111827"/>
                <w:sz w:val="11"/>
              </w:rPr>
              <w:t>Proxy/assumption</w:t>
            </w:r>
          </w:p>
        </w:tc>
        <w:tc>
          <w:tcPr>
            <w:tcW w:type="dxa" w:w="3096"/>
            <w:vAlign w:val="center"/>
          </w:tcPr>
          <w:p>
            <w:pPr>
              <w:spacing w:after="0" w:before="0" w:line="240" w:lineRule="auto"/>
            </w:pPr>
            <w:r/>
            <w:r>
              <w:rPr>
                <w:rFonts w:ascii="Aptos" w:hAnsi="Aptos"/>
                <w:b w:val="0"/>
                <w:color w:val="111827"/>
                <w:sz w:val="11"/>
              </w:rPr>
              <w:t>Electronics market evidence supports faster depreciation; other categories use lower proxies.</w:t>
            </w:r>
          </w:p>
        </w:tc>
        <w:tc>
          <w:tcPr>
            <w:tcW w:type="dxa" w:w="3024"/>
            <w:vAlign w:val="center"/>
          </w:tcPr>
          <w:p>
            <w:pPr>
              <w:spacing w:after="0" w:before="0" w:line="240" w:lineRule="auto"/>
            </w:pPr>
            <w:r/>
            <w:r>
              <w:rPr>
                <w:rFonts w:ascii="Aptos" w:hAnsi="Aptos"/>
                <w:b w:val="0"/>
                <w:color w:val="111827"/>
                <w:sz w:val="11"/>
              </w:rPr>
              <w:t>Penalizes slow resale and refurbishment.</w:t>
            </w:r>
          </w:p>
        </w:tc>
        <w:tc>
          <w:tcPr>
            <w:tcW w:type="dxa" w:w="1008"/>
            <w:vAlign w:val="center"/>
          </w:tcPr>
          <w:p>
            <w:pPr>
              <w:spacing w:after="0" w:before="0" w:line="240" w:lineRule="auto"/>
            </w:pPr>
            <w:r/>
            <w:r>
              <w:rPr>
                <w:rFonts w:ascii="Aptos" w:hAnsi="Aptos"/>
                <w:b w:val="0"/>
                <w:color w:val="111827"/>
                <w:sz w:val="11"/>
              </w:rPr>
              <w:t>S39; P02</w:t>
            </w:r>
          </w:p>
        </w:tc>
      </w:tr>
      <w:tr>
        <w:tc>
          <w:tcPr>
            <w:tcW w:type="dxa" w:w="1728"/>
            <w:vAlign w:val="center"/>
            <w:shd w:fill="F5F7FA"/>
          </w:tcPr>
          <w:p>
            <w:pPr>
              <w:spacing w:after="0" w:before="0" w:line="240" w:lineRule="auto"/>
            </w:pPr>
            <w:r/>
            <w:r>
              <w:rPr>
                <w:rFonts w:ascii="Aptos" w:hAnsi="Aptos"/>
                <w:b/>
                <w:color w:val="111827"/>
                <w:sz w:val="11"/>
              </w:rPr>
              <w:t>Confirmed substitution/counterfeit probability</w:t>
            </w:r>
          </w:p>
        </w:tc>
        <w:tc>
          <w:tcPr>
            <w:tcW w:type="dxa" w:w="2088"/>
            <w:vAlign w:val="center"/>
            <w:shd w:fill="F5F7FA"/>
          </w:tcPr>
          <w:p>
            <w:pPr>
              <w:spacing w:after="0" w:before="0" w:line="240" w:lineRule="auto"/>
            </w:pPr>
            <w:r/>
            <w:r>
              <w:rPr>
                <w:rFonts w:ascii="Aptos" w:hAnsi="Aptos"/>
                <w:b w:val="0"/>
                <w:color w:val="111827"/>
                <w:sz w:val="11"/>
              </w:rPr>
              <w:t>Laptop/phone premium electronics ($500)</w:t>
            </w:r>
          </w:p>
        </w:tc>
        <w:tc>
          <w:tcPr>
            <w:tcW w:type="dxa" w:w="936"/>
            <w:vAlign w:val="center"/>
            <w:shd w:fill="F5F7FA"/>
          </w:tcPr>
          <w:p>
            <w:pPr>
              <w:spacing w:after="0" w:before="0" w:line="240" w:lineRule="auto"/>
            </w:pPr>
            <w:r/>
            <w:r>
              <w:rPr>
                <w:rFonts w:ascii="Aptos" w:hAnsi="Aptos"/>
                <w:b w:val="0"/>
                <w:color w:val="111827"/>
                <w:sz w:val="11"/>
              </w:rPr>
              <w:t>0.0%</w:t>
            </w:r>
          </w:p>
        </w:tc>
        <w:tc>
          <w:tcPr>
            <w:tcW w:type="dxa" w:w="1008"/>
            <w:vAlign w:val="center"/>
            <w:shd w:fill="F5F7FA"/>
          </w:tcPr>
          <w:p>
            <w:pPr>
              <w:spacing w:after="0" w:before="0" w:line="240" w:lineRule="auto"/>
            </w:pPr>
            <w:r/>
            <w:r>
              <w:rPr>
                <w:rFonts w:ascii="Aptos" w:hAnsi="Aptos"/>
                <w:b w:val="0"/>
                <w:color w:val="111827"/>
                <w:sz w:val="11"/>
              </w:rPr>
              <w:t>7.0%</w:t>
            </w:r>
          </w:p>
        </w:tc>
        <w:tc>
          <w:tcPr>
            <w:tcW w:type="dxa" w:w="936"/>
            <w:vAlign w:val="center"/>
            <w:shd w:fill="F5F7FA"/>
          </w:tcPr>
          <w:p>
            <w:pPr>
              <w:spacing w:after="0" w:before="0" w:line="240" w:lineRule="auto"/>
            </w:pPr>
            <w:r/>
            <w:r>
              <w:rPr>
                <w:rFonts w:ascii="Aptos" w:hAnsi="Aptos"/>
                <w:b w:val="0"/>
                <w:color w:val="111827"/>
                <w:sz w:val="11"/>
              </w:rPr>
              <w:t>14.0%</w:t>
            </w:r>
          </w:p>
        </w:tc>
        <w:tc>
          <w:tcPr>
            <w:tcW w:type="dxa" w:w="1008"/>
            <w:vAlign w:val="center"/>
            <w:shd w:fill="F5F7FA"/>
          </w:tcPr>
          <w:p>
            <w:pPr>
              <w:spacing w:after="0" w:before="0" w:line="240" w:lineRule="auto"/>
            </w:pPr>
            <w:r/>
            <w:r>
              <w:rPr>
                <w:rFonts w:ascii="Aptos" w:hAnsi="Aptos"/>
                <w:b w:val="0"/>
                <w:color w:val="111827"/>
                <w:sz w:val="11"/>
              </w:rPr>
              <w:t>% of returns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Industry estimates combine fraud, abuse, and claims and are not category-specific; model uses narrower confirmed-event probabilities.</w:t>
            </w:r>
          </w:p>
        </w:tc>
        <w:tc>
          <w:tcPr>
            <w:tcW w:type="dxa" w:w="3024"/>
            <w:vAlign w:val="center"/>
            <w:shd w:fill="F5F7FA"/>
          </w:tcPr>
          <w:p>
            <w:pPr>
              <w:spacing w:after="0" w:before="0" w:line="240" w:lineRule="auto"/>
            </w:pPr>
            <w:r/>
            <w:r>
              <w:rPr>
                <w:rFonts w:ascii="Aptos" w:hAnsi="Aptos"/>
                <w:b w:val="0"/>
                <w:color w:val="111827"/>
                <w:sz w:val="11"/>
              </w:rPr>
              <w:t>Reduces expected recovery and can justify serial/authentication controls.</w:t>
            </w:r>
          </w:p>
        </w:tc>
        <w:tc>
          <w:tcPr>
            <w:tcW w:type="dxa" w:w="1008"/>
            <w:vAlign w:val="center"/>
            <w:shd w:fill="F5F7FA"/>
          </w:tcPr>
          <w:p>
            <w:pPr>
              <w:spacing w:after="0" w:before="0" w:line="240" w:lineRule="auto"/>
            </w:pPr>
            <w:r/>
            <w:r>
              <w:rPr>
                <w:rFonts w:ascii="Aptos" w:hAnsi="Aptos"/>
                <w:b w:val="0"/>
                <w:color w:val="111827"/>
                <w:sz w:val="11"/>
              </w:rPr>
              <w:t>S31; P01</w:t>
            </w:r>
          </w:p>
        </w:tc>
      </w:tr>
      <w:tr>
        <w:tc>
          <w:tcPr>
            <w:tcW w:type="dxa" w:w="1728"/>
            <w:vAlign w:val="center"/>
          </w:tcPr>
          <w:p>
            <w:pPr>
              <w:spacing w:after="0" w:before="0" w:line="240" w:lineRule="auto"/>
            </w:pPr>
            <w:r/>
            <w:r>
              <w:rPr>
                <w:rFonts w:ascii="Aptos" w:hAnsi="Aptos"/>
                <w:b/>
                <w:color w:val="111827"/>
                <w:sz w:val="11"/>
              </w:rPr>
              <w:t>Landed product cost (C)</w:t>
            </w:r>
          </w:p>
        </w:tc>
        <w:tc>
          <w:tcPr>
            <w:tcW w:type="dxa" w:w="2088"/>
            <w:vAlign w:val="center"/>
          </w:tcPr>
          <w:p>
            <w:pPr>
              <w:spacing w:after="0" w:before="0" w:line="240" w:lineRule="auto"/>
            </w:pPr>
            <w:r/>
            <w:r>
              <w:rPr>
                <w:rFonts w:ascii="Aptos" w:hAnsi="Aptos"/>
                <w:b w:val="0"/>
                <w:color w:val="111827"/>
                <w:sz w:val="11"/>
              </w:rPr>
              <w:t>Furniture product ($500)</w:t>
            </w:r>
          </w:p>
        </w:tc>
        <w:tc>
          <w:tcPr>
            <w:tcW w:type="dxa" w:w="936"/>
            <w:vAlign w:val="center"/>
          </w:tcPr>
          <w:p>
            <w:pPr>
              <w:spacing w:after="0" w:before="0" w:line="240" w:lineRule="auto"/>
            </w:pPr>
            <w:r/>
            <w:r>
              <w:rPr>
                <w:rFonts w:ascii="Aptos" w:hAnsi="Aptos"/>
                <w:b w:val="0"/>
                <w:color w:val="111827"/>
                <w:sz w:val="11"/>
              </w:rPr>
              <w:t>$175.00</w:t>
            </w:r>
          </w:p>
        </w:tc>
        <w:tc>
          <w:tcPr>
            <w:tcW w:type="dxa" w:w="1008"/>
            <w:vAlign w:val="center"/>
          </w:tcPr>
          <w:p>
            <w:pPr>
              <w:spacing w:after="0" w:before="0" w:line="240" w:lineRule="auto"/>
            </w:pPr>
            <w:r/>
            <w:r>
              <w:rPr>
                <w:rFonts w:ascii="Aptos" w:hAnsi="Aptos"/>
                <w:b w:val="0"/>
                <w:color w:val="111827"/>
                <w:sz w:val="11"/>
              </w:rPr>
              <w:t>$225.00</w:t>
            </w:r>
          </w:p>
        </w:tc>
        <w:tc>
          <w:tcPr>
            <w:tcW w:type="dxa" w:w="936"/>
            <w:vAlign w:val="center"/>
          </w:tcPr>
          <w:p>
            <w:pPr>
              <w:spacing w:after="0" w:before="0" w:line="240" w:lineRule="auto"/>
            </w:pPr>
            <w:r/>
            <w:r>
              <w:rPr>
                <w:rFonts w:ascii="Aptos" w:hAnsi="Aptos"/>
                <w:b w:val="0"/>
                <w:color w:val="111827"/>
                <w:sz w:val="11"/>
              </w:rPr>
              <w:t>$275.00</w:t>
            </w:r>
          </w:p>
        </w:tc>
        <w:tc>
          <w:tcPr>
            <w:tcW w:type="dxa" w:w="1008"/>
            <w:vAlign w:val="center"/>
          </w:tcPr>
          <w:p>
            <w:pPr>
              <w:spacing w:after="0" w:before="0" w:line="240" w:lineRule="auto"/>
            </w:pPr>
            <w:r/>
            <w:r>
              <w:rPr>
                <w:rFonts w:ascii="Aptos" w:hAnsi="Aptos"/>
                <w:b w:val="0"/>
                <w:color w:val="111827"/>
                <w:sz w:val="11"/>
              </w:rPr>
              <w:t>$</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No product-level COGS supplied; calibrated to category margin structure.</w:t>
            </w:r>
          </w:p>
        </w:tc>
        <w:tc>
          <w:tcPr>
            <w:tcW w:type="dxa" w:w="3024"/>
            <w:vAlign w:val="center"/>
          </w:tcPr>
          <w:p>
            <w:pPr>
              <w:spacing w:after="0" w:before="0" w:line="240" w:lineRule="auto"/>
            </w:pPr>
            <w:r/>
            <w:r>
              <w:rPr>
                <w:rFonts w:ascii="Aptos" w:hAnsi="Aptos"/>
                <w:b w:val="0"/>
                <w:color w:val="111827"/>
                <w:sz w:val="11"/>
              </w:rPr>
              <w:t>Does not change return-tax dollars under the specified incremental formula, but changes post-return loss and tax as % of kept contribution.</w:t>
            </w:r>
          </w:p>
        </w:tc>
        <w:tc>
          <w:tcPr>
            <w:tcW w:type="dxa" w:w="1008"/>
            <w:vAlign w:val="center"/>
          </w:tcPr>
          <w:p>
            <w:pPr>
              <w:spacing w:after="0" w:before="0" w:line="240" w:lineRule="auto"/>
            </w:pPr>
            <w:r/>
            <w:r>
              <w:rPr>
                <w:rFonts w:ascii="Aptos" w:hAnsi="Aptos"/>
                <w:b w:val="0"/>
                <w:color w:val="111827"/>
                <w:sz w:val="11"/>
              </w:rPr>
              <w:t>P01; P02</w:t>
            </w:r>
          </w:p>
        </w:tc>
      </w:tr>
      <w:tr>
        <w:tc>
          <w:tcPr>
            <w:tcW w:type="dxa" w:w="1728"/>
            <w:vAlign w:val="center"/>
            <w:shd w:fill="F5F7FA"/>
          </w:tcPr>
          <w:p>
            <w:pPr>
              <w:spacing w:after="0" w:before="0" w:line="240" w:lineRule="auto"/>
            </w:pPr>
            <w:r/>
            <w:r>
              <w:rPr>
                <w:rFonts w:ascii="Aptos" w:hAnsi="Aptos"/>
                <w:b/>
                <w:color w:val="111827"/>
                <w:sz w:val="11"/>
              </w:rPr>
              <w:t>Outbound fulfillment and shipping (Fo)</w:t>
            </w:r>
          </w:p>
        </w:tc>
        <w:tc>
          <w:tcPr>
            <w:tcW w:type="dxa" w:w="2088"/>
            <w:vAlign w:val="center"/>
            <w:shd w:fill="F5F7FA"/>
          </w:tcPr>
          <w:p>
            <w:pPr>
              <w:spacing w:after="0" w:before="0" w:line="240" w:lineRule="auto"/>
            </w:pPr>
            <w:r/>
            <w:r>
              <w:rPr>
                <w:rFonts w:ascii="Aptos" w:hAnsi="Aptos"/>
                <w:b w:val="0"/>
                <w:color w:val="111827"/>
                <w:sz w:val="11"/>
              </w:rPr>
              <w:t>Furniture product ($500)</w:t>
            </w:r>
          </w:p>
        </w:tc>
        <w:tc>
          <w:tcPr>
            <w:tcW w:type="dxa" w:w="936"/>
            <w:vAlign w:val="center"/>
            <w:shd w:fill="F5F7FA"/>
          </w:tcPr>
          <w:p>
            <w:pPr>
              <w:spacing w:after="0" w:before="0" w:line="240" w:lineRule="auto"/>
            </w:pPr>
            <w:r/>
            <w:r>
              <w:rPr>
                <w:rFonts w:ascii="Aptos" w:hAnsi="Aptos"/>
                <w:b w:val="0"/>
                <w:color w:val="111827"/>
                <w:sz w:val="11"/>
              </w:rPr>
              <w:t>$56.25</w:t>
            </w:r>
          </w:p>
        </w:tc>
        <w:tc>
          <w:tcPr>
            <w:tcW w:type="dxa" w:w="1008"/>
            <w:vAlign w:val="center"/>
            <w:shd w:fill="F5F7FA"/>
          </w:tcPr>
          <w:p>
            <w:pPr>
              <w:spacing w:after="0" w:before="0" w:line="240" w:lineRule="auto"/>
            </w:pPr>
            <w:r/>
            <w:r>
              <w:rPr>
                <w:rFonts w:ascii="Aptos" w:hAnsi="Aptos"/>
                <w:b w:val="0"/>
                <w:color w:val="111827"/>
                <w:sz w:val="11"/>
              </w:rPr>
              <w:t>$75.00</w:t>
            </w:r>
          </w:p>
        </w:tc>
        <w:tc>
          <w:tcPr>
            <w:tcW w:type="dxa" w:w="936"/>
            <w:vAlign w:val="center"/>
            <w:shd w:fill="F5F7FA"/>
          </w:tcPr>
          <w:p>
            <w:pPr>
              <w:spacing w:after="0" w:before="0" w:line="240" w:lineRule="auto"/>
            </w:pPr>
            <w:r/>
            <w:r>
              <w:rPr>
                <w:rFonts w:ascii="Aptos" w:hAnsi="Aptos"/>
                <w:b w:val="0"/>
                <w:color w:val="111827"/>
                <w:sz w:val="11"/>
              </w:rPr>
              <w:t>$101.25</w:t>
            </w:r>
          </w:p>
        </w:tc>
        <w:tc>
          <w:tcPr>
            <w:tcW w:type="dxa" w:w="1008"/>
            <w:vAlign w:val="center"/>
            <w:shd w:fill="F5F7FA"/>
          </w:tcPr>
          <w:p>
            <w:pPr>
              <w:spacing w:after="0" w:before="0" w:line="240" w:lineRule="auto"/>
            </w:pPr>
            <w:r/>
            <w:r>
              <w:rPr>
                <w:rFonts w:ascii="Aptos" w:hAnsi="Aptos"/>
                <w:b w:val="0"/>
                <w:color w:val="111827"/>
                <w:sz w:val="11"/>
              </w:rPr>
              <w:t>$</w:t>
            </w:r>
          </w:p>
        </w:tc>
        <w:tc>
          <w:tcPr>
            <w:tcW w:type="dxa" w:w="1224"/>
            <w:vAlign w:val="center"/>
            <w:shd w:fill="F5F7FA"/>
          </w:tcPr>
          <w:p>
            <w:pPr>
              <w:spacing w:after="0" w:before="0" w:line="240" w:lineRule="auto"/>
            </w:pPr>
            <w:r/>
            <w:r>
              <w:rPr>
                <w:rFonts w:ascii="Aptos" w:hAnsi="Aptos"/>
                <w:b w:val="0"/>
                <w:color w:val="111827"/>
                <w:sz w:val="11"/>
              </w:rPr>
              <w:t>Proxy</w:t>
            </w:r>
          </w:p>
        </w:tc>
        <w:tc>
          <w:tcPr>
            <w:tcW w:type="dxa" w:w="3096"/>
            <w:vAlign w:val="center"/>
            <w:shd w:fill="F5F7FA"/>
          </w:tcPr>
          <w:p>
            <w:pPr>
              <w:spacing w:after="0" w:before="0" w:line="240" w:lineRule="auto"/>
            </w:pPr>
            <w:r/>
            <w:r>
              <w:rPr>
                <w:rFonts w:ascii="Aptos" w:hAnsi="Aptos"/>
                <w:b w:val="0"/>
                <w:color w:val="111827"/>
                <w:sz w:val="11"/>
              </w:rPr>
              <w:t>Calibrated to package size and public carrier/WFS anchors; actual negotiated rates unknown.</w:t>
            </w:r>
          </w:p>
        </w:tc>
        <w:tc>
          <w:tcPr>
            <w:tcW w:type="dxa" w:w="3024"/>
            <w:vAlign w:val="center"/>
            <w:shd w:fill="F5F7FA"/>
          </w:tcPr>
          <w:p>
            <w:pPr>
              <w:spacing w:after="0" w:before="0" w:line="240" w:lineRule="auto"/>
            </w:pPr>
            <w:r/>
            <w:r>
              <w:rPr>
                <w:rFonts w:ascii="Aptos" w:hAnsi="Aptos"/>
                <w:b w:val="0"/>
                <w:color w:val="111827"/>
                <w:sz w:val="11"/>
              </w:rPr>
              <w:t>Changes kept and post-return contribution equally; does not change incremental return-tax dollars unless used again as secondary transport.</w:t>
            </w:r>
          </w:p>
        </w:tc>
        <w:tc>
          <w:tcPr>
            <w:tcW w:type="dxa" w:w="1008"/>
            <w:vAlign w:val="center"/>
            <w:shd w:fill="F5F7FA"/>
          </w:tcPr>
          <w:p>
            <w:pPr>
              <w:spacing w:after="0" w:before="0" w:line="240" w:lineRule="auto"/>
            </w:pPr>
            <w:r/>
            <w:r>
              <w:rPr>
                <w:rFonts w:ascii="Aptos" w:hAnsi="Aptos"/>
                <w:b w:val="0"/>
                <w:color w:val="111827"/>
                <w:sz w:val="11"/>
              </w:rPr>
              <w:t>S17; S21-S26</w:t>
            </w:r>
          </w:p>
        </w:tc>
      </w:tr>
      <w:tr>
        <w:tc>
          <w:tcPr>
            <w:tcW w:type="dxa" w:w="1728"/>
            <w:vAlign w:val="center"/>
          </w:tcPr>
          <w:p>
            <w:pPr>
              <w:spacing w:after="0" w:before="0" w:line="240" w:lineRule="auto"/>
            </w:pPr>
            <w:r/>
            <w:r>
              <w:rPr>
                <w:rFonts w:ascii="Aptos" w:hAnsi="Aptos"/>
                <w:b/>
                <w:color w:val="111827"/>
                <w:sz w:val="11"/>
              </w:rPr>
              <w:t>Return rate (p_r)</w:t>
            </w:r>
          </w:p>
        </w:tc>
        <w:tc>
          <w:tcPr>
            <w:tcW w:type="dxa" w:w="2088"/>
            <w:vAlign w:val="center"/>
          </w:tcPr>
          <w:p>
            <w:pPr>
              <w:spacing w:after="0" w:before="0" w:line="240" w:lineRule="auto"/>
            </w:pPr>
            <w:r/>
            <w:r>
              <w:rPr>
                <w:rFonts w:ascii="Aptos" w:hAnsi="Aptos"/>
                <w:b w:val="0"/>
                <w:color w:val="111827"/>
                <w:sz w:val="11"/>
              </w:rPr>
              <w:t>Furniture product ($500)</w:t>
            </w:r>
          </w:p>
        </w:tc>
        <w:tc>
          <w:tcPr>
            <w:tcW w:type="dxa" w:w="936"/>
            <w:vAlign w:val="center"/>
          </w:tcPr>
          <w:p>
            <w:pPr>
              <w:spacing w:after="0" w:before="0" w:line="240" w:lineRule="auto"/>
            </w:pPr>
            <w:r/>
            <w:r>
              <w:rPr>
                <w:rFonts w:ascii="Aptos" w:hAnsi="Aptos"/>
                <w:b w:val="0"/>
                <w:color w:val="111827"/>
                <w:sz w:val="11"/>
              </w:rPr>
              <w:t>13.5%</w:t>
            </w:r>
          </w:p>
        </w:tc>
        <w:tc>
          <w:tcPr>
            <w:tcW w:type="dxa" w:w="1008"/>
            <w:vAlign w:val="center"/>
          </w:tcPr>
          <w:p>
            <w:pPr>
              <w:spacing w:after="0" w:before="0" w:line="240" w:lineRule="auto"/>
            </w:pPr>
            <w:r/>
            <w:r>
              <w:rPr>
                <w:rFonts w:ascii="Aptos" w:hAnsi="Aptos"/>
                <w:b w:val="0"/>
                <w:color w:val="111827"/>
                <w:sz w:val="11"/>
              </w:rPr>
              <w:t>18.0%</w:t>
            </w:r>
          </w:p>
        </w:tc>
        <w:tc>
          <w:tcPr>
            <w:tcW w:type="dxa" w:w="936"/>
            <w:vAlign w:val="center"/>
          </w:tcPr>
          <w:p>
            <w:pPr>
              <w:spacing w:after="0" w:before="0" w:line="240" w:lineRule="auto"/>
            </w:pPr>
            <w:r/>
            <w:r>
              <w:rPr>
                <w:rFonts w:ascii="Aptos" w:hAnsi="Aptos"/>
                <w:b w:val="0"/>
                <w:color w:val="111827"/>
                <w:sz w:val="11"/>
              </w:rPr>
              <w:t>22.5%</w:t>
            </w:r>
          </w:p>
        </w:tc>
        <w:tc>
          <w:tcPr>
            <w:tcW w:type="dxa" w:w="1008"/>
            <w:vAlign w:val="center"/>
          </w:tcPr>
          <w:p>
            <w:pPr>
              <w:spacing w:after="0" w:before="0" w:line="240" w:lineRule="auto"/>
            </w:pPr>
            <w:r/>
            <w:r>
              <w:rPr>
                <w:rFonts w:ascii="Aptos" w:hAnsi="Aptos"/>
                <w:b w:val="0"/>
                <w:color w:val="111827"/>
                <w:sz w:val="11"/>
              </w:rPr>
              <w:t>% of orders</w:t>
            </w:r>
          </w:p>
        </w:tc>
        <w:tc>
          <w:tcPr>
            <w:tcW w:type="dxa" w:w="1224"/>
            <w:vAlign w:val="center"/>
          </w:tcPr>
          <w:p>
            <w:pPr>
              <w:spacing w:after="0" w:before="0" w:line="240" w:lineRule="auto"/>
            </w:pPr>
            <w:r/>
            <w:r>
              <w:rPr>
                <w:rFonts w:ascii="Aptos" w:hAnsi="Aptos"/>
                <w:b w:val="0"/>
                <w:color w:val="111827"/>
                <w:sz w:val="11"/>
              </w:rPr>
              <w:t>Assumption/proxy</w:t>
            </w:r>
          </w:p>
        </w:tc>
        <w:tc>
          <w:tcPr>
            <w:tcW w:type="dxa" w:w="3096"/>
            <w:vAlign w:val="center"/>
          </w:tcPr>
          <w:p>
            <w:pPr>
              <w:spacing w:after="0" w:before="0" w:line="240" w:lineRule="auto"/>
            </w:pPr>
            <w:r/>
            <w:r>
              <w:rPr>
                <w:rFonts w:ascii="Aptos" w:hAnsi="Aptos"/>
                <w:b w:val="0"/>
                <w:color w:val="111827"/>
                <w:sz w:val="11"/>
              </w:rPr>
              <w:t>Category-specific population rates are not consistently disclosed; broad online and furniture anchors used.</w:t>
            </w:r>
          </w:p>
        </w:tc>
        <w:tc>
          <w:tcPr>
            <w:tcW w:type="dxa" w:w="3024"/>
            <w:vAlign w:val="center"/>
          </w:tcPr>
          <w:p>
            <w:pPr>
              <w:spacing w:after="0" w:before="0" w:line="240" w:lineRule="auto"/>
            </w:pPr>
            <w:r/>
            <w:r>
              <w:rPr>
                <w:rFonts w:ascii="Aptos" w:hAnsi="Aptos"/>
                <w:b w:val="0"/>
                <w:color w:val="111827"/>
                <w:sz w:val="11"/>
              </w:rPr>
              <w:t>Scales expected return tax per order linearly.</w:t>
            </w:r>
          </w:p>
        </w:tc>
        <w:tc>
          <w:tcPr>
            <w:tcW w:type="dxa" w:w="1008"/>
            <w:vAlign w:val="center"/>
          </w:tcPr>
          <w:p>
            <w:pPr>
              <w:spacing w:after="0" w:before="0" w:line="240" w:lineRule="auto"/>
            </w:pPr>
            <w:r/>
            <w:r>
              <w:rPr>
                <w:rFonts w:ascii="Aptos" w:hAnsi="Aptos"/>
                <w:b w:val="0"/>
                <w:color w:val="111827"/>
                <w:sz w:val="11"/>
              </w:rPr>
              <w:t>S34; S40; P01</w:t>
            </w:r>
          </w:p>
        </w:tc>
      </w:tr>
      <w:tr>
        <w:tc>
          <w:tcPr>
            <w:tcW w:type="dxa" w:w="1728"/>
            <w:vAlign w:val="center"/>
            <w:shd w:fill="F5F7FA"/>
          </w:tcPr>
          <w:p>
            <w:pPr>
              <w:spacing w:after="0" w:before="0" w:line="240" w:lineRule="auto"/>
            </w:pPr>
            <w:r/>
            <w:r>
              <w:rPr>
                <w:rFonts w:ascii="Aptos" w:hAnsi="Aptos"/>
                <w:b/>
                <w:color w:val="111827"/>
                <w:sz w:val="11"/>
              </w:rPr>
              <w:t>Inspection minutes</w:t>
            </w:r>
          </w:p>
        </w:tc>
        <w:tc>
          <w:tcPr>
            <w:tcW w:type="dxa" w:w="2088"/>
            <w:vAlign w:val="center"/>
            <w:shd w:fill="F5F7FA"/>
          </w:tcPr>
          <w:p>
            <w:pPr>
              <w:spacing w:after="0" w:before="0" w:line="240" w:lineRule="auto"/>
            </w:pPr>
            <w:r/>
            <w:r>
              <w:rPr>
                <w:rFonts w:ascii="Aptos" w:hAnsi="Aptos"/>
                <w:b w:val="0"/>
                <w:color w:val="111827"/>
                <w:sz w:val="11"/>
              </w:rPr>
              <w:t>Furniture product ($500)</w:t>
            </w:r>
          </w:p>
        </w:tc>
        <w:tc>
          <w:tcPr>
            <w:tcW w:type="dxa" w:w="936"/>
            <w:vAlign w:val="center"/>
            <w:shd w:fill="F5F7FA"/>
          </w:tcPr>
          <w:p>
            <w:pPr>
              <w:spacing w:after="0" w:before="0" w:line="240" w:lineRule="auto"/>
            </w:pPr>
            <w:r/>
            <w:r>
              <w:rPr>
                <w:rFonts w:ascii="Aptos" w:hAnsi="Aptos"/>
                <w:b w:val="0"/>
                <w:color w:val="111827"/>
                <w:sz w:val="11"/>
              </w:rPr>
              <w:t>15.00</w:t>
            </w:r>
          </w:p>
        </w:tc>
        <w:tc>
          <w:tcPr>
            <w:tcW w:type="dxa" w:w="1008"/>
            <w:vAlign w:val="center"/>
            <w:shd w:fill="F5F7FA"/>
          </w:tcPr>
          <w:p>
            <w:pPr>
              <w:spacing w:after="0" w:before="0" w:line="240" w:lineRule="auto"/>
            </w:pPr>
            <w:r/>
            <w:r>
              <w:rPr>
                <w:rFonts w:ascii="Aptos" w:hAnsi="Aptos"/>
                <w:b w:val="0"/>
                <w:color w:val="111827"/>
                <w:sz w:val="11"/>
              </w:rPr>
              <w:t>20.00</w:t>
            </w:r>
          </w:p>
        </w:tc>
        <w:tc>
          <w:tcPr>
            <w:tcW w:type="dxa" w:w="936"/>
            <w:vAlign w:val="center"/>
            <w:shd w:fill="F5F7FA"/>
          </w:tcPr>
          <w:p>
            <w:pPr>
              <w:spacing w:after="0" w:before="0" w:line="240" w:lineRule="auto"/>
            </w:pPr>
            <w:r/>
            <w:r>
              <w:rPr>
                <w:rFonts w:ascii="Aptos" w:hAnsi="Aptos"/>
                <w:b w:val="0"/>
                <w:color w:val="111827"/>
                <w:sz w:val="11"/>
              </w:rPr>
              <w:t>30.00</w:t>
            </w:r>
          </w:p>
        </w:tc>
        <w:tc>
          <w:tcPr>
            <w:tcW w:type="dxa" w:w="1008"/>
            <w:vAlign w:val="center"/>
            <w:shd w:fill="F5F7FA"/>
          </w:tcPr>
          <w:p>
            <w:pPr>
              <w:spacing w:after="0" w:before="0" w:line="240" w:lineRule="auto"/>
            </w:pPr>
            <w:r/>
            <w:r>
              <w:rPr>
                <w:rFonts w:ascii="Aptos" w:hAnsi="Aptos"/>
                <w:b w:val="0"/>
                <w:color w:val="111827"/>
                <w:sz w:val="11"/>
              </w:rPr>
              <w:t>minutes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Labor minutes are a named research gap.</w:t>
            </w:r>
          </w:p>
        </w:tc>
        <w:tc>
          <w:tcPr>
            <w:tcW w:type="dxa" w:w="3024"/>
            <w:vAlign w:val="center"/>
            <w:shd w:fill="F5F7FA"/>
          </w:tcPr>
          <w:p>
            <w:pPr>
              <w:spacing w:after="0" w:before="0" w:line="240" w:lineRule="auto"/>
            </w:pPr>
            <w:r/>
            <w:r>
              <w:rPr>
                <w:rFonts w:ascii="Aptos" w:hAnsi="Aptos"/>
                <w:b w:val="0"/>
                <w:color w:val="111827"/>
                <w:sz w:val="11"/>
              </w:rPr>
              <w:t>Can flip retrieval decisions for low-value items.</w:t>
            </w:r>
          </w:p>
        </w:tc>
        <w:tc>
          <w:tcPr>
            <w:tcW w:type="dxa" w:w="1008"/>
            <w:vAlign w:val="center"/>
            <w:shd w:fill="F5F7FA"/>
          </w:tcPr>
          <w:p>
            <w:pPr>
              <w:spacing w:after="0" w:before="0" w:line="240" w:lineRule="auto"/>
            </w:pPr>
            <w:r/>
            <w:r>
              <w:rPr>
                <w:rFonts w:ascii="Aptos" w:hAnsi="Aptos"/>
                <w:b w:val="0"/>
                <w:color w:val="111827"/>
                <w:sz w:val="11"/>
              </w:rPr>
              <w:t>P01</w:t>
            </w:r>
          </w:p>
        </w:tc>
      </w:tr>
      <w:tr>
        <w:tc>
          <w:tcPr>
            <w:tcW w:type="dxa" w:w="1728"/>
            <w:vAlign w:val="center"/>
          </w:tcPr>
          <w:p>
            <w:pPr>
              <w:spacing w:after="0" w:before="0" w:line="240" w:lineRule="auto"/>
            </w:pPr>
            <w:r/>
            <w:r>
              <w:rPr>
                <w:rFonts w:ascii="Aptos" w:hAnsi="Aptos"/>
                <w:b/>
                <w:color w:val="111827"/>
                <w:sz w:val="11"/>
              </w:rPr>
              <w:t>Monthly product depreciation</w:t>
            </w:r>
          </w:p>
        </w:tc>
        <w:tc>
          <w:tcPr>
            <w:tcW w:type="dxa" w:w="2088"/>
            <w:vAlign w:val="center"/>
          </w:tcPr>
          <w:p>
            <w:pPr>
              <w:spacing w:after="0" w:before="0" w:line="240" w:lineRule="auto"/>
            </w:pPr>
            <w:r/>
            <w:r>
              <w:rPr>
                <w:rFonts w:ascii="Aptos" w:hAnsi="Aptos"/>
                <w:b w:val="0"/>
                <w:color w:val="111827"/>
                <w:sz w:val="11"/>
              </w:rPr>
              <w:t>Furniture product ($500)</w:t>
            </w:r>
          </w:p>
        </w:tc>
        <w:tc>
          <w:tcPr>
            <w:tcW w:type="dxa" w:w="936"/>
            <w:vAlign w:val="center"/>
          </w:tcPr>
          <w:p>
            <w:pPr>
              <w:spacing w:after="0" w:before="0" w:line="240" w:lineRule="auto"/>
            </w:pPr>
            <w:r/>
            <w:r>
              <w:rPr>
                <w:rFonts w:ascii="Aptos" w:hAnsi="Aptos"/>
                <w:b w:val="0"/>
                <w:color w:val="111827"/>
                <w:sz w:val="11"/>
              </w:rPr>
              <w:t>0.4%</w:t>
            </w:r>
          </w:p>
        </w:tc>
        <w:tc>
          <w:tcPr>
            <w:tcW w:type="dxa" w:w="1008"/>
            <w:vAlign w:val="center"/>
          </w:tcPr>
          <w:p>
            <w:pPr>
              <w:spacing w:after="0" w:before="0" w:line="240" w:lineRule="auto"/>
            </w:pPr>
            <w:r/>
            <w:r>
              <w:rPr>
                <w:rFonts w:ascii="Aptos" w:hAnsi="Aptos"/>
                <w:b w:val="0"/>
                <w:color w:val="111827"/>
                <w:sz w:val="11"/>
              </w:rPr>
              <w:t>0.7%</w:t>
            </w:r>
          </w:p>
        </w:tc>
        <w:tc>
          <w:tcPr>
            <w:tcW w:type="dxa" w:w="936"/>
            <w:vAlign w:val="center"/>
          </w:tcPr>
          <w:p>
            <w:pPr>
              <w:spacing w:after="0" w:before="0" w:line="240" w:lineRule="auto"/>
            </w:pPr>
            <w:r/>
            <w:r>
              <w:rPr>
                <w:rFonts w:ascii="Aptos" w:hAnsi="Aptos"/>
                <w:b w:val="0"/>
                <w:color w:val="111827"/>
                <w:sz w:val="11"/>
              </w:rPr>
              <w:t>1.4%</w:t>
            </w:r>
          </w:p>
        </w:tc>
        <w:tc>
          <w:tcPr>
            <w:tcW w:type="dxa" w:w="1008"/>
            <w:vAlign w:val="center"/>
          </w:tcPr>
          <w:p>
            <w:pPr>
              <w:spacing w:after="0" w:before="0" w:line="240" w:lineRule="auto"/>
            </w:pPr>
            <w:r/>
            <w:r>
              <w:rPr>
                <w:rFonts w:ascii="Aptos" w:hAnsi="Aptos"/>
                <w:b w:val="0"/>
                <w:color w:val="111827"/>
                <w:sz w:val="11"/>
              </w:rPr>
              <w:t>% per month</w:t>
            </w:r>
          </w:p>
        </w:tc>
        <w:tc>
          <w:tcPr>
            <w:tcW w:type="dxa" w:w="1224"/>
            <w:vAlign w:val="center"/>
          </w:tcPr>
          <w:p>
            <w:pPr>
              <w:spacing w:after="0" w:before="0" w:line="240" w:lineRule="auto"/>
            </w:pPr>
            <w:r/>
            <w:r>
              <w:rPr>
                <w:rFonts w:ascii="Aptos" w:hAnsi="Aptos"/>
                <w:b w:val="0"/>
                <w:color w:val="111827"/>
                <w:sz w:val="11"/>
              </w:rPr>
              <w:t>Proxy/assumption</w:t>
            </w:r>
          </w:p>
        </w:tc>
        <w:tc>
          <w:tcPr>
            <w:tcW w:type="dxa" w:w="3096"/>
            <w:vAlign w:val="center"/>
          </w:tcPr>
          <w:p>
            <w:pPr>
              <w:spacing w:after="0" w:before="0" w:line="240" w:lineRule="auto"/>
            </w:pPr>
            <w:r/>
            <w:r>
              <w:rPr>
                <w:rFonts w:ascii="Aptos" w:hAnsi="Aptos"/>
                <w:b w:val="0"/>
                <w:color w:val="111827"/>
                <w:sz w:val="11"/>
              </w:rPr>
              <w:t>Electronics market evidence supports faster depreciation; other categories use lower proxies.</w:t>
            </w:r>
          </w:p>
        </w:tc>
        <w:tc>
          <w:tcPr>
            <w:tcW w:type="dxa" w:w="3024"/>
            <w:vAlign w:val="center"/>
          </w:tcPr>
          <w:p>
            <w:pPr>
              <w:spacing w:after="0" w:before="0" w:line="240" w:lineRule="auto"/>
            </w:pPr>
            <w:r/>
            <w:r>
              <w:rPr>
                <w:rFonts w:ascii="Aptos" w:hAnsi="Aptos"/>
                <w:b w:val="0"/>
                <w:color w:val="111827"/>
                <w:sz w:val="11"/>
              </w:rPr>
              <w:t>Penalizes slow resale and refurbishment.</w:t>
            </w:r>
          </w:p>
        </w:tc>
        <w:tc>
          <w:tcPr>
            <w:tcW w:type="dxa" w:w="1008"/>
            <w:vAlign w:val="center"/>
          </w:tcPr>
          <w:p>
            <w:pPr>
              <w:spacing w:after="0" w:before="0" w:line="240" w:lineRule="auto"/>
            </w:pPr>
            <w:r/>
            <w:r>
              <w:rPr>
                <w:rFonts w:ascii="Aptos" w:hAnsi="Aptos"/>
                <w:b w:val="0"/>
                <w:color w:val="111827"/>
                <w:sz w:val="11"/>
              </w:rPr>
              <w:t>S39; P02</w:t>
            </w:r>
          </w:p>
        </w:tc>
      </w:tr>
      <w:tr>
        <w:tc>
          <w:tcPr>
            <w:tcW w:type="dxa" w:w="1728"/>
            <w:vAlign w:val="center"/>
            <w:shd w:fill="F5F7FA"/>
          </w:tcPr>
          <w:p>
            <w:pPr>
              <w:spacing w:after="0" w:before="0" w:line="240" w:lineRule="auto"/>
            </w:pPr>
            <w:r/>
            <w:r>
              <w:rPr>
                <w:rFonts w:ascii="Aptos" w:hAnsi="Aptos"/>
                <w:b/>
                <w:color w:val="111827"/>
                <w:sz w:val="11"/>
              </w:rPr>
              <w:t>Confirmed substitution/counterfeit probability</w:t>
            </w:r>
          </w:p>
        </w:tc>
        <w:tc>
          <w:tcPr>
            <w:tcW w:type="dxa" w:w="2088"/>
            <w:vAlign w:val="center"/>
            <w:shd w:fill="F5F7FA"/>
          </w:tcPr>
          <w:p>
            <w:pPr>
              <w:spacing w:after="0" w:before="0" w:line="240" w:lineRule="auto"/>
            </w:pPr>
            <w:r/>
            <w:r>
              <w:rPr>
                <w:rFonts w:ascii="Aptos" w:hAnsi="Aptos"/>
                <w:b w:val="0"/>
                <w:color w:val="111827"/>
                <w:sz w:val="11"/>
              </w:rPr>
              <w:t>Furniture product ($500)</w:t>
            </w:r>
          </w:p>
        </w:tc>
        <w:tc>
          <w:tcPr>
            <w:tcW w:type="dxa" w:w="936"/>
            <w:vAlign w:val="center"/>
            <w:shd w:fill="F5F7FA"/>
          </w:tcPr>
          <w:p>
            <w:pPr>
              <w:spacing w:after="0" w:before="0" w:line="240" w:lineRule="auto"/>
            </w:pPr>
            <w:r/>
            <w:r>
              <w:rPr>
                <w:rFonts w:ascii="Aptos" w:hAnsi="Aptos"/>
                <w:b w:val="0"/>
                <w:color w:val="111827"/>
                <w:sz w:val="11"/>
              </w:rPr>
              <w:t>0.0%</w:t>
            </w:r>
          </w:p>
        </w:tc>
        <w:tc>
          <w:tcPr>
            <w:tcW w:type="dxa" w:w="1008"/>
            <w:vAlign w:val="center"/>
            <w:shd w:fill="F5F7FA"/>
          </w:tcPr>
          <w:p>
            <w:pPr>
              <w:spacing w:after="0" w:before="0" w:line="240" w:lineRule="auto"/>
            </w:pPr>
            <w:r/>
            <w:r>
              <w:rPr>
                <w:rFonts w:ascii="Aptos" w:hAnsi="Aptos"/>
                <w:b w:val="0"/>
                <w:color w:val="111827"/>
                <w:sz w:val="11"/>
              </w:rPr>
              <w:t>1.0%</w:t>
            </w:r>
          </w:p>
        </w:tc>
        <w:tc>
          <w:tcPr>
            <w:tcW w:type="dxa" w:w="936"/>
            <w:vAlign w:val="center"/>
            <w:shd w:fill="F5F7FA"/>
          </w:tcPr>
          <w:p>
            <w:pPr>
              <w:spacing w:after="0" w:before="0" w:line="240" w:lineRule="auto"/>
            </w:pPr>
            <w:r/>
            <w:r>
              <w:rPr>
                <w:rFonts w:ascii="Aptos" w:hAnsi="Aptos"/>
                <w:b w:val="0"/>
                <w:color w:val="111827"/>
                <w:sz w:val="11"/>
              </w:rPr>
              <w:t>2.0%</w:t>
            </w:r>
          </w:p>
        </w:tc>
        <w:tc>
          <w:tcPr>
            <w:tcW w:type="dxa" w:w="1008"/>
            <w:vAlign w:val="center"/>
            <w:shd w:fill="F5F7FA"/>
          </w:tcPr>
          <w:p>
            <w:pPr>
              <w:spacing w:after="0" w:before="0" w:line="240" w:lineRule="auto"/>
            </w:pPr>
            <w:r/>
            <w:r>
              <w:rPr>
                <w:rFonts w:ascii="Aptos" w:hAnsi="Aptos"/>
                <w:b w:val="0"/>
                <w:color w:val="111827"/>
                <w:sz w:val="11"/>
              </w:rPr>
              <w:t>% of returns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Industry estimates combine fraud, abuse, and claims and are not category-specific; model uses narrower confirmed-event probabilities.</w:t>
            </w:r>
          </w:p>
        </w:tc>
        <w:tc>
          <w:tcPr>
            <w:tcW w:type="dxa" w:w="3024"/>
            <w:vAlign w:val="center"/>
            <w:shd w:fill="F5F7FA"/>
          </w:tcPr>
          <w:p>
            <w:pPr>
              <w:spacing w:after="0" w:before="0" w:line="240" w:lineRule="auto"/>
            </w:pPr>
            <w:r/>
            <w:r>
              <w:rPr>
                <w:rFonts w:ascii="Aptos" w:hAnsi="Aptos"/>
                <w:b w:val="0"/>
                <w:color w:val="111827"/>
                <w:sz w:val="11"/>
              </w:rPr>
              <w:t>Reduces expected recovery and can justify serial/authentication controls.</w:t>
            </w:r>
          </w:p>
        </w:tc>
        <w:tc>
          <w:tcPr>
            <w:tcW w:type="dxa" w:w="1008"/>
            <w:vAlign w:val="center"/>
            <w:shd w:fill="F5F7FA"/>
          </w:tcPr>
          <w:p>
            <w:pPr>
              <w:spacing w:after="0" w:before="0" w:line="240" w:lineRule="auto"/>
            </w:pPr>
            <w:r/>
            <w:r>
              <w:rPr>
                <w:rFonts w:ascii="Aptos" w:hAnsi="Aptos"/>
                <w:b w:val="0"/>
                <w:color w:val="111827"/>
                <w:sz w:val="11"/>
              </w:rPr>
              <w:t>S31; P01</w:t>
            </w:r>
          </w:p>
        </w:tc>
      </w:tr>
      <w:tr>
        <w:tc>
          <w:tcPr>
            <w:tcW w:type="dxa" w:w="1728"/>
            <w:vAlign w:val="center"/>
          </w:tcPr>
          <w:p>
            <w:pPr>
              <w:spacing w:after="0" w:before="0" w:line="240" w:lineRule="auto"/>
            </w:pPr>
            <w:r/>
            <w:r>
              <w:rPr>
                <w:rFonts w:ascii="Aptos" w:hAnsi="Aptos"/>
                <w:b/>
                <w:color w:val="111827"/>
                <w:sz w:val="11"/>
              </w:rPr>
              <w:t>Landed product cost (C)</w:t>
            </w:r>
          </w:p>
        </w:tc>
        <w:tc>
          <w:tcPr>
            <w:tcW w:type="dxa" w:w="2088"/>
            <w:vAlign w:val="center"/>
          </w:tcPr>
          <w:p>
            <w:pPr>
              <w:spacing w:after="0" w:before="0" w:line="240" w:lineRule="auto"/>
            </w:pPr>
            <w:r/>
            <w:r>
              <w:rPr>
                <w:rFonts w:ascii="Aptos" w:hAnsi="Aptos"/>
                <w:b w:val="0"/>
                <w:color w:val="111827"/>
                <w:sz w:val="11"/>
              </w:rPr>
              <w:t>Premium apparel/accessory ($500)</w:t>
            </w:r>
          </w:p>
        </w:tc>
        <w:tc>
          <w:tcPr>
            <w:tcW w:type="dxa" w:w="936"/>
            <w:vAlign w:val="center"/>
          </w:tcPr>
          <w:p>
            <w:pPr>
              <w:spacing w:after="0" w:before="0" w:line="240" w:lineRule="auto"/>
            </w:pPr>
            <w:r/>
            <w:r>
              <w:rPr>
                <w:rFonts w:ascii="Aptos" w:hAnsi="Aptos"/>
                <w:b w:val="0"/>
                <w:color w:val="111827"/>
                <w:sz w:val="11"/>
              </w:rPr>
              <w:t>$100.00</w:t>
            </w:r>
          </w:p>
        </w:tc>
        <w:tc>
          <w:tcPr>
            <w:tcW w:type="dxa" w:w="1008"/>
            <w:vAlign w:val="center"/>
          </w:tcPr>
          <w:p>
            <w:pPr>
              <w:spacing w:after="0" w:before="0" w:line="240" w:lineRule="auto"/>
            </w:pPr>
            <w:r/>
            <w:r>
              <w:rPr>
                <w:rFonts w:ascii="Aptos" w:hAnsi="Aptos"/>
                <w:b w:val="0"/>
                <w:color w:val="111827"/>
                <w:sz w:val="11"/>
              </w:rPr>
              <w:t>$150.00</w:t>
            </w:r>
          </w:p>
        </w:tc>
        <w:tc>
          <w:tcPr>
            <w:tcW w:type="dxa" w:w="936"/>
            <w:vAlign w:val="center"/>
          </w:tcPr>
          <w:p>
            <w:pPr>
              <w:spacing w:after="0" w:before="0" w:line="240" w:lineRule="auto"/>
            </w:pPr>
            <w:r/>
            <w:r>
              <w:rPr>
                <w:rFonts w:ascii="Aptos" w:hAnsi="Aptos"/>
                <w:b w:val="0"/>
                <w:color w:val="111827"/>
                <w:sz w:val="11"/>
              </w:rPr>
              <w:t>$200.00</w:t>
            </w:r>
          </w:p>
        </w:tc>
        <w:tc>
          <w:tcPr>
            <w:tcW w:type="dxa" w:w="1008"/>
            <w:vAlign w:val="center"/>
          </w:tcPr>
          <w:p>
            <w:pPr>
              <w:spacing w:after="0" w:before="0" w:line="240" w:lineRule="auto"/>
            </w:pPr>
            <w:r/>
            <w:r>
              <w:rPr>
                <w:rFonts w:ascii="Aptos" w:hAnsi="Aptos"/>
                <w:b w:val="0"/>
                <w:color w:val="111827"/>
                <w:sz w:val="11"/>
              </w:rPr>
              <w:t>$</w:t>
            </w:r>
          </w:p>
        </w:tc>
        <w:tc>
          <w:tcPr>
            <w:tcW w:type="dxa" w:w="1224"/>
            <w:vAlign w:val="center"/>
          </w:tcPr>
          <w:p>
            <w:pPr>
              <w:spacing w:after="0" w:before="0" w:line="240" w:lineRule="auto"/>
            </w:pPr>
            <w:r/>
            <w:r>
              <w:rPr>
                <w:rFonts w:ascii="Aptos" w:hAnsi="Aptos"/>
                <w:b w:val="0"/>
                <w:color w:val="111827"/>
                <w:sz w:val="11"/>
              </w:rPr>
              <w:t>Assumption</w:t>
            </w:r>
          </w:p>
        </w:tc>
        <w:tc>
          <w:tcPr>
            <w:tcW w:type="dxa" w:w="3096"/>
            <w:vAlign w:val="center"/>
          </w:tcPr>
          <w:p>
            <w:pPr>
              <w:spacing w:after="0" w:before="0" w:line="240" w:lineRule="auto"/>
            </w:pPr>
            <w:r/>
            <w:r>
              <w:rPr>
                <w:rFonts w:ascii="Aptos" w:hAnsi="Aptos"/>
                <w:b w:val="0"/>
                <w:color w:val="111827"/>
                <w:sz w:val="11"/>
              </w:rPr>
              <w:t>No product-level COGS supplied; calibrated to category margin structure.</w:t>
            </w:r>
          </w:p>
        </w:tc>
        <w:tc>
          <w:tcPr>
            <w:tcW w:type="dxa" w:w="3024"/>
            <w:vAlign w:val="center"/>
          </w:tcPr>
          <w:p>
            <w:pPr>
              <w:spacing w:after="0" w:before="0" w:line="240" w:lineRule="auto"/>
            </w:pPr>
            <w:r/>
            <w:r>
              <w:rPr>
                <w:rFonts w:ascii="Aptos" w:hAnsi="Aptos"/>
                <w:b w:val="0"/>
                <w:color w:val="111827"/>
                <w:sz w:val="11"/>
              </w:rPr>
              <w:t>Does not change return-tax dollars under the specified incremental formula, but changes post-return loss and tax as % of kept contribution.</w:t>
            </w:r>
          </w:p>
        </w:tc>
        <w:tc>
          <w:tcPr>
            <w:tcW w:type="dxa" w:w="1008"/>
            <w:vAlign w:val="center"/>
          </w:tcPr>
          <w:p>
            <w:pPr>
              <w:spacing w:after="0" w:before="0" w:line="240" w:lineRule="auto"/>
            </w:pPr>
            <w:r/>
            <w:r>
              <w:rPr>
                <w:rFonts w:ascii="Aptos" w:hAnsi="Aptos"/>
                <w:b w:val="0"/>
                <w:color w:val="111827"/>
                <w:sz w:val="11"/>
              </w:rPr>
              <w:t>P01; P02</w:t>
            </w:r>
          </w:p>
        </w:tc>
      </w:tr>
      <w:tr>
        <w:tc>
          <w:tcPr>
            <w:tcW w:type="dxa" w:w="1728"/>
            <w:vAlign w:val="center"/>
            <w:shd w:fill="F5F7FA"/>
          </w:tcPr>
          <w:p>
            <w:pPr>
              <w:spacing w:after="0" w:before="0" w:line="240" w:lineRule="auto"/>
            </w:pPr>
            <w:r/>
            <w:r>
              <w:rPr>
                <w:rFonts w:ascii="Aptos" w:hAnsi="Aptos"/>
                <w:b/>
                <w:color w:val="111827"/>
                <w:sz w:val="11"/>
              </w:rPr>
              <w:t>Outbound fulfillment and shipping (Fo)</w:t>
            </w:r>
          </w:p>
        </w:tc>
        <w:tc>
          <w:tcPr>
            <w:tcW w:type="dxa" w:w="2088"/>
            <w:vAlign w:val="center"/>
            <w:shd w:fill="F5F7FA"/>
          </w:tcPr>
          <w:p>
            <w:pPr>
              <w:spacing w:after="0" w:before="0" w:line="240" w:lineRule="auto"/>
            </w:pPr>
            <w:r/>
            <w:r>
              <w:rPr>
                <w:rFonts w:ascii="Aptos" w:hAnsi="Aptos"/>
                <w:b w:val="0"/>
                <w:color w:val="111827"/>
                <w:sz w:val="11"/>
              </w:rPr>
              <w:t>Premium apparel/accessory ($500)</w:t>
            </w:r>
          </w:p>
        </w:tc>
        <w:tc>
          <w:tcPr>
            <w:tcW w:type="dxa" w:w="936"/>
            <w:vAlign w:val="center"/>
            <w:shd w:fill="F5F7FA"/>
          </w:tcPr>
          <w:p>
            <w:pPr>
              <w:spacing w:after="0" w:before="0" w:line="240" w:lineRule="auto"/>
            </w:pPr>
            <w:r/>
            <w:r>
              <w:rPr>
                <w:rFonts w:ascii="Aptos" w:hAnsi="Aptos"/>
                <w:b w:val="0"/>
                <w:color w:val="111827"/>
                <w:sz w:val="11"/>
              </w:rPr>
              <w:t>$9.00</w:t>
            </w:r>
          </w:p>
        </w:tc>
        <w:tc>
          <w:tcPr>
            <w:tcW w:type="dxa" w:w="1008"/>
            <w:vAlign w:val="center"/>
            <w:shd w:fill="F5F7FA"/>
          </w:tcPr>
          <w:p>
            <w:pPr>
              <w:spacing w:after="0" w:before="0" w:line="240" w:lineRule="auto"/>
            </w:pPr>
            <w:r/>
            <w:r>
              <w:rPr>
                <w:rFonts w:ascii="Aptos" w:hAnsi="Aptos"/>
                <w:b w:val="0"/>
                <w:color w:val="111827"/>
                <w:sz w:val="11"/>
              </w:rPr>
              <w:t>$12.00</w:t>
            </w:r>
          </w:p>
        </w:tc>
        <w:tc>
          <w:tcPr>
            <w:tcW w:type="dxa" w:w="936"/>
            <w:vAlign w:val="center"/>
            <w:shd w:fill="F5F7FA"/>
          </w:tcPr>
          <w:p>
            <w:pPr>
              <w:spacing w:after="0" w:before="0" w:line="240" w:lineRule="auto"/>
            </w:pPr>
            <w:r/>
            <w:r>
              <w:rPr>
                <w:rFonts w:ascii="Aptos" w:hAnsi="Aptos"/>
                <w:b w:val="0"/>
                <w:color w:val="111827"/>
                <w:sz w:val="11"/>
              </w:rPr>
              <w:t>$16.20</w:t>
            </w:r>
          </w:p>
        </w:tc>
        <w:tc>
          <w:tcPr>
            <w:tcW w:type="dxa" w:w="1008"/>
            <w:vAlign w:val="center"/>
            <w:shd w:fill="F5F7FA"/>
          </w:tcPr>
          <w:p>
            <w:pPr>
              <w:spacing w:after="0" w:before="0" w:line="240" w:lineRule="auto"/>
            </w:pPr>
            <w:r/>
            <w:r>
              <w:rPr>
                <w:rFonts w:ascii="Aptos" w:hAnsi="Aptos"/>
                <w:b w:val="0"/>
                <w:color w:val="111827"/>
                <w:sz w:val="11"/>
              </w:rPr>
              <w:t>$</w:t>
            </w:r>
          </w:p>
        </w:tc>
        <w:tc>
          <w:tcPr>
            <w:tcW w:type="dxa" w:w="1224"/>
            <w:vAlign w:val="center"/>
            <w:shd w:fill="F5F7FA"/>
          </w:tcPr>
          <w:p>
            <w:pPr>
              <w:spacing w:after="0" w:before="0" w:line="240" w:lineRule="auto"/>
            </w:pPr>
            <w:r/>
            <w:r>
              <w:rPr>
                <w:rFonts w:ascii="Aptos" w:hAnsi="Aptos"/>
                <w:b w:val="0"/>
                <w:color w:val="111827"/>
                <w:sz w:val="11"/>
              </w:rPr>
              <w:t>Proxy</w:t>
            </w:r>
          </w:p>
        </w:tc>
        <w:tc>
          <w:tcPr>
            <w:tcW w:type="dxa" w:w="3096"/>
            <w:vAlign w:val="center"/>
            <w:shd w:fill="F5F7FA"/>
          </w:tcPr>
          <w:p>
            <w:pPr>
              <w:spacing w:after="0" w:before="0" w:line="240" w:lineRule="auto"/>
            </w:pPr>
            <w:r/>
            <w:r>
              <w:rPr>
                <w:rFonts w:ascii="Aptos" w:hAnsi="Aptos"/>
                <w:b w:val="0"/>
                <w:color w:val="111827"/>
                <w:sz w:val="11"/>
              </w:rPr>
              <w:t>Calibrated to package size and public carrier/WFS anchors; actual negotiated rates unknown.</w:t>
            </w:r>
          </w:p>
        </w:tc>
        <w:tc>
          <w:tcPr>
            <w:tcW w:type="dxa" w:w="3024"/>
            <w:vAlign w:val="center"/>
            <w:shd w:fill="F5F7FA"/>
          </w:tcPr>
          <w:p>
            <w:pPr>
              <w:spacing w:after="0" w:before="0" w:line="240" w:lineRule="auto"/>
            </w:pPr>
            <w:r/>
            <w:r>
              <w:rPr>
                <w:rFonts w:ascii="Aptos" w:hAnsi="Aptos"/>
                <w:b w:val="0"/>
                <w:color w:val="111827"/>
                <w:sz w:val="11"/>
              </w:rPr>
              <w:t>Changes kept and post-return contribution equally; does not change incremental return-tax dollars unless used again as secondary transport.</w:t>
            </w:r>
          </w:p>
        </w:tc>
        <w:tc>
          <w:tcPr>
            <w:tcW w:type="dxa" w:w="1008"/>
            <w:vAlign w:val="center"/>
            <w:shd w:fill="F5F7FA"/>
          </w:tcPr>
          <w:p>
            <w:pPr>
              <w:spacing w:after="0" w:before="0" w:line="240" w:lineRule="auto"/>
            </w:pPr>
            <w:r/>
            <w:r>
              <w:rPr>
                <w:rFonts w:ascii="Aptos" w:hAnsi="Aptos"/>
                <w:b w:val="0"/>
                <w:color w:val="111827"/>
                <w:sz w:val="11"/>
              </w:rPr>
              <w:t>S17; S21-S26</w:t>
            </w:r>
          </w:p>
        </w:tc>
      </w:tr>
      <w:tr>
        <w:tc>
          <w:tcPr>
            <w:tcW w:type="dxa" w:w="1728"/>
            <w:vAlign w:val="center"/>
          </w:tcPr>
          <w:p>
            <w:pPr>
              <w:spacing w:after="0" w:before="0" w:line="240" w:lineRule="auto"/>
            </w:pPr>
            <w:r/>
            <w:r>
              <w:rPr>
                <w:rFonts w:ascii="Aptos" w:hAnsi="Aptos"/>
                <w:b/>
                <w:color w:val="111827"/>
                <w:sz w:val="11"/>
              </w:rPr>
              <w:t>Return rate (p_r)</w:t>
            </w:r>
          </w:p>
        </w:tc>
        <w:tc>
          <w:tcPr>
            <w:tcW w:type="dxa" w:w="2088"/>
            <w:vAlign w:val="center"/>
          </w:tcPr>
          <w:p>
            <w:pPr>
              <w:spacing w:after="0" w:before="0" w:line="240" w:lineRule="auto"/>
            </w:pPr>
            <w:r/>
            <w:r>
              <w:rPr>
                <w:rFonts w:ascii="Aptos" w:hAnsi="Aptos"/>
                <w:b w:val="0"/>
                <w:color w:val="111827"/>
                <w:sz w:val="11"/>
              </w:rPr>
              <w:t>Premium apparel/accessory ($500)</w:t>
            </w:r>
          </w:p>
        </w:tc>
        <w:tc>
          <w:tcPr>
            <w:tcW w:type="dxa" w:w="936"/>
            <w:vAlign w:val="center"/>
          </w:tcPr>
          <w:p>
            <w:pPr>
              <w:spacing w:after="0" w:before="0" w:line="240" w:lineRule="auto"/>
            </w:pPr>
            <w:r/>
            <w:r>
              <w:rPr>
                <w:rFonts w:ascii="Aptos" w:hAnsi="Aptos"/>
                <w:b w:val="0"/>
                <w:color w:val="111827"/>
                <w:sz w:val="11"/>
              </w:rPr>
              <w:t>15.0%</w:t>
            </w:r>
          </w:p>
        </w:tc>
        <w:tc>
          <w:tcPr>
            <w:tcW w:type="dxa" w:w="1008"/>
            <w:vAlign w:val="center"/>
          </w:tcPr>
          <w:p>
            <w:pPr>
              <w:spacing w:after="0" w:before="0" w:line="240" w:lineRule="auto"/>
            </w:pPr>
            <w:r/>
            <w:r>
              <w:rPr>
                <w:rFonts w:ascii="Aptos" w:hAnsi="Aptos"/>
                <w:b w:val="0"/>
                <w:color w:val="111827"/>
                <w:sz w:val="11"/>
              </w:rPr>
              <w:t>20.0%</w:t>
            </w:r>
          </w:p>
        </w:tc>
        <w:tc>
          <w:tcPr>
            <w:tcW w:type="dxa" w:w="936"/>
            <w:vAlign w:val="center"/>
          </w:tcPr>
          <w:p>
            <w:pPr>
              <w:spacing w:after="0" w:before="0" w:line="240" w:lineRule="auto"/>
            </w:pPr>
            <w:r/>
            <w:r>
              <w:rPr>
                <w:rFonts w:ascii="Aptos" w:hAnsi="Aptos"/>
                <w:b w:val="0"/>
                <w:color w:val="111827"/>
                <w:sz w:val="11"/>
              </w:rPr>
              <w:t>25.0%</w:t>
            </w:r>
          </w:p>
        </w:tc>
        <w:tc>
          <w:tcPr>
            <w:tcW w:type="dxa" w:w="1008"/>
            <w:vAlign w:val="center"/>
          </w:tcPr>
          <w:p>
            <w:pPr>
              <w:spacing w:after="0" w:before="0" w:line="240" w:lineRule="auto"/>
            </w:pPr>
            <w:r/>
            <w:r>
              <w:rPr>
                <w:rFonts w:ascii="Aptos" w:hAnsi="Aptos"/>
                <w:b w:val="0"/>
                <w:color w:val="111827"/>
                <w:sz w:val="11"/>
              </w:rPr>
              <w:t>% of orders</w:t>
            </w:r>
          </w:p>
        </w:tc>
        <w:tc>
          <w:tcPr>
            <w:tcW w:type="dxa" w:w="1224"/>
            <w:vAlign w:val="center"/>
          </w:tcPr>
          <w:p>
            <w:pPr>
              <w:spacing w:after="0" w:before="0" w:line="240" w:lineRule="auto"/>
            </w:pPr>
            <w:r/>
            <w:r>
              <w:rPr>
                <w:rFonts w:ascii="Aptos" w:hAnsi="Aptos"/>
                <w:b w:val="0"/>
                <w:color w:val="111827"/>
                <w:sz w:val="11"/>
              </w:rPr>
              <w:t>Assumption/proxy</w:t>
            </w:r>
          </w:p>
        </w:tc>
        <w:tc>
          <w:tcPr>
            <w:tcW w:type="dxa" w:w="3096"/>
            <w:vAlign w:val="center"/>
          </w:tcPr>
          <w:p>
            <w:pPr>
              <w:spacing w:after="0" w:before="0" w:line="240" w:lineRule="auto"/>
            </w:pPr>
            <w:r/>
            <w:r>
              <w:rPr>
                <w:rFonts w:ascii="Aptos" w:hAnsi="Aptos"/>
                <w:b w:val="0"/>
                <w:color w:val="111827"/>
                <w:sz w:val="11"/>
              </w:rPr>
              <w:t>Category-specific population rates are not consistently disclosed; broad online and furniture anchors used.</w:t>
            </w:r>
          </w:p>
        </w:tc>
        <w:tc>
          <w:tcPr>
            <w:tcW w:type="dxa" w:w="3024"/>
            <w:vAlign w:val="center"/>
          </w:tcPr>
          <w:p>
            <w:pPr>
              <w:spacing w:after="0" w:before="0" w:line="240" w:lineRule="auto"/>
            </w:pPr>
            <w:r/>
            <w:r>
              <w:rPr>
                <w:rFonts w:ascii="Aptos" w:hAnsi="Aptos"/>
                <w:b w:val="0"/>
                <w:color w:val="111827"/>
                <w:sz w:val="11"/>
              </w:rPr>
              <w:t>Scales expected return tax per order linearly.</w:t>
            </w:r>
          </w:p>
        </w:tc>
        <w:tc>
          <w:tcPr>
            <w:tcW w:type="dxa" w:w="1008"/>
            <w:vAlign w:val="center"/>
          </w:tcPr>
          <w:p>
            <w:pPr>
              <w:spacing w:after="0" w:before="0" w:line="240" w:lineRule="auto"/>
            </w:pPr>
            <w:r/>
            <w:r>
              <w:rPr>
                <w:rFonts w:ascii="Aptos" w:hAnsi="Aptos"/>
                <w:b w:val="0"/>
                <w:color w:val="111827"/>
                <w:sz w:val="11"/>
              </w:rPr>
              <w:t>S34; S40; P01</w:t>
            </w:r>
          </w:p>
        </w:tc>
      </w:tr>
      <w:tr>
        <w:tc>
          <w:tcPr>
            <w:tcW w:type="dxa" w:w="1728"/>
            <w:vAlign w:val="center"/>
            <w:shd w:fill="F5F7FA"/>
          </w:tcPr>
          <w:p>
            <w:pPr>
              <w:spacing w:after="0" w:before="0" w:line="240" w:lineRule="auto"/>
            </w:pPr>
            <w:r/>
            <w:r>
              <w:rPr>
                <w:rFonts w:ascii="Aptos" w:hAnsi="Aptos"/>
                <w:b/>
                <w:color w:val="111827"/>
                <w:sz w:val="11"/>
              </w:rPr>
              <w:t>Inspection minutes</w:t>
            </w:r>
          </w:p>
        </w:tc>
        <w:tc>
          <w:tcPr>
            <w:tcW w:type="dxa" w:w="2088"/>
            <w:vAlign w:val="center"/>
            <w:shd w:fill="F5F7FA"/>
          </w:tcPr>
          <w:p>
            <w:pPr>
              <w:spacing w:after="0" w:before="0" w:line="240" w:lineRule="auto"/>
            </w:pPr>
            <w:r/>
            <w:r>
              <w:rPr>
                <w:rFonts w:ascii="Aptos" w:hAnsi="Aptos"/>
                <w:b w:val="0"/>
                <w:color w:val="111827"/>
                <w:sz w:val="11"/>
              </w:rPr>
              <w:t>Premium apparel/accessory ($500)</w:t>
            </w:r>
          </w:p>
        </w:tc>
        <w:tc>
          <w:tcPr>
            <w:tcW w:type="dxa" w:w="936"/>
            <w:vAlign w:val="center"/>
            <w:shd w:fill="F5F7FA"/>
          </w:tcPr>
          <w:p>
            <w:pPr>
              <w:spacing w:after="0" w:before="0" w:line="240" w:lineRule="auto"/>
            </w:pPr>
            <w:r/>
            <w:r>
              <w:rPr>
                <w:rFonts w:ascii="Aptos" w:hAnsi="Aptos"/>
                <w:b w:val="0"/>
                <w:color w:val="111827"/>
                <w:sz w:val="11"/>
              </w:rPr>
              <w:t>7.50</w:t>
            </w:r>
          </w:p>
        </w:tc>
        <w:tc>
          <w:tcPr>
            <w:tcW w:type="dxa" w:w="1008"/>
            <w:vAlign w:val="center"/>
            <w:shd w:fill="F5F7FA"/>
          </w:tcPr>
          <w:p>
            <w:pPr>
              <w:spacing w:after="0" w:before="0" w:line="240" w:lineRule="auto"/>
            </w:pPr>
            <w:r/>
            <w:r>
              <w:rPr>
                <w:rFonts w:ascii="Aptos" w:hAnsi="Aptos"/>
                <w:b w:val="0"/>
                <w:color w:val="111827"/>
                <w:sz w:val="11"/>
              </w:rPr>
              <w:t>10.00</w:t>
            </w:r>
          </w:p>
        </w:tc>
        <w:tc>
          <w:tcPr>
            <w:tcW w:type="dxa" w:w="936"/>
            <w:vAlign w:val="center"/>
            <w:shd w:fill="F5F7FA"/>
          </w:tcPr>
          <w:p>
            <w:pPr>
              <w:spacing w:after="0" w:before="0" w:line="240" w:lineRule="auto"/>
            </w:pPr>
            <w:r/>
            <w:r>
              <w:rPr>
                <w:rFonts w:ascii="Aptos" w:hAnsi="Aptos"/>
                <w:b w:val="0"/>
                <w:color w:val="111827"/>
                <w:sz w:val="11"/>
              </w:rPr>
              <w:t>15.00</w:t>
            </w:r>
          </w:p>
        </w:tc>
        <w:tc>
          <w:tcPr>
            <w:tcW w:type="dxa" w:w="1008"/>
            <w:vAlign w:val="center"/>
            <w:shd w:fill="F5F7FA"/>
          </w:tcPr>
          <w:p>
            <w:pPr>
              <w:spacing w:after="0" w:before="0" w:line="240" w:lineRule="auto"/>
            </w:pPr>
            <w:r/>
            <w:r>
              <w:rPr>
                <w:rFonts w:ascii="Aptos" w:hAnsi="Aptos"/>
                <w:b w:val="0"/>
                <w:color w:val="111827"/>
                <w:sz w:val="11"/>
              </w:rPr>
              <w:t>minutes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Labor minutes are a named research gap.</w:t>
            </w:r>
          </w:p>
        </w:tc>
        <w:tc>
          <w:tcPr>
            <w:tcW w:type="dxa" w:w="3024"/>
            <w:vAlign w:val="center"/>
            <w:shd w:fill="F5F7FA"/>
          </w:tcPr>
          <w:p>
            <w:pPr>
              <w:spacing w:after="0" w:before="0" w:line="240" w:lineRule="auto"/>
            </w:pPr>
            <w:r/>
            <w:r>
              <w:rPr>
                <w:rFonts w:ascii="Aptos" w:hAnsi="Aptos"/>
                <w:b w:val="0"/>
                <w:color w:val="111827"/>
                <w:sz w:val="11"/>
              </w:rPr>
              <w:t>Can flip retrieval decisions for low-value items.</w:t>
            </w:r>
          </w:p>
        </w:tc>
        <w:tc>
          <w:tcPr>
            <w:tcW w:type="dxa" w:w="1008"/>
            <w:vAlign w:val="center"/>
            <w:shd w:fill="F5F7FA"/>
          </w:tcPr>
          <w:p>
            <w:pPr>
              <w:spacing w:after="0" w:before="0" w:line="240" w:lineRule="auto"/>
            </w:pPr>
            <w:r/>
            <w:r>
              <w:rPr>
                <w:rFonts w:ascii="Aptos" w:hAnsi="Aptos"/>
                <w:b w:val="0"/>
                <w:color w:val="111827"/>
                <w:sz w:val="11"/>
              </w:rPr>
              <w:t>P01</w:t>
            </w:r>
          </w:p>
        </w:tc>
      </w:tr>
      <w:tr>
        <w:tc>
          <w:tcPr>
            <w:tcW w:type="dxa" w:w="1728"/>
            <w:vAlign w:val="center"/>
          </w:tcPr>
          <w:p>
            <w:pPr>
              <w:spacing w:after="0" w:before="0" w:line="240" w:lineRule="auto"/>
            </w:pPr>
            <w:r/>
            <w:r>
              <w:rPr>
                <w:rFonts w:ascii="Aptos" w:hAnsi="Aptos"/>
                <w:b/>
                <w:color w:val="111827"/>
                <w:sz w:val="11"/>
              </w:rPr>
              <w:t>Monthly product depreciation</w:t>
            </w:r>
          </w:p>
        </w:tc>
        <w:tc>
          <w:tcPr>
            <w:tcW w:type="dxa" w:w="2088"/>
            <w:vAlign w:val="center"/>
          </w:tcPr>
          <w:p>
            <w:pPr>
              <w:spacing w:after="0" w:before="0" w:line="240" w:lineRule="auto"/>
            </w:pPr>
            <w:r/>
            <w:r>
              <w:rPr>
                <w:rFonts w:ascii="Aptos" w:hAnsi="Aptos"/>
                <w:b w:val="0"/>
                <w:color w:val="111827"/>
                <w:sz w:val="11"/>
              </w:rPr>
              <w:t>Premium apparel/accessory ($500)</w:t>
            </w:r>
          </w:p>
        </w:tc>
        <w:tc>
          <w:tcPr>
            <w:tcW w:type="dxa" w:w="936"/>
            <w:vAlign w:val="center"/>
          </w:tcPr>
          <w:p>
            <w:pPr>
              <w:spacing w:after="0" w:before="0" w:line="240" w:lineRule="auto"/>
            </w:pPr>
            <w:r/>
            <w:r>
              <w:rPr>
                <w:rFonts w:ascii="Aptos" w:hAnsi="Aptos"/>
                <w:b w:val="0"/>
                <w:color w:val="111827"/>
                <w:sz w:val="11"/>
              </w:rPr>
              <w:t>0.8%</w:t>
            </w:r>
          </w:p>
        </w:tc>
        <w:tc>
          <w:tcPr>
            <w:tcW w:type="dxa" w:w="1008"/>
            <w:vAlign w:val="center"/>
          </w:tcPr>
          <w:p>
            <w:pPr>
              <w:spacing w:after="0" w:before="0" w:line="240" w:lineRule="auto"/>
            </w:pPr>
            <w:r/>
            <w:r>
              <w:rPr>
                <w:rFonts w:ascii="Aptos" w:hAnsi="Aptos"/>
                <w:b w:val="0"/>
                <w:color w:val="111827"/>
                <w:sz w:val="11"/>
              </w:rPr>
              <w:t>1.5%</w:t>
            </w:r>
          </w:p>
        </w:tc>
        <w:tc>
          <w:tcPr>
            <w:tcW w:type="dxa" w:w="936"/>
            <w:vAlign w:val="center"/>
          </w:tcPr>
          <w:p>
            <w:pPr>
              <w:spacing w:after="0" w:before="0" w:line="240" w:lineRule="auto"/>
            </w:pPr>
            <w:r/>
            <w:r>
              <w:rPr>
                <w:rFonts w:ascii="Aptos" w:hAnsi="Aptos"/>
                <w:b w:val="0"/>
                <w:color w:val="111827"/>
                <w:sz w:val="11"/>
              </w:rPr>
              <w:t>3.0%</w:t>
            </w:r>
          </w:p>
        </w:tc>
        <w:tc>
          <w:tcPr>
            <w:tcW w:type="dxa" w:w="1008"/>
            <w:vAlign w:val="center"/>
          </w:tcPr>
          <w:p>
            <w:pPr>
              <w:spacing w:after="0" w:before="0" w:line="240" w:lineRule="auto"/>
            </w:pPr>
            <w:r/>
            <w:r>
              <w:rPr>
                <w:rFonts w:ascii="Aptos" w:hAnsi="Aptos"/>
                <w:b w:val="0"/>
                <w:color w:val="111827"/>
                <w:sz w:val="11"/>
              </w:rPr>
              <w:t>% per month</w:t>
            </w:r>
          </w:p>
        </w:tc>
        <w:tc>
          <w:tcPr>
            <w:tcW w:type="dxa" w:w="1224"/>
            <w:vAlign w:val="center"/>
          </w:tcPr>
          <w:p>
            <w:pPr>
              <w:spacing w:after="0" w:before="0" w:line="240" w:lineRule="auto"/>
            </w:pPr>
            <w:r/>
            <w:r>
              <w:rPr>
                <w:rFonts w:ascii="Aptos" w:hAnsi="Aptos"/>
                <w:b w:val="0"/>
                <w:color w:val="111827"/>
                <w:sz w:val="11"/>
              </w:rPr>
              <w:t>Proxy/assumption</w:t>
            </w:r>
          </w:p>
        </w:tc>
        <w:tc>
          <w:tcPr>
            <w:tcW w:type="dxa" w:w="3096"/>
            <w:vAlign w:val="center"/>
          </w:tcPr>
          <w:p>
            <w:pPr>
              <w:spacing w:after="0" w:before="0" w:line="240" w:lineRule="auto"/>
            </w:pPr>
            <w:r/>
            <w:r>
              <w:rPr>
                <w:rFonts w:ascii="Aptos" w:hAnsi="Aptos"/>
                <w:b w:val="0"/>
                <w:color w:val="111827"/>
                <w:sz w:val="11"/>
              </w:rPr>
              <w:t>Electronics market evidence supports faster depreciation; other categories use lower proxies.</w:t>
            </w:r>
          </w:p>
        </w:tc>
        <w:tc>
          <w:tcPr>
            <w:tcW w:type="dxa" w:w="3024"/>
            <w:vAlign w:val="center"/>
          </w:tcPr>
          <w:p>
            <w:pPr>
              <w:spacing w:after="0" w:before="0" w:line="240" w:lineRule="auto"/>
            </w:pPr>
            <w:r/>
            <w:r>
              <w:rPr>
                <w:rFonts w:ascii="Aptos" w:hAnsi="Aptos"/>
                <w:b w:val="0"/>
                <w:color w:val="111827"/>
                <w:sz w:val="11"/>
              </w:rPr>
              <w:t>Penalizes slow resale and refurbishment.</w:t>
            </w:r>
          </w:p>
        </w:tc>
        <w:tc>
          <w:tcPr>
            <w:tcW w:type="dxa" w:w="1008"/>
            <w:vAlign w:val="center"/>
          </w:tcPr>
          <w:p>
            <w:pPr>
              <w:spacing w:after="0" w:before="0" w:line="240" w:lineRule="auto"/>
            </w:pPr>
            <w:r/>
            <w:r>
              <w:rPr>
                <w:rFonts w:ascii="Aptos" w:hAnsi="Aptos"/>
                <w:b w:val="0"/>
                <w:color w:val="111827"/>
                <w:sz w:val="11"/>
              </w:rPr>
              <w:t>S39; P02</w:t>
            </w:r>
          </w:p>
        </w:tc>
      </w:tr>
      <w:tr>
        <w:tc>
          <w:tcPr>
            <w:tcW w:type="dxa" w:w="1728"/>
            <w:vAlign w:val="center"/>
            <w:shd w:fill="F5F7FA"/>
          </w:tcPr>
          <w:p>
            <w:pPr>
              <w:spacing w:after="0" w:before="0" w:line="240" w:lineRule="auto"/>
            </w:pPr>
            <w:r/>
            <w:r>
              <w:rPr>
                <w:rFonts w:ascii="Aptos" w:hAnsi="Aptos"/>
                <w:b/>
                <w:color w:val="111827"/>
                <w:sz w:val="11"/>
              </w:rPr>
              <w:t>Confirmed substitution/counterfeit probability</w:t>
            </w:r>
          </w:p>
        </w:tc>
        <w:tc>
          <w:tcPr>
            <w:tcW w:type="dxa" w:w="2088"/>
            <w:vAlign w:val="center"/>
            <w:shd w:fill="F5F7FA"/>
          </w:tcPr>
          <w:p>
            <w:pPr>
              <w:spacing w:after="0" w:before="0" w:line="240" w:lineRule="auto"/>
            </w:pPr>
            <w:r/>
            <w:r>
              <w:rPr>
                <w:rFonts w:ascii="Aptos" w:hAnsi="Aptos"/>
                <w:b w:val="0"/>
                <w:color w:val="111827"/>
                <w:sz w:val="11"/>
              </w:rPr>
              <w:t>Premium apparel/accessory ($500)</w:t>
            </w:r>
          </w:p>
        </w:tc>
        <w:tc>
          <w:tcPr>
            <w:tcW w:type="dxa" w:w="936"/>
            <w:vAlign w:val="center"/>
            <w:shd w:fill="F5F7FA"/>
          </w:tcPr>
          <w:p>
            <w:pPr>
              <w:spacing w:after="0" w:before="0" w:line="240" w:lineRule="auto"/>
            </w:pPr>
            <w:r/>
            <w:r>
              <w:rPr>
                <w:rFonts w:ascii="Aptos" w:hAnsi="Aptos"/>
                <w:b w:val="0"/>
                <w:color w:val="111827"/>
                <w:sz w:val="11"/>
              </w:rPr>
              <w:t>0.0%</w:t>
            </w:r>
          </w:p>
        </w:tc>
        <w:tc>
          <w:tcPr>
            <w:tcW w:type="dxa" w:w="1008"/>
            <w:vAlign w:val="center"/>
            <w:shd w:fill="F5F7FA"/>
          </w:tcPr>
          <w:p>
            <w:pPr>
              <w:spacing w:after="0" w:before="0" w:line="240" w:lineRule="auto"/>
            </w:pPr>
            <w:r/>
            <w:r>
              <w:rPr>
                <w:rFonts w:ascii="Aptos" w:hAnsi="Aptos"/>
                <w:b w:val="0"/>
                <w:color w:val="111827"/>
                <w:sz w:val="11"/>
              </w:rPr>
              <w:t>7.0%</w:t>
            </w:r>
          </w:p>
        </w:tc>
        <w:tc>
          <w:tcPr>
            <w:tcW w:type="dxa" w:w="936"/>
            <w:vAlign w:val="center"/>
            <w:shd w:fill="F5F7FA"/>
          </w:tcPr>
          <w:p>
            <w:pPr>
              <w:spacing w:after="0" w:before="0" w:line="240" w:lineRule="auto"/>
            </w:pPr>
            <w:r/>
            <w:r>
              <w:rPr>
                <w:rFonts w:ascii="Aptos" w:hAnsi="Aptos"/>
                <w:b w:val="0"/>
                <w:color w:val="111827"/>
                <w:sz w:val="11"/>
              </w:rPr>
              <w:t>14.0%</w:t>
            </w:r>
          </w:p>
        </w:tc>
        <w:tc>
          <w:tcPr>
            <w:tcW w:type="dxa" w:w="1008"/>
            <w:vAlign w:val="center"/>
            <w:shd w:fill="F5F7FA"/>
          </w:tcPr>
          <w:p>
            <w:pPr>
              <w:spacing w:after="0" w:before="0" w:line="240" w:lineRule="auto"/>
            </w:pPr>
            <w:r/>
            <w:r>
              <w:rPr>
                <w:rFonts w:ascii="Aptos" w:hAnsi="Aptos"/>
                <w:b w:val="0"/>
                <w:color w:val="111827"/>
                <w:sz w:val="11"/>
              </w:rPr>
              <w:t>% of returns</w:t>
            </w:r>
          </w:p>
        </w:tc>
        <w:tc>
          <w:tcPr>
            <w:tcW w:type="dxa" w:w="1224"/>
            <w:vAlign w:val="center"/>
            <w:shd w:fill="F5F7FA"/>
          </w:tcPr>
          <w:p>
            <w:pPr>
              <w:spacing w:after="0" w:before="0" w:line="240" w:lineRule="auto"/>
            </w:pPr>
            <w:r/>
            <w:r>
              <w:rPr>
                <w:rFonts w:ascii="Aptos" w:hAnsi="Aptos"/>
                <w:b w:val="0"/>
                <w:color w:val="111827"/>
                <w:sz w:val="11"/>
              </w:rPr>
              <w:t>Assumption</w:t>
            </w:r>
          </w:p>
        </w:tc>
        <w:tc>
          <w:tcPr>
            <w:tcW w:type="dxa" w:w="3096"/>
            <w:vAlign w:val="center"/>
            <w:shd w:fill="F5F7FA"/>
          </w:tcPr>
          <w:p>
            <w:pPr>
              <w:spacing w:after="0" w:before="0" w:line="240" w:lineRule="auto"/>
            </w:pPr>
            <w:r/>
            <w:r>
              <w:rPr>
                <w:rFonts w:ascii="Aptos" w:hAnsi="Aptos"/>
                <w:b w:val="0"/>
                <w:color w:val="111827"/>
                <w:sz w:val="11"/>
              </w:rPr>
              <w:t>Industry estimates combine fraud, abuse, and claims and are not category-specific; model uses narrower confirmed-event probabilities.</w:t>
            </w:r>
          </w:p>
        </w:tc>
        <w:tc>
          <w:tcPr>
            <w:tcW w:type="dxa" w:w="3024"/>
            <w:vAlign w:val="center"/>
            <w:shd w:fill="F5F7FA"/>
          </w:tcPr>
          <w:p>
            <w:pPr>
              <w:spacing w:after="0" w:before="0" w:line="240" w:lineRule="auto"/>
            </w:pPr>
            <w:r/>
            <w:r>
              <w:rPr>
                <w:rFonts w:ascii="Aptos" w:hAnsi="Aptos"/>
                <w:b w:val="0"/>
                <w:color w:val="111827"/>
                <w:sz w:val="11"/>
              </w:rPr>
              <w:t>Reduces expected recovery and can justify serial/authentication controls.</w:t>
            </w:r>
          </w:p>
        </w:tc>
        <w:tc>
          <w:tcPr>
            <w:tcW w:type="dxa" w:w="1008"/>
            <w:vAlign w:val="center"/>
            <w:shd w:fill="F5F7FA"/>
          </w:tcPr>
          <w:p>
            <w:pPr>
              <w:spacing w:after="0" w:before="0" w:line="240" w:lineRule="auto"/>
            </w:pPr>
            <w:r/>
            <w:r>
              <w:rPr>
                <w:rFonts w:ascii="Aptos" w:hAnsi="Aptos"/>
                <w:b w:val="0"/>
                <w:color w:val="111827"/>
                <w:sz w:val="11"/>
              </w:rPr>
              <w:t>S31; P01</w:t>
            </w:r>
          </w:p>
        </w:tc>
      </w:tr>
    </w:tbl>
    <w:p>
      <w:pPr>
        <w:spacing w:after="0"/>
      </w:pPr>
    </w:p>
    <w:p>
      <w:pPr>
        <w:pStyle w:val="Caption"/>
        <w:jc w:val="left"/>
      </w:pPr>
      <w:r>
        <w:rPr>
          <w:b/>
        </w:rPr>
        <w:t>Appendix Table B1. Assumption register</w:t>
      </w:r>
      <w:r>
        <w:rPr>
          <w:i/>
          <w:color w:val="6B7280"/>
        </w:rPr>
        <w:t xml:space="preserve">  Source: Model</w:t>
      </w:r>
    </w:p>
    <w:p>
      <w:pPr>
        <w:sectPr>
          <w:pgSz w:w="12240" w:h="15840" w:orient="landscape"/>
          <w:pgMar w:top="792" w:right="792" w:bottom="792" w:left="792" w:header="720" w:footer="720" w:gutter="0"/>
          <w:cols w:space="720"/>
          <w:docGrid w:linePitch="360"/>
        </w:sectPr>
      </w:pPr>
    </w:p>
    <w:p>
      <w:pPr>
        <w:pStyle w:val="Heading1"/>
      </w:pPr>
      <w:r>
        <w:t>Research limitations</w:t>
      </w:r>
    </w:p>
    <w:p>
      <w:pPr>
        <w:pStyle w:val="ListNumber"/>
      </w:pPr>
      <w:r>
        <w:t>Public route shares by category are not disclosed. The model's condition and disposition probabilities are assumptions, not measured retailer outcomes.</w:t>
      </w:r>
    </w:p>
    <w:p>
      <w:pPr>
        <w:pStyle w:val="ListNumber"/>
      </w:pPr>
      <w:r>
        <w:t>Inspection time, testing time, cleaning/repack labor, repair success, and physical storage cost are not disclosed in the package. They are explicit proxies with low/base/high cases.</w:t>
      </w:r>
    </w:p>
    <w:p>
      <w:pPr>
        <w:pStyle w:val="ListNumber"/>
      </w:pPr>
      <w:r>
        <w:t>Carrier list prices and WFS fees are visible; large-retailer negotiated freight rates are not. Freight results should be read as scenario economics, not invoices.</w:t>
      </w:r>
    </w:p>
    <w:p>
      <w:pPr>
        <w:pStyle w:val="ListNumber"/>
      </w:pPr>
      <w:r>
        <w:t>The completed-auction sample contains two public lots. It is adequate for arithmetic examples, not category medians or population inference.</w:t>
      </w:r>
    </w:p>
    <w:p>
      <w:pPr>
        <w:pStyle w:val="ListNumber"/>
      </w:pPr>
      <w:r>
        <w:t>Winning bids on the two B-Stock pages are inferred from the next required bid increment. Buyer premium, seller-side fees, and freight are not public for those exact transactions.</w:t>
      </w:r>
    </w:p>
    <w:p>
      <w:pPr>
        <w:pStyle w:val="ListNumber"/>
      </w:pPr>
      <w:r>
        <w:t>Stated retail value can exceed current realizable retail. The auction model applies an 80% base adjustment and reports both denominators.</w:t>
      </w:r>
    </w:p>
    <w:p>
      <w:pPr>
        <w:pStyle w:val="ListNumber"/>
      </w:pPr>
      <w:r>
        <w:t>Liquidation is a transfer of title, not proof of reuse. Final sale, export, parts harvesting, recycling, and disposal after auction are generally unobserved.</w:t>
      </w:r>
    </w:p>
    <w:p>
      <w:pPr>
        <w:pStyle w:val="ListNumber"/>
      </w:pPr>
      <w:r>
        <w:t>Fraud benchmarks in public reports combine different definitions. The model uses narrower category-specific assumptions and does not present them as industry disclosures.</w:t>
      </w:r>
    </w:p>
    <w:p>
      <w:pPr>
        <w:pStyle w:val="ListNumber"/>
      </w:pPr>
      <w:r>
        <w:t>The model treats A as incremental fraud administration/claims cost. Lost recovery from a counterfeit or missing return enters through the fraud condition probability, preventing double counting.</w:t>
      </w:r>
    </w:p>
    <w:p>
      <w:pPr>
        <w:pStyle w:val="ListNumber"/>
      </w:pPr>
      <w:r>
        <w:t>Fixed corporate overhead, marketing acquisition cost, tax effects, vendor allowances, insurance recoveries, customer lifetime-value changes, and environmental externalities are excluded unless separately stated.</w:t>
      </w:r>
    </w:p>
    <w:p>
      <w:pPr>
        <w:pStyle w:val="ListNumber"/>
      </w:pPr>
      <w:r>
        <w:t>Return tax is a contribution concept, not GAAP gross margin. C, Fo, and P cancel from dollar return tax under the user's specified formula but still affect post-return contribution and denominator-based metrics.</w:t>
      </w:r>
    </w:p>
    <w:p>
      <w:pPr>
        <w:pStyle w:val="ListNumber"/>
      </w:pPr>
      <w:r>
        <w:t>No new external research was added. All factual evidence and market observations come from the two supplied evidence files and their cited source lists.</w:t>
      </w:r>
    </w:p>
    <w:p>
      <w:pPr>
        <w:pStyle w:val="Heading1"/>
      </w:pPr>
      <w:r>
        <w:t>Fact-check checklist</w:t>
      </w:r>
    </w:p>
    <w:tbl>
      <w:tblPr>
        <w:tblStyle w:val="TableGrid"/>
        <w:tblW w:type="auto" w:w="0"/>
        <w:jc w:val="center"/>
        <w:tblLayout w:type="fixed"/>
        <w:tblLook w:firstColumn="1" w:firstRow="1" w:lastColumn="0" w:lastRow="0" w:noHBand="0" w:noVBand="1" w:val="04A0"/>
      </w:tblPr>
      <w:tblGrid>
        <w:gridCol w:w="2484"/>
        <w:gridCol w:w="2484"/>
        <w:gridCol w:w="2484"/>
        <w:gridCol w:w="2484"/>
      </w:tblGrid>
      <w:tr>
        <w:trPr>
          <w:tblHeader w:val="true"/>
        </w:trPr>
        <w:tc>
          <w:tcPr>
            <w:tcW w:type="dxa" w:w="3888"/>
            <w:vAlign w:val="center"/>
            <w:shd w:fill="17324D"/>
            <w:tcBorders>
              <w:bottom w:val="single" w:sz="8" w:color="FFFFFF"/>
            </w:tcBorders>
          </w:tcPr>
          <w:p>
            <w:pPr>
              <w:spacing w:after="0" w:before="0" w:line="240" w:lineRule="auto"/>
              <w:jc w:val="left"/>
            </w:pPr>
            <w:r/>
            <w:r>
              <w:rPr>
                <w:rFonts w:ascii="Aptos" w:hAnsi="Aptos"/>
                <w:b/>
                <w:color w:val="FFFFFF"/>
                <w:sz w:val="14"/>
              </w:rPr>
              <w:t>Check</w:t>
            </w:r>
          </w:p>
        </w:tc>
        <w:tc>
          <w:tcPr>
            <w:tcW w:type="dxa" w:w="1656"/>
            <w:vAlign w:val="center"/>
            <w:shd w:fill="17324D"/>
            <w:tcBorders>
              <w:bottom w:val="single" w:sz="8" w:color="FFFFFF"/>
            </w:tcBorders>
          </w:tcPr>
          <w:p>
            <w:pPr>
              <w:spacing w:after="0" w:before="0" w:line="240" w:lineRule="auto"/>
              <w:jc w:val="left"/>
            </w:pPr>
            <w:r/>
            <w:r>
              <w:rPr>
                <w:rFonts w:ascii="Aptos" w:hAnsi="Aptos"/>
                <w:b/>
                <w:color w:val="FFFFFF"/>
                <w:sz w:val="14"/>
              </w:rPr>
              <w:t>Status</w:t>
            </w:r>
          </w:p>
        </w:tc>
        <w:tc>
          <w:tcPr>
            <w:tcW w:type="dxa" w:w="1440"/>
            <w:vAlign w:val="center"/>
            <w:shd w:fill="17324D"/>
            <w:tcBorders>
              <w:bottom w:val="single" w:sz="8" w:color="FFFFFF"/>
            </w:tcBorders>
          </w:tcPr>
          <w:p>
            <w:pPr>
              <w:spacing w:after="0" w:before="0" w:line="240" w:lineRule="auto"/>
              <w:jc w:val="left"/>
            </w:pPr>
            <w:r/>
            <w:r>
              <w:rPr>
                <w:rFonts w:ascii="Aptos" w:hAnsi="Aptos"/>
                <w:b/>
                <w:color w:val="FFFFFF"/>
                <w:sz w:val="14"/>
              </w:rPr>
              <w:t>Owner</w:t>
            </w:r>
          </w:p>
        </w:tc>
        <w:tc>
          <w:tcPr>
            <w:tcW w:type="dxa" w:w="2880"/>
            <w:vAlign w:val="center"/>
            <w:shd w:fill="17324D"/>
            <w:tcBorders>
              <w:bottom w:val="single" w:sz="8" w:color="FFFFFF"/>
            </w:tcBorders>
          </w:tcPr>
          <w:p>
            <w:pPr>
              <w:spacing w:after="0" w:before="0" w:line="240" w:lineRule="auto"/>
              <w:jc w:val="left"/>
            </w:pPr>
            <w:r/>
            <w:r>
              <w:rPr>
                <w:rFonts w:ascii="Aptos" w:hAnsi="Aptos"/>
                <w:b/>
                <w:color w:val="FFFFFF"/>
                <w:sz w:val="14"/>
              </w:rPr>
              <w:t>Notes</w:t>
            </w:r>
          </w:p>
        </w:tc>
      </w:tr>
      <w:tr>
        <w:tc>
          <w:tcPr>
            <w:tcW w:type="dxa" w:w="3888"/>
            <w:vAlign w:val="center"/>
          </w:tcPr>
          <w:p>
            <w:pPr>
              <w:spacing w:after="0" w:before="0" w:line="240" w:lineRule="auto"/>
            </w:pPr>
            <w:r/>
            <w:r>
              <w:rPr>
                <w:rFonts w:ascii="Aptos" w:hAnsi="Aptos"/>
                <w:b/>
                <w:color w:val="111827"/>
                <w:sz w:val="14"/>
              </w:rPr>
              <w:t>Every material factual claim has a source ID</w:t>
            </w:r>
          </w:p>
        </w:tc>
        <w:tc>
          <w:tcPr>
            <w:tcW w:type="dxa" w:w="1656"/>
            <w:vAlign w:val="center"/>
          </w:tcPr>
          <w:p>
            <w:pPr>
              <w:spacing w:after="0" w:before="0" w:line="240" w:lineRule="auto"/>
            </w:pPr>
            <w:r/>
            <w:r>
              <w:rPr>
                <w:rFonts w:ascii="Aptos" w:hAnsi="Aptos"/>
                <w:b w:val="0"/>
                <w:color w:val="111827"/>
                <w:sz w:val="14"/>
              </w:rPr>
              <w:t>Complete in draft; publication editor should re-run</w:t>
            </w:r>
          </w:p>
        </w:tc>
        <w:tc>
          <w:tcPr>
            <w:tcW w:type="dxa" w:w="1440"/>
            <w:vAlign w:val="center"/>
          </w:tcPr>
          <w:p>
            <w:pPr>
              <w:spacing w:after="0" w:before="0" w:line="240" w:lineRule="auto"/>
            </w:pPr>
            <w:r/>
            <w:r>
              <w:rPr>
                <w:rFonts w:ascii="Aptos" w:hAnsi="Aptos"/>
                <w:b w:val="0"/>
                <w:color w:val="111827"/>
                <w:sz w:val="14"/>
              </w:rPr>
              <w:t>Fact checker</w:t>
            </w:r>
          </w:p>
        </w:tc>
        <w:tc>
          <w:tcPr>
            <w:tcW w:type="dxa" w:w="2880"/>
            <w:vAlign w:val="center"/>
          </w:tcPr>
          <w:p>
            <w:pPr>
              <w:spacing w:after="0" w:before="0" w:line="240" w:lineRule="auto"/>
            </w:pPr>
            <w:r/>
            <w:r>
              <w:rPr>
                <w:rFonts w:ascii="Aptos" w:hAnsi="Aptos"/>
                <w:b w:val="0"/>
                <w:color w:val="111827"/>
                <w:sz w:val="14"/>
              </w:rPr>
              <w:t>Bracket citations map to Source Ledger.</w:t>
            </w:r>
          </w:p>
        </w:tc>
      </w:tr>
      <w:tr>
        <w:tc>
          <w:tcPr>
            <w:tcW w:type="dxa" w:w="3888"/>
            <w:vAlign w:val="center"/>
            <w:shd w:fill="F5F7FA"/>
          </w:tcPr>
          <w:p>
            <w:pPr>
              <w:spacing w:after="0" w:before="0" w:line="240" w:lineRule="auto"/>
            </w:pPr>
            <w:r/>
            <w:r>
              <w:rPr>
                <w:rFonts w:ascii="Aptos" w:hAnsi="Aptos"/>
                <w:b/>
                <w:color w:val="111827"/>
                <w:sz w:val="14"/>
              </w:rPr>
              <w:t>All modeled inputs labeled disclosed/calculated/market observation/interview/proxy/assumption</w:t>
            </w:r>
          </w:p>
        </w:tc>
        <w:tc>
          <w:tcPr>
            <w:tcW w:type="dxa" w:w="1656"/>
            <w:vAlign w:val="center"/>
            <w:shd w:fill="F5F7FA"/>
          </w:tcPr>
          <w:p>
            <w:pPr>
              <w:spacing w:after="0" w:before="0" w:line="240" w:lineRule="auto"/>
            </w:pPr>
            <w:r/>
            <w:r>
              <w:rPr>
                <w:rFonts w:ascii="Aptos" w:hAnsi="Aptos"/>
                <w:b w:val="0"/>
                <w:color w:val="111827"/>
                <w:sz w:val="14"/>
              </w:rPr>
              <w:t>Complete</w:t>
            </w:r>
          </w:p>
        </w:tc>
        <w:tc>
          <w:tcPr>
            <w:tcW w:type="dxa" w:w="1440"/>
            <w:vAlign w:val="center"/>
            <w:shd w:fill="F5F7FA"/>
          </w:tcPr>
          <w:p>
            <w:pPr>
              <w:spacing w:after="0" w:before="0" w:line="240" w:lineRule="auto"/>
            </w:pPr>
            <w:r/>
            <w:r>
              <w:rPr>
                <w:rFonts w:ascii="Aptos" w:hAnsi="Aptos"/>
                <w:b w:val="0"/>
                <w:color w:val="111827"/>
                <w:sz w:val="14"/>
              </w:rPr>
              <w:t>Model reviewer</w:t>
            </w:r>
          </w:p>
        </w:tc>
        <w:tc>
          <w:tcPr>
            <w:tcW w:type="dxa" w:w="2880"/>
            <w:vAlign w:val="center"/>
            <w:shd w:fill="F5F7FA"/>
          </w:tcPr>
          <w:p>
            <w:pPr>
              <w:spacing w:after="0" w:before="0" w:line="240" w:lineRule="auto"/>
            </w:pPr>
            <w:r/>
            <w:r>
              <w:rPr>
                <w:rFonts w:ascii="Aptos" w:hAnsi="Aptos"/>
                <w:b w:val="0"/>
                <w:color w:val="111827"/>
                <w:sz w:val="14"/>
              </w:rPr>
              <w:t>No interview-derived numeric input was used.</w:t>
            </w:r>
          </w:p>
        </w:tc>
      </w:tr>
      <w:tr>
        <w:tc>
          <w:tcPr>
            <w:tcW w:type="dxa" w:w="3888"/>
            <w:vAlign w:val="center"/>
          </w:tcPr>
          <w:p>
            <w:pPr>
              <w:spacing w:after="0" w:before="0" w:line="240" w:lineRule="auto"/>
            </w:pPr>
            <w:r/>
            <w:r>
              <w:rPr>
                <w:rFonts w:ascii="Aptos" w:hAnsi="Aptos"/>
                <w:b/>
                <w:color w:val="111827"/>
                <w:sz w:val="14"/>
              </w:rPr>
              <w:t>Retail price, MSRP/stated retail, current retail, retailer recovery, reseller revenue and profit remain separate</w:t>
            </w:r>
          </w:p>
        </w:tc>
        <w:tc>
          <w:tcPr>
            <w:tcW w:type="dxa" w:w="1656"/>
            <w:vAlign w:val="center"/>
          </w:tcPr>
          <w:p>
            <w:pPr>
              <w:spacing w:after="0" w:before="0" w:line="240" w:lineRule="auto"/>
            </w:pPr>
            <w:r/>
            <w:r>
              <w:rPr>
                <w:rFonts w:ascii="Aptos" w:hAnsi="Aptos"/>
                <w:b w:val="0"/>
                <w:color w:val="111827"/>
                <w:sz w:val="14"/>
              </w:rPr>
              <w:t>Complete</w:t>
            </w:r>
          </w:p>
        </w:tc>
        <w:tc>
          <w:tcPr>
            <w:tcW w:type="dxa" w:w="1440"/>
            <w:vAlign w:val="center"/>
          </w:tcPr>
          <w:p>
            <w:pPr>
              <w:spacing w:after="0" w:before="0" w:line="240" w:lineRule="auto"/>
            </w:pPr>
            <w:r/>
            <w:r>
              <w:rPr>
                <w:rFonts w:ascii="Aptos" w:hAnsi="Aptos"/>
                <w:b w:val="0"/>
                <w:color w:val="111827"/>
                <w:sz w:val="14"/>
              </w:rPr>
              <w:t>Model reviewer</w:t>
            </w:r>
          </w:p>
        </w:tc>
        <w:tc>
          <w:tcPr>
            <w:tcW w:type="dxa" w:w="2880"/>
            <w:vAlign w:val="center"/>
          </w:tcPr>
          <w:p>
            <w:pPr>
              <w:spacing w:after="0" w:before="0" w:line="240" w:lineRule="auto"/>
            </w:pPr>
            <w:r/>
            <w:r>
              <w:rPr>
                <w:rFonts w:ascii="Aptos" w:hAnsi="Aptos"/>
                <w:b w:val="0"/>
                <w:color w:val="111827"/>
                <w:sz w:val="14"/>
              </w:rPr>
              <w:t>Auction sheets preserve both stated and adjusted current retail denominators.</w:t>
            </w:r>
          </w:p>
        </w:tc>
      </w:tr>
      <w:tr>
        <w:tc>
          <w:tcPr>
            <w:tcW w:type="dxa" w:w="3888"/>
            <w:vAlign w:val="center"/>
            <w:shd w:fill="F5F7FA"/>
          </w:tcPr>
          <w:p>
            <w:pPr>
              <w:spacing w:after="0" w:before="0" w:line="240" w:lineRule="auto"/>
            </w:pPr>
            <w:r/>
            <w:r>
              <w:rPr>
                <w:rFonts w:ascii="Aptos" w:hAnsi="Aptos"/>
                <w:b/>
                <w:color w:val="111827"/>
                <w:sz w:val="14"/>
              </w:rPr>
              <w:t>Product cost is not subtracted twice</w:t>
            </w:r>
          </w:p>
        </w:tc>
        <w:tc>
          <w:tcPr>
            <w:tcW w:type="dxa" w:w="1656"/>
            <w:vAlign w:val="center"/>
            <w:shd w:fill="F5F7FA"/>
          </w:tcPr>
          <w:p>
            <w:pPr>
              <w:spacing w:after="0" w:before="0" w:line="240" w:lineRule="auto"/>
            </w:pPr>
            <w:r/>
            <w:r>
              <w:rPr>
                <w:rFonts w:ascii="Aptos" w:hAnsi="Aptos"/>
                <w:b w:val="0"/>
                <w:color w:val="111827"/>
                <w:sz w:val="14"/>
              </w:rPr>
              <w:t>Complete</w:t>
            </w:r>
          </w:p>
        </w:tc>
        <w:tc>
          <w:tcPr>
            <w:tcW w:type="dxa" w:w="1440"/>
            <w:vAlign w:val="center"/>
            <w:shd w:fill="F5F7FA"/>
          </w:tcPr>
          <w:p>
            <w:pPr>
              <w:spacing w:after="0" w:before="0" w:line="240" w:lineRule="auto"/>
            </w:pPr>
            <w:r/>
            <w:r>
              <w:rPr>
                <w:rFonts w:ascii="Aptos" w:hAnsi="Aptos"/>
                <w:b w:val="0"/>
                <w:color w:val="111827"/>
                <w:sz w:val="14"/>
              </w:rPr>
              <w:t>Model reviewer</w:t>
            </w:r>
          </w:p>
        </w:tc>
        <w:tc>
          <w:tcPr>
            <w:tcW w:type="dxa" w:w="2880"/>
            <w:vAlign w:val="center"/>
            <w:shd w:fill="F5F7FA"/>
          </w:tcPr>
          <w:p>
            <w:pPr>
              <w:spacing w:after="0" w:before="0" w:line="240" w:lineRule="auto"/>
            </w:pPr>
            <w:r/>
            <w:r>
              <w:rPr>
                <w:rFonts w:ascii="Aptos" w:hAnsi="Aptos"/>
                <w:b w:val="0"/>
                <w:color w:val="111827"/>
                <w:sz w:val="14"/>
              </w:rPr>
              <w:t>C appears once in post-return contribution and not inside recovery proceeds.</w:t>
            </w:r>
          </w:p>
        </w:tc>
      </w:tr>
      <w:tr>
        <w:tc>
          <w:tcPr>
            <w:tcW w:type="dxa" w:w="3888"/>
            <w:vAlign w:val="center"/>
          </w:tcPr>
          <w:p>
            <w:pPr>
              <w:spacing w:after="0" w:before="0" w:line="240" w:lineRule="auto"/>
            </w:pPr>
            <w:r/>
            <w:r>
              <w:rPr>
                <w:rFonts w:ascii="Aptos" w:hAnsi="Aptos"/>
                <w:b/>
                <w:color w:val="111827"/>
                <w:sz w:val="14"/>
              </w:rPr>
              <w:t>Customer refund is separated from retailer accounting exposure</w:t>
            </w:r>
          </w:p>
        </w:tc>
        <w:tc>
          <w:tcPr>
            <w:tcW w:type="dxa" w:w="1656"/>
            <w:vAlign w:val="center"/>
          </w:tcPr>
          <w:p>
            <w:pPr>
              <w:spacing w:after="0" w:before="0" w:line="240" w:lineRule="auto"/>
            </w:pPr>
            <w:r/>
            <w:r>
              <w:rPr>
                <w:rFonts w:ascii="Aptos" w:hAnsi="Aptos"/>
                <w:b w:val="0"/>
                <w:color w:val="111827"/>
                <w:sz w:val="14"/>
              </w:rPr>
              <w:t>Complete</w:t>
            </w:r>
          </w:p>
        </w:tc>
        <w:tc>
          <w:tcPr>
            <w:tcW w:type="dxa" w:w="1440"/>
            <w:vAlign w:val="center"/>
          </w:tcPr>
          <w:p>
            <w:pPr>
              <w:spacing w:after="0" w:before="0" w:line="240" w:lineRule="auto"/>
            </w:pPr>
            <w:r/>
            <w:r>
              <w:rPr>
                <w:rFonts w:ascii="Aptos" w:hAnsi="Aptos"/>
                <w:b w:val="0"/>
                <w:color w:val="111827"/>
                <w:sz w:val="14"/>
              </w:rPr>
              <w:t>Article editor</w:t>
            </w:r>
          </w:p>
        </w:tc>
        <w:tc>
          <w:tcPr>
            <w:tcW w:type="dxa" w:w="2880"/>
            <w:vAlign w:val="center"/>
          </w:tcPr>
          <w:p>
            <w:pPr>
              <w:spacing w:after="0" w:before="0" w:line="240" w:lineRule="auto"/>
            </w:pPr>
            <w:r/>
            <w:r>
              <w:rPr>
                <w:rFonts w:ascii="Aptos" w:hAnsi="Aptos"/>
                <w:b w:val="0"/>
                <w:color w:val="111827"/>
                <w:sz w:val="14"/>
              </w:rPr>
              <w:t>Refund = R-K; post-return contribution includes cost and recovery.</w:t>
            </w:r>
          </w:p>
        </w:tc>
      </w:tr>
      <w:tr>
        <w:tc>
          <w:tcPr>
            <w:tcW w:type="dxa" w:w="3888"/>
            <w:vAlign w:val="center"/>
            <w:shd w:fill="F5F7FA"/>
          </w:tcPr>
          <w:p>
            <w:pPr>
              <w:spacing w:after="0" w:before="0" w:line="240" w:lineRule="auto"/>
            </w:pPr>
            <w:r/>
            <w:r>
              <w:rPr>
                <w:rFonts w:ascii="Aptos" w:hAnsi="Aptos"/>
                <w:b/>
                <w:color w:val="111827"/>
                <w:sz w:val="14"/>
              </w:rPr>
              <w:t>Physical recovery is separated from environmental disposition</w:t>
            </w:r>
          </w:p>
        </w:tc>
        <w:tc>
          <w:tcPr>
            <w:tcW w:type="dxa" w:w="1656"/>
            <w:vAlign w:val="center"/>
            <w:shd w:fill="F5F7FA"/>
          </w:tcPr>
          <w:p>
            <w:pPr>
              <w:spacing w:after="0" w:before="0" w:line="240" w:lineRule="auto"/>
            </w:pPr>
            <w:r/>
            <w:r>
              <w:rPr>
                <w:rFonts w:ascii="Aptos" w:hAnsi="Aptos"/>
                <w:b w:val="0"/>
                <w:color w:val="111827"/>
                <w:sz w:val="14"/>
              </w:rPr>
              <w:t>Complete</w:t>
            </w:r>
          </w:p>
        </w:tc>
        <w:tc>
          <w:tcPr>
            <w:tcW w:type="dxa" w:w="1440"/>
            <w:vAlign w:val="center"/>
            <w:shd w:fill="F5F7FA"/>
          </w:tcPr>
          <w:p>
            <w:pPr>
              <w:spacing w:after="0" w:before="0" w:line="240" w:lineRule="auto"/>
            </w:pPr>
            <w:r/>
            <w:r>
              <w:rPr>
                <w:rFonts w:ascii="Aptos" w:hAnsi="Aptos"/>
                <w:b w:val="0"/>
                <w:color w:val="111827"/>
                <w:sz w:val="14"/>
              </w:rPr>
              <w:t>Sustainability reviewer</w:t>
            </w:r>
          </w:p>
        </w:tc>
        <w:tc>
          <w:tcPr>
            <w:tcW w:type="dxa" w:w="2880"/>
            <w:vAlign w:val="center"/>
            <w:shd w:fill="F5F7FA"/>
          </w:tcPr>
          <w:p>
            <w:pPr>
              <w:spacing w:after="0" w:before="0" w:line="240" w:lineRule="auto"/>
            </w:pPr>
            <w:r/>
            <w:r>
              <w:rPr>
                <w:rFonts w:ascii="Aptos" w:hAnsi="Aptos"/>
                <w:b w:val="0"/>
                <w:color w:val="111827"/>
                <w:sz w:val="14"/>
              </w:rPr>
              <w:t>Liquidation transfer remains an unobserved downstream outcome.</w:t>
            </w:r>
          </w:p>
        </w:tc>
      </w:tr>
      <w:tr>
        <w:tc>
          <w:tcPr>
            <w:tcW w:type="dxa" w:w="3888"/>
            <w:vAlign w:val="center"/>
          </w:tcPr>
          <w:p>
            <w:pPr>
              <w:spacing w:after="0" w:before="0" w:line="240" w:lineRule="auto"/>
            </w:pPr>
            <w:r/>
            <w:r>
              <w:rPr>
                <w:rFonts w:ascii="Aptos" w:hAnsi="Aptos"/>
                <w:b/>
                <w:color w:val="111827"/>
                <w:sz w:val="14"/>
              </w:rPr>
              <w:t>Open auctions excluded from completed-auction statistics</w:t>
            </w:r>
          </w:p>
        </w:tc>
        <w:tc>
          <w:tcPr>
            <w:tcW w:type="dxa" w:w="1656"/>
            <w:vAlign w:val="center"/>
          </w:tcPr>
          <w:p>
            <w:pPr>
              <w:spacing w:after="0" w:before="0" w:line="240" w:lineRule="auto"/>
            </w:pPr>
            <w:r/>
            <w:r>
              <w:rPr>
                <w:rFonts w:ascii="Aptos" w:hAnsi="Aptos"/>
                <w:b w:val="0"/>
                <w:color w:val="111827"/>
                <w:sz w:val="14"/>
              </w:rPr>
              <w:t>Complete</w:t>
            </w:r>
          </w:p>
        </w:tc>
        <w:tc>
          <w:tcPr>
            <w:tcW w:type="dxa" w:w="1440"/>
            <w:vAlign w:val="center"/>
          </w:tcPr>
          <w:p>
            <w:pPr>
              <w:spacing w:after="0" w:before="0" w:line="240" w:lineRule="auto"/>
            </w:pPr>
            <w:r/>
            <w:r>
              <w:rPr>
                <w:rFonts w:ascii="Aptos" w:hAnsi="Aptos"/>
                <w:b w:val="0"/>
                <w:color w:val="111827"/>
                <w:sz w:val="14"/>
              </w:rPr>
              <w:t>Data reviewer</w:t>
            </w:r>
          </w:p>
        </w:tc>
        <w:tc>
          <w:tcPr>
            <w:tcW w:type="dxa" w:w="2880"/>
            <w:vAlign w:val="center"/>
          </w:tcPr>
          <w:p>
            <w:pPr>
              <w:spacing w:after="0" w:before="0" w:line="240" w:lineRule="auto"/>
            </w:pPr>
            <w:r/>
            <w:r>
              <w:rPr>
                <w:rFonts w:ascii="Aptos" w:hAnsi="Aptos"/>
                <w:b w:val="0"/>
                <w:color w:val="111827"/>
                <w:sz w:val="14"/>
              </w:rPr>
              <w:t>No open-auction rows were supplied; open sheet is explicitly empty.</w:t>
            </w:r>
          </w:p>
        </w:tc>
      </w:tr>
      <w:tr>
        <w:tc>
          <w:tcPr>
            <w:tcW w:type="dxa" w:w="3888"/>
            <w:vAlign w:val="center"/>
            <w:shd w:fill="F5F7FA"/>
          </w:tcPr>
          <w:p>
            <w:pPr>
              <w:spacing w:after="0" w:before="0" w:line="240" w:lineRule="auto"/>
            </w:pPr>
            <w:r/>
            <w:r>
              <w:rPr>
                <w:rFonts w:ascii="Aptos" w:hAnsi="Aptos"/>
                <w:b/>
                <w:color w:val="111827"/>
                <w:sz w:val="14"/>
              </w:rPr>
              <w:t>Observed auction final bids verified behind login</w:t>
            </w:r>
          </w:p>
        </w:tc>
        <w:tc>
          <w:tcPr>
            <w:tcW w:type="dxa" w:w="1656"/>
            <w:vAlign w:val="center"/>
            <w:shd w:fill="F5F7FA"/>
          </w:tcPr>
          <w:p>
            <w:pPr>
              <w:spacing w:after="0" w:before="0" w:line="240" w:lineRule="auto"/>
            </w:pPr>
            <w:r/>
            <w:r>
              <w:rPr>
                <w:rFonts w:ascii="Aptos" w:hAnsi="Aptos"/>
                <w:b w:val="0"/>
                <w:color w:val="111827"/>
                <w:sz w:val="14"/>
              </w:rPr>
              <w:t>Open item</w:t>
            </w:r>
          </w:p>
        </w:tc>
        <w:tc>
          <w:tcPr>
            <w:tcW w:type="dxa" w:w="1440"/>
            <w:vAlign w:val="center"/>
            <w:shd w:fill="F5F7FA"/>
          </w:tcPr>
          <w:p>
            <w:pPr>
              <w:spacing w:after="0" w:before="0" w:line="240" w:lineRule="auto"/>
            </w:pPr>
            <w:r/>
            <w:r>
              <w:rPr>
                <w:rFonts w:ascii="Aptos" w:hAnsi="Aptos"/>
                <w:b w:val="0"/>
                <w:color w:val="111827"/>
                <w:sz w:val="14"/>
              </w:rPr>
              <w:t>Data reporter</w:t>
            </w:r>
          </w:p>
        </w:tc>
        <w:tc>
          <w:tcPr>
            <w:tcW w:type="dxa" w:w="2880"/>
            <w:vAlign w:val="center"/>
            <w:shd w:fill="F5F7FA"/>
          </w:tcPr>
          <w:p>
            <w:pPr>
              <w:spacing w:after="0" w:before="0" w:line="240" w:lineRule="auto"/>
            </w:pPr>
            <w:r/>
            <w:r>
              <w:rPr>
                <w:rFonts w:ascii="Aptos" w:hAnsi="Aptos"/>
                <w:b w:val="0"/>
                <w:color w:val="111827"/>
                <w:sz w:val="14"/>
              </w:rPr>
              <w:t>Public page supports inferred final bid from next required increment; obtain authenticated confirmation before publication.</w:t>
            </w:r>
          </w:p>
        </w:tc>
      </w:tr>
      <w:tr>
        <w:tc>
          <w:tcPr>
            <w:tcW w:type="dxa" w:w="3888"/>
            <w:vAlign w:val="center"/>
          </w:tcPr>
          <w:p>
            <w:pPr>
              <w:spacing w:after="0" w:before="0" w:line="240" w:lineRule="auto"/>
            </w:pPr>
            <w:r/>
            <w:r>
              <w:rPr>
                <w:rFonts w:ascii="Aptos" w:hAnsi="Aptos"/>
                <w:b/>
                <w:color w:val="111827"/>
                <w:sz w:val="14"/>
              </w:rPr>
              <w:t>Buyer premium and seller-side auction fee verified for each observed lot</w:t>
            </w:r>
          </w:p>
        </w:tc>
        <w:tc>
          <w:tcPr>
            <w:tcW w:type="dxa" w:w="1656"/>
            <w:vAlign w:val="center"/>
          </w:tcPr>
          <w:p>
            <w:pPr>
              <w:spacing w:after="0" w:before="0" w:line="240" w:lineRule="auto"/>
            </w:pPr>
            <w:r/>
            <w:r>
              <w:rPr>
                <w:rFonts w:ascii="Aptos" w:hAnsi="Aptos"/>
                <w:b w:val="0"/>
                <w:color w:val="111827"/>
                <w:sz w:val="14"/>
              </w:rPr>
              <w:t>Open item</w:t>
            </w:r>
          </w:p>
        </w:tc>
        <w:tc>
          <w:tcPr>
            <w:tcW w:type="dxa" w:w="1440"/>
            <w:vAlign w:val="center"/>
          </w:tcPr>
          <w:p>
            <w:pPr>
              <w:spacing w:after="0" w:before="0" w:line="240" w:lineRule="auto"/>
            </w:pPr>
            <w:r/>
            <w:r>
              <w:rPr>
                <w:rFonts w:ascii="Aptos" w:hAnsi="Aptos"/>
                <w:b w:val="0"/>
                <w:color w:val="111827"/>
                <w:sz w:val="14"/>
              </w:rPr>
              <w:t>Data reporter</w:t>
            </w:r>
          </w:p>
        </w:tc>
        <w:tc>
          <w:tcPr>
            <w:tcW w:type="dxa" w:w="2880"/>
            <w:vAlign w:val="center"/>
          </w:tcPr>
          <w:p>
            <w:pPr>
              <w:spacing w:after="0" w:before="0" w:line="240" w:lineRule="auto"/>
            </w:pPr>
            <w:r/>
            <w:r>
              <w:rPr>
                <w:rFonts w:ascii="Aptos" w:hAnsi="Aptos"/>
                <w:b w:val="0"/>
                <w:color w:val="111827"/>
                <w:sz w:val="14"/>
              </w:rPr>
              <w:t>Current model uses 10% buyer premium and 5% seller-side fee assumptions.</w:t>
            </w:r>
          </w:p>
        </w:tc>
      </w:tr>
      <w:tr>
        <w:tc>
          <w:tcPr>
            <w:tcW w:type="dxa" w:w="3888"/>
            <w:vAlign w:val="center"/>
            <w:shd w:fill="F5F7FA"/>
          </w:tcPr>
          <w:p>
            <w:pPr>
              <w:spacing w:after="0" w:before="0" w:line="240" w:lineRule="auto"/>
            </w:pPr>
            <w:r/>
            <w:r>
              <w:rPr>
                <w:rFonts w:ascii="Aptos" w:hAnsi="Aptos"/>
                <w:b/>
                <w:color w:val="111827"/>
                <w:sz w:val="14"/>
              </w:rPr>
              <w:t>Auction freight quotes replaced with origin-destination quotes</w:t>
            </w:r>
          </w:p>
        </w:tc>
        <w:tc>
          <w:tcPr>
            <w:tcW w:type="dxa" w:w="1656"/>
            <w:vAlign w:val="center"/>
            <w:shd w:fill="F5F7FA"/>
          </w:tcPr>
          <w:p>
            <w:pPr>
              <w:spacing w:after="0" w:before="0" w:line="240" w:lineRule="auto"/>
            </w:pPr>
            <w:r/>
            <w:r>
              <w:rPr>
                <w:rFonts w:ascii="Aptos" w:hAnsi="Aptos"/>
                <w:b w:val="0"/>
                <w:color w:val="111827"/>
                <w:sz w:val="14"/>
              </w:rPr>
              <w:t>Open item</w:t>
            </w:r>
          </w:p>
        </w:tc>
        <w:tc>
          <w:tcPr>
            <w:tcW w:type="dxa" w:w="1440"/>
            <w:vAlign w:val="center"/>
            <w:shd w:fill="F5F7FA"/>
          </w:tcPr>
          <w:p>
            <w:pPr>
              <w:spacing w:after="0" w:before="0" w:line="240" w:lineRule="auto"/>
            </w:pPr>
            <w:r/>
            <w:r>
              <w:rPr>
                <w:rFonts w:ascii="Aptos" w:hAnsi="Aptos"/>
                <w:b w:val="0"/>
                <w:color w:val="111827"/>
                <w:sz w:val="14"/>
              </w:rPr>
              <w:t>Logistics reporter</w:t>
            </w:r>
          </w:p>
        </w:tc>
        <w:tc>
          <w:tcPr>
            <w:tcW w:type="dxa" w:w="2880"/>
            <w:vAlign w:val="center"/>
            <w:shd w:fill="F5F7FA"/>
          </w:tcPr>
          <w:p>
            <w:pPr>
              <w:spacing w:after="0" w:before="0" w:line="240" w:lineRule="auto"/>
            </w:pPr>
            <w:r/>
            <w:r>
              <w:rPr>
                <w:rFonts w:ascii="Aptos" w:hAnsi="Aptos"/>
                <w:b w:val="0"/>
                <w:color w:val="111827"/>
                <w:sz w:val="14"/>
              </w:rPr>
              <w:t>Base freight is an explicit assumption with low/high sensitivity.</w:t>
            </w:r>
          </w:p>
        </w:tc>
      </w:tr>
      <w:tr>
        <w:tc>
          <w:tcPr>
            <w:tcW w:type="dxa" w:w="3888"/>
            <w:vAlign w:val="center"/>
          </w:tcPr>
          <w:p>
            <w:pPr>
              <w:spacing w:after="0" w:before="0" w:line="240" w:lineRule="auto"/>
            </w:pPr>
            <w:r/>
            <w:r>
              <w:rPr>
                <w:rFonts w:ascii="Aptos" w:hAnsi="Aptos"/>
                <w:b/>
                <w:color w:val="111827"/>
                <w:sz w:val="14"/>
              </w:rPr>
              <w:t>ASOS, Amazon seller-refund, Walmart/WFS and carrier policies rechecked immediately before publication</w:t>
            </w:r>
          </w:p>
        </w:tc>
        <w:tc>
          <w:tcPr>
            <w:tcW w:type="dxa" w:w="1656"/>
            <w:vAlign w:val="center"/>
          </w:tcPr>
          <w:p>
            <w:pPr>
              <w:spacing w:after="0" w:before="0" w:line="240" w:lineRule="auto"/>
            </w:pPr>
            <w:r/>
            <w:r>
              <w:rPr>
                <w:rFonts w:ascii="Aptos" w:hAnsi="Aptos"/>
                <w:b w:val="0"/>
                <w:color w:val="111827"/>
                <w:sz w:val="14"/>
              </w:rPr>
              <w:t>Open item</w:t>
            </w:r>
          </w:p>
        </w:tc>
        <w:tc>
          <w:tcPr>
            <w:tcW w:type="dxa" w:w="1440"/>
            <w:vAlign w:val="center"/>
          </w:tcPr>
          <w:p>
            <w:pPr>
              <w:spacing w:after="0" w:before="0" w:line="240" w:lineRule="auto"/>
            </w:pPr>
            <w:r/>
            <w:r>
              <w:rPr>
                <w:rFonts w:ascii="Aptos" w:hAnsi="Aptos"/>
                <w:b w:val="0"/>
                <w:color w:val="111827"/>
                <w:sz w:val="14"/>
              </w:rPr>
              <w:t>Policy fact checker</w:t>
            </w:r>
          </w:p>
        </w:tc>
        <w:tc>
          <w:tcPr>
            <w:tcW w:type="dxa" w:w="2880"/>
            <w:vAlign w:val="center"/>
          </w:tcPr>
          <w:p>
            <w:pPr>
              <w:spacing w:after="0" w:before="0" w:line="240" w:lineRule="auto"/>
            </w:pPr>
            <w:r/>
            <w:r>
              <w:rPr>
                <w:rFonts w:ascii="Aptos" w:hAnsi="Aptos"/>
                <w:b w:val="0"/>
                <w:color w:val="111827"/>
                <w:sz w:val="14"/>
              </w:rPr>
              <w:t>Policies and fees can change after the evidence package date.</w:t>
            </w:r>
          </w:p>
        </w:tc>
      </w:tr>
      <w:tr>
        <w:tc>
          <w:tcPr>
            <w:tcW w:type="dxa" w:w="3888"/>
            <w:vAlign w:val="center"/>
            <w:shd w:fill="F5F7FA"/>
          </w:tcPr>
          <w:p>
            <w:pPr>
              <w:spacing w:after="0" w:before="0" w:line="240" w:lineRule="auto"/>
            </w:pPr>
            <w:r/>
            <w:r>
              <w:rPr>
                <w:rFonts w:ascii="Aptos" w:hAnsi="Aptos"/>
                <w:b/>
                <w:color w:val="111827"/>
                <w:sz w:val="14"/>
              </w:rPr>
              <w:t>NIST media-sanitization and USPS damaged-battery original links added</w:t>
            </w:r>
          </w:p>
        </w:tc>
        <w:tc>
          <w:tcPr>
            <w:tcW w:type="dxa" w:w="1656"/>
            <w:vAlign w:val="center"/>
            <w:shd w:fill="F5F7FA"/>
          </w:tcPr>
          <w:p>
            <w:pPr>
              <w:spacing w:after="0" w:before="0" w:line="240" w:lineRule="auto"/>
            </w:pPr>
            <w:r/>
            <w:r>
              <w:rPr>
                <w:rFonts w:ascii="Aptos" w:hAnsi="Aptos"/>
                <w:b w:val="0"/>
                <w:color w:val="111827"/>
                <w:sz w:val="14"/>
              </w:rPr>
              <w:t>Open item</w:t>
            </w:r>
          </w:p>
        </w:tc>
        <w:tc>
          <w:tcPr>
            <w:tcW w:type="dxa" w:w="1440"/>
            <w:vAlign w:val="center"/>
            <w:shd w:fill="F5F7FA"/>
          </w:tcPr>
          <w:p>
            <w:pPr>
              <w:spacing w:after="0" w:before="0" w:line="240" w:lineRule="auto"/>
            </w:pPr>
            <w:r/>
            <w:r>
              <w:rPr>
                <w:rFonts w:ascii="Aptos" w:hAnsi="Aptos"/>
                <w:b w:val="0"/>
                <w:color w:val="111827"/>
                <w:sz w:val="14"/>
              </w:rPr>
              <w:t>Regulatory fact checker</w:t>
            </w:r>
          </w:p>
        </w:tc>
        <w:tc>
          <w:tcPr>
            <w:tcW w:type="dxa" w:w="2880"/>
            <w:vAlign w:val="center"/>
            <w:shd w:fill="F5F7FA"/>
          </w:tcPr>
          <w:p>
            <w:pPr>
              <w:spacing w:after="0" w:before="0" w:line="240" w:lineRule="auto"/>
            </w:pPr>
            <w:r/>
            <w:r>
              <w:rPr>
                <w:rFonts w:ascii="Aptos" w:hAnsi="Aptos"/>
                <w:b w:val="0"/>
                <w:color w:val="111827"/>
                <w:sz w:val="14"/>
              </w:rPr>
              <w:t>The package cites the rules in synthesis but does not include the original URLs in its source list.</w:t>
            </w:r>
          </w:p>
        </w:tc>
      </w:tr>
      <w:tr>
        <w:tc>
          <w:tcPr>
            <w:tcW w:type="dxa" w:w="3888"/>
            <w:vAlign w:val="center"/>
          </w:tcPr>
          <w:p>
            <w:pPr>
              <w:spacing w:after="0" w:before="0" w:line="240" w:lineRule="auto"/>
            </w:pPr>
            <w:r/>
            <w:r>
              <w:rPr>
                <w:rFonts w:ascii="Aptos" w:hAnsi="Aptos"/>
                <w:b/>
                <w:color w:val="111827"/>
                <w:sz w:val="14"/>
              </w:rPr>
              <w:t>Ulta disposal endpoint defined</w:t>
            </w:r>
          </w:p>
        </w:tc>
        <w:tc>
          <w:tcPr>
            <w:tcW w:type="dxa" w:w="1656"/>
            <w:vAlign w:val="center"/>
          </w:tcPr>
          <w:p>
            <w:pPr>
              <w:spacing w:after="0" w:before="0" w:line="240" w:lineRule="auto"/>
            </w:pPr>
            <w:r/>
            <w:r>
              <w:rPr>
                <w:rFonts w:ascii="Aptos" w:hAnsi="Aptos"/>
                <w:b w:val="0"/>
                <w:color w:val="111827"/>
                <w:sz w:val="14"/>
              </w:rPr>
              <w:t>Open item</w:t>
            </w:r>
          </w:p>
        </w:tc>
        <w:tc>
          <w:tcPr>
            <w:tcW w:type="dxa" w:w="1440"/>
            <w:vAlign w:val="center"/>
          </w:tcPr>
          <w:p>
            <w:pPr>
              <w:spacing w:after="0" w:before="0" w:line="240" w:lineRule="auto"/>
            </w:pPr>
            <w:r/>
            <w:r>
              <w:rPr>
                <w:rFonts w:ascii="Aptos" w:hAnsi="Aptos"/>
                <w:b w:val="0"/>
                <w:color w:val="111827"/>
                <w:sz w:val="14"/>
              </w:rPr>
              <w:t>Sustainability reporter</w:t>
            </w:r>
          </w:p>
        </w:tc>
        <w:tc>
          <w:tcPr>
            <w:tcW w:type="dxa" w:w="2880"/>
            <w:vAlign w:val="center"/>
          </w:tcPr>
          <w:p>
            <w:pPr>
              <w:spacing w:after="0" w:before="0" w:line="240" w:lineRule="auto"/>
            </w:pPr>
            <w:r/>
            <w:r>
              <w:rPr>
                <w:rFonts w:ascii="Aptos" w:hAnsi="Aptos"/>
                <w:b w:val="0"/>
                <w:color w:val="111827"/>
                <w:sz w:val="14"/>
              </w:rPr>
              <w:t>Policy establishes no resale and disposal, not landfill/recycling split.</w:t>
            </w:r>
          </w:p>
        </w:tc>
      </w:tr>
      <w:tr>
        <w:tc>
          <w:tcPr>
            <w:tcW w:type="dxa" w:w="3888"/>
            <w:vAlign w:val="center"/>
            <w:shd w:fill="F5F7FA"/>
          </w:tcPr>
          <w:p>
            <w:pPr>
              <w:spacing w:after="0" w:before="0" w:line="240" w:lineRule="auto"/>
            </w:pPr>
            <w:r/>
            <w:r>
              <w:rPr>
                <w:rFonts w:ascii="Aptos" w:hAnsi="Aptos"/>
                <w:b/>
                <w:color w:val="111827"/>
                <w:sz w:val="14"/>
              </w:rPr>
              <w:t>Marketplace contracts obtained for title, fee and recovery allocation</w:t>
            </w:r>
          </w:p>
        </w:tc>
        <w:tc>
          <w:tcPr>
            <w:tcW w:type="dxa" w:w="1656"/>
            <w:vAlign w:val="center"/>
            <w:shd w:fill="F5F7FA"/>
          </w:tcPr>
          <w:p>
            <w:pPr>
              <w:spacing w:after="0" w:before="0" w:line="240" w:lineRule="auto"/>
            </w:pPr>
            <w:r/>
            <w:r>
              <w:rPr>
                <w:rFonts w:ascii="Aptos" w:hAnsi="Aptos"/>
                <w:b w:val="0"/>
                <w:color w:val="111827"/>
                <w:sz w:val="14"/>
              </w:rPr>
              <w:t>Open item</w:t>
            </w:r>
          </w:p>
        </w:tc>
        <w:tc>
          <w:tcPr>
            <w:tcW w:type="dxa" w:w="1440"/>
            <w:vAlign w:val="center"/>
            <w:shd w:fill="F5F7FA"/>
          </w:tcPr>
          <w:p>
            <w:pPr>
              <w:spacing w:after="0" w:before="0" w:line="240" w:lineRule="auto"/>
            </w:pPr>
            <w:r/>
            <w:r>
              <w:rPr>
                <w:rFonts w:ascii="Aptos" w:hAnsi="Aptos"/>
                <w:b w:val="0"/>
                <w:color w:val="111827"/>
                <w:sz w:val="14"/>
              </w:rPr>
              <w:t>Contracts reporter</w:t>
            </w:r>
          </w:p>
        </w:tc>
        <w:tc>
          <w:tcPr>
            <w:tcW w:type="dxa" w:w="2880"/>
            <w:vAlign w:val="center"/>
            <w:shd w:fill="F5F7FA"/>
          </w:tcPr>
          <w:p>
            <w:pPr>
              <w:spacing w:after="0" w:before="0" w:line="240" w:lineRule="auto"/>
            </w:pPr>
            <w:r/>
            <w:r>
              <w:rPr>
                <w:rFonts w:ascii="Aptos" w:hAnsi="Aptos"/>
                <w:b w:val="0"/>
                <w:color w:val="111827"/>
                <w:sz w:val="14"/>
              </w:rPr>
              <w:t>Public policies are not enough for legal ownership at every stage.</w:t>
            </w:r>
          </w:p>
        </w:tc>
      </w:tr>
      <w:tr>
        <w:tc>
          <w:tcPr>
            <w:tcW w:type="dxa" w:w="3888"/>
            <w:vAlign w:val="center"/>
          </w:tcPr>
          <w:p>
            <w:pPr>
              <w:spacing w:after="0" w:before="0" w:line="240" w:lineRule="auto"/>
            </w:pPr>
            <w:r/>
            <w:r>
              <w:rPr>
                <w:rFonts w:ascii="Aptos" w:hAnsi="Aptos"/>
                <w:b/>
                <w:color w:val="111827"/>
                <w:sz w:val="14"/>
              </w:rPr>
              <w:t>Inspection minutes and refurbishment success validated with operators</w:t>
            </w:r>
          </w:p>
        </w:tc>
        <w:tc>
          <w:tcPr>
            <w:tcW w:type="dxa" w:w="1656"/>
            <w:vAlign w:val="center"/>
          </w:tcPr>
          <w:p>
            <w:pPr>
              <w:spacing w:after="0" w:before="0" w:line="240" w:lineRule="auto"/>
            </w:pPr>
            <w:r/>
            <w:r>
              <w:rPr>
                <w:rFonts w:ascii="Aptos" w:hAnsi="Aptos"/>
                <w:b w:val="0"/>
                <w:color w:val="111827"/>
                <w:sz w:val="14"/>
              </w:rPr>
              <w:t>Open item</w:t>
            </w:r>
          </w:p>
        </w:tc>
        <w:tc>
          <w:tcPr>
            <w:tcW w:type="dxa" w:w="1440"/>
            <w:vAlign w:val="center"/>
          </w:tcPr>
          <w:p>
            <w:pPr>
              <w:spacing w:after="0" w:before="0" w:line="240" w:lineRule="auto"/>
            </w:pPr>
            <w:r/>
            <w:r>
              <w:rPr>
                <w:rFonts w:ascii="Aptos" w:hAnsi="Aptos"/>
                <w:b w:val="0"/>
                <w:color w:val="111827"/>
                <w:sz w:val="14"/>
              </w:rPr>
              <w:t>Interviews lead</w:t>
            </w:r>
          </w:p>
        </w:tc>
        <w:tc>
          <w:tcPr>
            <w:tcW w:type="dxa" w:w="2880"/>
            <w:vAlign w:val="center"/>
          </w:tcPr>
          <w:p>
            <w:pPr>
              <w:spacing w:after="0" w:before="0" w:line="240" w:lineRule="auto"/>
            </w:pPr>
            <w:r/>
            <w:r>
              <w:rPr>
                <w:rFonts w:ascii="Aptos" w:hAnsi="Aptos"/>
                <w:b w:val="0"/>
                <w:color w:val="111827"/>
                <w:sz w:val="14"/>
              </w:rPr>
              <w:t>Highest-impact model gap for electronics and low-value goods.</w:t>
            </w:r>
          </w:p>
        </w:tc>
      </w:tr>
      <w:tr>
        <w:tc>
          <w:tcPr>
            <w:tcW w:type="dxa" w:w="3888"/>
            <w:vAlign w:val="center"/>
            <w:shd w:fill="F5F7FA"/>
          </w:tcPr>
          <w:p>
            <w:pPr>
              <w:spacing w:after="0" w:before="0" w:line="240" w:lineRule="auto"/>
            </w:pPr>
            <w:r/>
            <w:r>
              <w:rPr>
                <w:rFonts w:ascii="Aptos" w:hAnsi="Aptos"/>
                <w:b/>
                <w:color w:val="111827"/>
                <w:sz w:val="14"/>
              </w:rPr>
              <w:t>Route shares by category obtained or uncertainty kept visible</w:t>
            </w:r>
          </w:p>
        </w:tc>
        <w:tc>
          <w:tcPr>
            <w:tcW w:type="dxa" w:w="1656"/>
            <w:vAlign w:val="center"/>
            <w:shd w:fill="F5F7FA"/>
          </w:tcPr>
          <w:p>
            <w:pPr>
              <w:spacing w:after="0" w:before="0" w:line="240" w:lineRule="auto"/>
            </w:pPr>
            <w:r/>
            <w:r>
              <w:rPr>
                <w:rFonts w:ascii="Aptos" w:hAnsi="Aptos"/>
                <w:b w:val="0"/>
                <w:color w:val="111827"/>
                <w:sz w:val="14"/>
              </w:rPr>
              <w:t>Complete in model as assumptions</w:t>
            </w:r>
          </w:p>
        </w:tc>
        <w:tc>
          <w:tcPr>
            <w:tcW w:type="dxa" w:w="1440"/>
            <w:vAlign w:val="center"/>
            <w:shd w:fill="F5F7FA"/>
          </w:tcPr>
          <w:p>
            <w:pPr>
              <w:spacing w:after="0" w:before="0" w:line="240" w:lineRule="auto"/>
            </w:pPr>
            <w:r/>
            <w:r>
              <w:rPr>
                <w:rFonts w:ascii="Aptos" w:hAnsi="Aptos"/>
                <w:b w:val="0"/>
                <w:color w:val="111827"/>
                <w:sz w:val="14"/>
              </w:rPr>
              <w:t>Editor</w:t>
            </w:r>
          </w:p>
        </w:tc>
        <w:tc>
          <w:tcPr>
            <w:tcW w:type="dxa" w:w="2880"/>
            <w:vAlign w:val="center"/>
            <w:shd w:fill="F5F7FA"/>
          </w:tcPr>
          <w:p>
            <w:pPr>
              <w:spacing w:after="0" w:before="0" w:line="240" w:lineRule="auto"/>
            </w:pPr>
            <w:r/>
            <w:r>
              <w:rPr>
                <w:rFonts w:ascii="Aptos" w:hAnsi="Aptos"/>
                <w:b w:val="0"/>
                <w:color w:val="111827"/>
                <w:sz w:val="14"/>
              </w:rPr>
              <w:t>Do not relabel model route shares as company disclosures.</w:t>
            </w:r>
          </w:p>
        </w:tc>
      </w:tr>
      <w:tr>
        <w:tc>
          <w:tcPr>
            <w:tcW w:type="dxa" w:w="3888"/>
            <w:vAlign w:val="center"/>
          </w:tcPr>
          <w:p>
            <w:pPr>
              <w:spacing w:after="0" w:before="0" w:line="240" w:lineRule="auto"/>
            </w:pPr>
            <w:r/>
            <w:r>
              <w:rPr>
                <w:rFonts w:ascii="Aptos" w:hAnsi="Aptos"/>
                <w:b/>
                <w:color w:val="111827"/>
                <w:sz w:val="14"/>
              </w:rPr>
              <w:t>Return-rate benchmark methodologies kept non-comparable</w:t>
            </w:r>
          </w:p>
        </w:tc>
        <w:tc>
          <w:tcPr>
            <w:tcW w:type="dxa" w:w="1656"/>
            <w:vAlign w:val="center"/>
          </w:tcPr>
          <w:p>
            <w:pPr>
              <w:spacing w:after="0" w:before="0" w:line="240" w:lineRule="auto"/>
            </w:pPr>
            <w:r/>
            <w:r>
              <w:rPr>
                <w:rFonts w:ascii="Aptos" w:hAnsi="Aptos"/>
                <w:b w:val="0"/>
                <w:color w:val="111827"/>
                <w:sz w:val="14"/>
              </w:rPr>
              <w:t>Complete</w:t>
            </w:r>
          </w:p>
        </w:tc>
        <w:tc>
          <w:tcPr>
            <w:tcW w:type="dxa" w:w="1440"/>
            <w:vAlign w:val="center"/>
          </w:tcPr>
          <w:p>
            <w:pPr>
              <w:spacing w:after="0" w:before="0" w:line="240" w:lineRule="auto"/>
            </w:pPr>
            <w:r/>
            <w:r>
              <w:rPr>
                <w:rFonts w:ascii="Aptos" w:hAnsi="Aptos"/>
                <w:b w:val="0"/>
                <w:color w:val="111827"/>
                <w:sz w:val="14"/>
              </w:rPr>
              <w:t>Fact checker</w:t>
            </w:r>
          </w:p>
        </w:tc>
        <w:tc>
          <w:tcPr>
            <w:tcW w:type="dxa" w:w="2880"/>
            <w:vAlign w:val="center"/>
          </w:tcPr>
          <w:p>
            <w:pPr>
              <w:spacing w:after="0" w:before="0" w:line="240" w:lineRule="auto"/>
            </w:pPr>
            <w:r/>
            <w:r>
              <w:rPr>
                <w:rFonts w:ascii="Aptos" w:hAnsi="Aptos"/>
                <w:b w:val="0"/>
                <w:color w:val="111827"/>
                <w:sz w:val="14"/>
              </w:rPr>
              <w:t>Avoid combining Appriss and NRF fraud/return figures.</w:t>
            </w:r>
          </w:p>
        </w:tc>
      </w:tr>
      <w:tr>
        <w:tc>
          <w:tcPr>
            <w:tcW w:type="dxa" w:w="3888"/>
            <w:vAlign w:val="center"/>
            <w:shd w:fill="F5F7FA"/>
          </w:tcPr>
          <w:p>
            <w:pPr>
              <w:spacing w:after="0" w:before="0" w:line="240" w:lineRule="auto"/>
            </w:pPr>
            <w:r/>
            <w:r>
              <w:rPr>
                <w:rFonts w:ascii="Aptos" w:hAnsi="Aptos"/>
                <w:b/>
                <w:color w:val="111827"/>
                <w:sz w:val="14"/>
              </w:rPr>
              <w:t>All calculations independently recalculated</w:t>
            </w:r>
          </w:p>
        </w:tc>
        <w:tc>
          <w:tcPr>
            <w:tcW w:type="dxa" w:w="1656"/>
            <w:vAlign w:val="center"/>
            <w:shd w:fill="F5F7FA"/>
          </w:tcPr>
          <w:p>
            <w:pPr>
              <w:spacing w:after="0" w:before="0" w:line="240" w:lineRule="auto"/>
            </w:pPr>
            <w:r/>
            <w:r>
              <w:rPr>
                <w:rFonts w:ascii="Aptos" w:hAnsi="Aptos"/>
                <w:b w:val="0"/>
                <w:color w:val="111827"/>
                <w:sz w:val="14"/>
              </w:rPr>
              <w:t>Pending final workbook QA</w:t>
            </w:r>
          </w:p>
        </w:tc>
        <w:tc>
          <w:tcPr>
            <w:tcW w:type="dxa" w:w="1440"/>
            <w:vAlign w:val="center"/>
            <w:shd w:fill="F5F7FA"/>
          </w:tcPr>
          <w:p>
            <w:pPr>
              <w:spacing w:after="0" w:before="0" w:line="240" w:lineRule="auto"/>
            </w:pPr>
            <w:r/>
            <w:r>
              <w:rPr>
                <w:rFonts w:ascii="Aptos" w:hAnsi="Aptos"/>
                <w:b w:val="0"/>
                <w:color w:val="111827"/>
                <w:sz w:val="14"/>
              </w:rPr>
              <w:t>Model reviewer</w:t>
            </w:r>
          </w:p>
        </w:tc>
        <w:tc>
          <w:tcPr>
            <w:tcW w:type="dxa" w:w="2880"/>
            <w:vAlign w:val="center"/>
            <w:shd w:fill="F5F7FA"/>
          </w:tcPr>
          <w:p>
            <w:pPr>
              <w:spacing w:after="0" w:before="0" w:line="240" w:lineRule="auto"/>
            </w:pPr>
            <w:r/>
            <w:r>
              <w:rPr>
                <w:rFonts w:ascii="Aptos" w:hAnsi="Aptos"/>
                <w:b w:val="0"/>
                <w:color w:val="111827"/>
                <w:sz w:val="14"/>
              </w:rPr>
              <w:t>Check formulas, signs, basis points and percentage denominators.</w:t>
            </w:r>
          </w:p>
        </w:tc>
      </w:tr>
    </w:tbl>
    <w:p>
      <w:pPr>
        <w:spacing w:after="0"/>
      </w:pPr>
    </w:p>
    <w:p>
      <w:pPr>
        <w:pStyle w:val="Caption"/>
        <w:jc w:val="left"/>
      </w:pPr>
      <w:r>
        <w:rPr>
          <w:b/>
        </w:rPr>
        <w:t>Appendix Table C1. Fact-check checklist</w:t>
      </w:r>
      <w:r>
        <w:rPr>
          <w:i/>
          <w:color w:val="6B7280"/>
        </w:rPr>
        <w:t xml:space="preserve">  Source: Open items should be resolved before external publication.</w:t>
      </w:r>
    </w:p>
    <w:p>
      <w:pPr>
        <w:sectPr>
          <w:pgSz w:w="12240" w:h="15840"/>
          <w:pgMar w:top="1008" w:right="1152" w:bottom="1008" w:left="1152" w:header="720" w:footer="720" w:gutter="0"/>
          <w:cols w:space="720"/>
          <w:docGrid w:linePitch="360"/>
        </w:sectPr>
      </w:pPr>
    </w:p>
    <w:p>
      <w:pPr>
        <w:pStyle w:val="Heading1"/>
      </w:pPr>
      <w:r>
        <w:t>Source ledger</w:t>
      </w:r>
    </w:p>
    <w:p>
      <w:r>
        <w:rPr>
          <w:b/>
        </w:rPr>
        <w:t xml:space="preserve">No new external sources were added. </w:t>
      </w:r>
      <w:r>
        <w:t>The ledger unifies the two supplied documents and their cited originals. URLs are printed for source verification; model assumptions cite source IDs rather than implying disclosure.</w:t>
      </w:r>
    </w:p>
    <w:tbl>
      <w:tblPr>
        <w:tblStyle w:val="TableGrid"/>
        <w:tblW w:type="auto" w:w="0"/>
        <w:jc w:val="center"/>
        <w:tblLayout w:type="fixed"/>
        <w:tblLook w:firstColumn="1" w:firstRow="1" w:lastColumn="0" w:lastRow="0" w:noHBand="0" w:noVBand="1" w:val="04A0"/>
      </w:tblPr>
      <w:tblGrid>
        <w:gridCol w:w="1782"/>
        <w:gridCol w:w="1782"/>
        <w:gridCol w:w="1782"/>
        <w:gridCol w:w="1782"/>
        <w:gridCol w:w="1782"/>
        <w:gridCol w:w="1782"/>
        <w:gridCol w:w="1782"/>
        <w:gridCol w:w="1782"/>
      </w:tblGrid>
      <w:tr>
        <w:trPr>
          <w:tblHeader w:val="true"/>
        </w:trPr>
        <w:tc>
          <w:tcPr>
            <w:tcW w:type="dxa" w:w="576"/>
            <w:vAlign w:val="center"/>
            <w:shd w:fill="17324D"/>
            <w:tcBorders>
              <w:bottom w:val="single" w:sz="8" w:color="FFFFFF"/>
            </w:tcBorders>
          </w:tcPr>
          <w:p>
            <w:pPr>
              <w:spacing w:after="0" w:before="0" w:line="240" w:lineRule="auto"/>
              <w:jc w:val="left"/>
            </w:pPr>
            <w:r/>
            <w:r>
              <w:rPr>
                <w:rFonts w:ascii="Aptos" w:hAnsi="Aptos"/>
                <w:b/>
                <w:color w:val="FFFFFF"/>
                <w:sz w:val="11"/>
              </w:rPr>
              <w:t>ID</w:t>
            </w:r>
          </w:p>
        </w:tc>
        <w:tc>
          <w:tcPr>
            <w:tcW w:type="dxa" w:w="2520"/>
            <w:vAlign w:val="center"/>
            <w:shd w:fill="17324D"/>
            <w:tcBorders>
              <w:bottom w:val="single" w:sz="8" w:color="FFFFFF"/>
            </w:tcBorders>
          </w:tcPr>
          <w:p>
            <w:pPr>
              <w:spacing w:after="0" w:before="0" w:line="240" w:lineRule="auto"/>
              <w:jc w:val="left"/>
            </w:pPr>
            <w:r/>
            <w:r>
              <w:rPr>
                <w:rFonts w:ascii="Aptos" w:hAnsi="Aptos"/>
                <w:b/>
                <w:color w:val="FFFFFF"/>
                <w:sz w:val="11"/>
              </w:rPr>
              <w:t>Title</w:t>
            </w:r>
          </w:p>
        </w:tc>
        <w:tc>
          <w:tcPr>
            <w:tcW w:type="dxa" w:w="4032"/>
            <w:vAlign w:val="center"/>
            <w:shd w:fill="17324D"/>
            <w:tcBorders>
              <w:bottom w:val="single" w:sz="8" w:color="FFFFFF"/>
            </w:tcBorders>
          </w:tcPr>
          <w:p>
            <w:pPr>
              <w:spacing w:after="0" w:before="0" w:line="240" w:lineRule="auto"/>
              <w:jc w:val="left"/>
            </w:pPr>
            <w:r/>
            <w:r>
              <w:rPr>
                <w:rFonts w:ascii="Aptos" w:hAnsi="Aptos"/>
                <w:b/>
                <w:color w:val="FFFFFF"/>
                <w:sz w:val="11"/>
              </w:rPr>
              <w:t>URL</w:t>
            </w:r>
          </w:p>
        </w:tc>
        <w:tc>
          <w:tcPr>
            <w:tcW w:type="dxa" w:w="1440"/>
            <w:vAlign w:val="center"/>
            <w:shd w:fill="17324D"/>
            <w:tcBorders>
              <w:bottom w:val="single" w:sz="8" w:color="FFFFFF"/>
            </w:tcBorders>
          </w:tcPr>
          <w:p>
            <w:pPr>
              <w:spacing w:after="0" w:before="0" w:line="240" w:lineRule="auto"/>
              <w:jc w:val="left"/>
            </w:pPr>
            <w:r/>
            <w:r>
              <w:rPr>
                <w:rFonts w:ascii="Aptos" w:hAnsi="Aptos"/>
                <w:b/>
                <w:color w:val="FFFFFF"/>
                <w:sz w:val="11"/>
              </w:rPr>
              <w:t>Source type</w:t>
            </w:r>
          </w:p>
        </w:tc>
        <w:tc>
          <w:tcPr>
            <w:tcW w:type="dxa" w:w="1440"/>
            <w:vAlign w:val="center"/>
            <w:shd w:fill="17324D"/>
            <w:tcBorders>
              <w:bottom w:val="single" w:sz="8" w:color="FFFFFF"/>
            </w:tcBorders>
          </w:tcPr>
          <w:p>
            <w:pPr>
              <w:spacing w:after="0" w:before="0" w:line="240" w:lineRule="auto"/>
              <w:jc w:val="left"/>
            </w:pPr>
            <w:r/>
            <w:r>
              <w:rPr>
                <w:rFonts w:ascii="Aptos" w:hAnsi="Aptos"/>
                <w:b/>
                <w:color w:val="FFFFFF"/>
                <w:sz w:val="11"/>
              </w:rPr>
              <w:t>Primary?</w:t>
            </w:r>
          </w:p>
        </w:tc>
        <w:tc>
          <w:tcPr>
            <w:tcW w:type="dxa" w:w="2880"/>
            <w:vAlign w:val="center"/>
            <w:shd w:fill="17324D"/>
            <w:tcBorders>
              <w:bottom w:val="single" w:sz="8" w:color="FFFFFF"/>
            </w:tcBorders>
          </w:tcPr>
          <w:p>
            <w:pPr>
              <w:spacing w:after="0" w:before="0" w:line="240" w:lineRule="auto"/>
              <w:jc w:val="left"/>
            </w:pPr>
            <w:r/>
            <w:r>
              <w:rPr>
                <w:rFonts w:ascii="Aptos" w:hAnsi="Aptos"/>
                <w:b/>
                <w:color w:val="FFFFFF"/>
                <w:sz w:val="11"/>
              </w:rPr>
              <w:t>Use</w:t>
            </w:r>
          </w:p>
        </w:tc>
        <w:tc>
          <w:tcPr>
            <w:tcW w:type="dxa" w:w="1872"/>
            <w:vAlign w:val="center"/>
            <w:shd w:fill="17324D"/>
            <w:tcBorders>
              <w:bottom w:val="single" w:sz="8" w:color="FFFFFF"/>
            </w:tcBorders>
          </w:tcPr>
          <w:p>
            <w:pPr>
              <w:spacing w:after="0" w:before="0" w:line="240" w:lineRule="auto"/>
              <w:jc w:val="left"/>
            </w:pPr>
            <w:r/>
            <w:r>
              <w:rPr>
                <w:rFonts w:ascii="Aptos" w:hAnsi="Aptos"/>
                <w:b/>
                <w:color w:val="FFFFFF"/>
                <w:sz w:val="11"/>
              </w:rPr>
              <w:t>Confidence</w:t>
            </w:r>
          </w:p>
        </w:tc>
        <w:tc>
          <w:tcPr>
            <w:tcW w:type="dxa" w:w="1080"/>
            <w:vAlign w:val="center"/>
            <w:shd w:fill="17324D"/>
            <w:tcBorders>
              <w:bottom w:val="single" w:sz="8" w:color="FFFFFF"/>
            </w:tcBorders>
          </w:tcPr>
          <w:p>
            <w:pPr>
              <w:spacing w:after="0" w:before="0" w:line="240" w:lineRule="auto"/>
              <w:jc w:val="left"/>
            </w:pPr>
            <w:r/>
            <w:r>
              <w:rPr>
                <w:rFonts w:ascii="Aptos" w:hAnsi="Aptos"/>
                <w:b/>
                <w:color w:val="FFFFFF"/>
                <w:sz w:val="11"/>
              </w:rPr>
              <w:t>New research?</w:t>
            </w:r>
          </w:p>
        </w:tc>
      </w:tr>
      <w:tr>
        <w:tc>
          <w:tcPr>
            <w:tcW w:type="dxa" w:w="576"/>
            <w:vAlign w:val="center"/>
          </w:tcPr>
          <w:p>
            <w:pPr>
              <w:spacing w:after="0" w:before="0" w:line="240" w:lineRule="auto"/>
            </w:pPr>
            <w:r/>
            <w:r>
              <w:rPr>
                <w:rFonts w:ascii="Aptos" w:hAnsi="Aptos"/>
                <w:b/>
                <w:color w:val="111827"/>
                <w:sz w:val="11"/>
              </w:rPr>
              <w:t>P01</w:t>
            </w:r>
          </w:p>
        </w:tc>
        <w:tc>
          <w:tcPr>
            <w:tcW w:type="dxa" w:w="2520"/>
            <w:vAlign w:val="center"/>
          </w:tcPr>
          <w:p>
            <w:pPr>
              <w:spacing w:after="0" w:before="0" w:line="240" w:lineRule="auto"/>
            </w:pPr>
            <w:r/>
            <w:r>
              <w:rPr>
                <w:rFonts w:ascii="Aptos" w:hAnsi="Aptos"/>
                <w:b w:val="0"/>
                <w:color w:val="111827"/>
                <w:sz w:val="11"/>
              </w:rPr>
              <w:t>Where Your Online Return Actually Goes - Executive evidence package</w:t>
            </w:r>
          </w:p>
        </w:tc>
        <w:tc>
          <w:tcPr>
            <w:tcW w:type="dxa" w:w="4032"/>
            <w:vAlign w:val="center"/>
          </w:tcPr>
          <w:p>
            <w:pPr>
              <w:spacing w:after="0" w:before="0" w:line="240" w:lineRule="auto"/>
            </w:pPr>
            <w:r/>
            <w:r>
              <w:rPr>
                <w:rFonts w:ascii="Aptos" w:hAnsi="Aptos"/>
                <w:b w:val="0"/>
                <w:color w:val="111827"/>
                <w:sz w:val="11"/>
              </w:rPr>
              <w:t>Local uploaded file</w:t>
            </w:r>
          </w:p>
        </w:tc>
        <w:tc>
          <w:tcPr>
            <w:tcW w:type="dxa" w:w="1440"/>
            <w:vAlign w:val="center"/>
          </w:tcPr>
          <w:p>
            <w:pPr>
              <w:spacing w:after="0" w:before="0" w:line="240" w:lineRule="auto"/>
            </w:pPr>
            <w:r/>
            <w:r>
              <w:rPr>
                <w:rFonts w:ascii="Aptos" w:hAnsi="Aptos"/>
                <w:b w:val="0"/>
                <w:color w:val="111827"/>
                <w:sz w:val="11"/>
              </w:rPr>
              <w:t>Evidence package / synthesis</w:t>
            </w:r>
          </w:p>
        </w:tc>
        <w:tc>
          <w:tcPr>
            <w:tcW w:type="dxa" w:w="1440"/>
            <w:vAlign w:val="center"/>
          </w:tcPr>
          <w:p>
            <w:pPr>
              <w:spacing w:after="0" w:before="0" w:line="240" w:lineRule="auto"/>
            </w:pPr>
            <w:r/>
            <w:r>
              <w:rPr>
                <w:rFonts w:ascii="Aptos" w:hAnsi="Aptos"/>
                <w:b w:val="0"/>
                <w:color w:val="111827"/>
                <w:sz w:val="11"/>
              </w:rPr>
              <w:t>No - synthesis of cited originals</w:t>
            </w:r>
          </w:p>
        </w:tc>
        <w:tc>
          <w:tcPr>
            <w:tcW w:type="dxa" w:w="2880"/>
            <w:vAlign w:val="center"/>
          </w:tcPr>
          <w:p>
            <w:pPr>
              <w:spacing w:after="0" w:before="0" w:line="240" w:lineRule="auto"/>
            </w:pPr>
            <w:r/>
            <w:r>
              <w:rPr>
                <w:rFonts w:ascii="Aptos" w:hAnsi="Aptos"/>
                <w:b w:val="0"/>
                <w:color w:val="111827"/>
                <w:sz w:val="11"/>
              </w:rPr>
              <w:t>Policies, operating models, cost anchors, ownership, regulation, sustainability, fraud</w:t>
            </w:r>
          </w:p>
        </w:tc>
        <w:tc>
          <w:tcPr>
            <w:tcW w:type="dxa" w:w="1872"/>
            <w:vAlign w:val="center"/>
          </w:tcPr>
          <w:p>
            <w:pPr>
              <w:spacing w:after="0" w:before="0" w:line="240" w:lineRule="auto"/>
            </w:pPr>
            <w:r/>
            <w:r>
              <w:rPr>
                <w:rFonts w:ascii="Aptos" w:hAnsi="Aptos"/>
                <w:b w:val="0"/>
                <w:color w:val="111827"/>
                <w:sz w:val="11"/>
              </w:rPr>
              <w:t>High as package record; varies by underlying source</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P02</w:t>
            </w:r>
          </w:p>
        </w:tc>
        <w:tc>
          <w:tcPr>
            <w:tcW w:type="dxa" w:w="2520"/>
            <w:vAlign w:val="center"/>
            <w:shd w:fill="F5F7FA"/>
          </w:tcPr>
          <w:p>
            <w:pPr>
              <w:spacing w:after="0" w:before="0" w:line="240" w:lineRule="auto"/>
            </w:pPr>
            <w:r/>
            <w:r>
              <w:rPr>
                <w:rFonts w:ascii="Aptos" w:hAnsi="Aptos"/>
                <w:b w:val="0"/>
                <w:color w:val="111827"/>
                <w:sz w:val="11"/>
              </w:rPr>
              <w:t>The Market After the Refund</w:t>
            </w:r>
          </w:p>
        </w:tc>
        <w:tc>
          <w:tcPr>
            <w:tcW w:type="dxa" w:w="4032"/>
            <w:vAlign w:val="center"/>
            <w:shd w:fill="F5F7FA"/>
          </w:tcPr>
          <w:p>
            <w:pPr>
              <w:spacing w:after="0" w:before="0" w:line="240" w:lineRule="auto"/>
            </w:pPr>
            <w:r/>
            <w:r>
              <w:rPr>
                <w:rFonts w:ascii="Aptos" w:hAnsi="Aptos"/>
                <w:b w:val="0"/>
                <w:color w:val="111827"/>
                <w:sz w:val="11"/>
              </w:rPr>
              <w:t>Local uploaded file</w:t>
            </w:r>
          </w:p>
        </w:tc>
        <w:tc>
          <w:tcPr>
            <w:tcW w:type="dxa" w:w="1440"/>
            <w:vAlign w:val="center"/>
            <w:shd w:fill="F5F7FA"/>
          </w:tcPr>
          <w:p>
            <w:pPr>
              <w:spacing w:after="0" w:before="0" w:line="240" w:lineRule="auto"/>
            </w:pPr>
            <w:r/>
            <w:r>
              <w:rPr>
                <w:rFonts w:ascii="Aptos" w:hAnsi="Aptos"/>
                <w:b w:val="0"/>
                <w:color w:val="111827"/>
                <w:sz w:val="11"/>
              </w:rPr>
              <w:t>Evidence package / synthesis</w:t>
            </w:r>
          </w:p>
        </w:tc>
        <w:tc>
          <w:tcPr>
            <w:tcW w:type="dxa" w:w="1440"/>
            <w:vAlign w:val="center"/>
            <w:shd w:fill="F5F7FA"/>
          </w:tcPr>
          <w:p>
            <w:pPr>
              <w:spacing w:after="0" w:before="0" w:line="240" w:lineRule="auto"/>
            </w:pPr>
            <w:r/>
            <w:r>
              <w:rPr>
                <w:rFonts w:ascii="Aptos" w:hAnsi="Aptos"/>
                <w:b w:val="0"/>
                <w:color w:val="111827"/>
                <w:sz w:val="11"/>
              </w:rPr>
              <w:t>No - synthesis of cited originals</w:t>
            </w:r>
          </w:p>
        </w:tc>
        <w:tc>
          <w:tcPr>
            <w:tcW w:type="dxa" w:w="2880"/>
            <w:vAlign w:val="center"/>
            <w:shd w:fill="F5F7FA"/>
          </w:tcPr>
          <w:p>
            <w:pPr>
              <w:spacing w:after="0" w:before="0" w:line="240" w:lineRule="auto"/>
            </w:pPr>
            <w:r/>
            <w:r>
              <w:rPr>
                <w:rFonts w:ascii="Aptos" w:hAnsi="Aptos"/>
                <w:b w:val="0"/>
                <w:color w:val="111827"/>
                <w:sz w:val="11"/>
              </w:rPr>
              <w:t>Liquidation recovery, auction observations, reseller economics, archetype ranges</w:t>
            </w:r>
          </w:p>
        </w:tc>
        <w:tc>
          <w:tcPr>
            <w:tcW w:type="dxa" w:w="1872"/>
            <w:vAlign w:val="center"/>
            <w:shd w:fill="F5F7FA"/>
          </w:tcPr>
          <w:p>
            <w:pPr>
              <w:spacing w:after="0" w:before="0" w:line="240" w:lineRule="auto"/>
            </w:pPr>
            <w:r/>
            <w:r>
              <w:rPr>
                <w:rFonts w:ascii="Aptos" w:hAnsi="Aptos"/>
                <w:b w:val="0"/>
                <w:color w:val="111827"/>
                <w:sz w:val="11"/>
              </w:rPr>
              <w:t>High as package record; limited sample for auctions</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S01</w:t>
            </w:r>
          </w:p>
        </w:tc>
        <w:tc>
          <w:tcPr>
            <w:tcW w:type="dxa" w:w="2520"/>
            <w:vAlign w:val="center"/>
          </w:tcPr>
          <w:p>
            <w:pPr>
              <w:spacing w:after="0" w:before="0" w:line="240" w:lineRule="auto"/>
            </w:pPr>
            <w:r/>
            <w:r>
              <w:rPr>
                <w:rFonts w:ascii="Aptos" w:hAnsi="Aptos"/>
                <w:b w:val="0"/>
                <w:color w:val="111827"/>
                <w:sz w:val="11"/>
              </w:rPr>
              <w:t>Amazon 2025 Form 10-K</w:t>
            </w:r>
          </w:p>
        </w:tc>
        <w:tc>
          <w:tcPr>
            <w:tcW w:type="dxa" w:w="4032"/>
            <w:vAlign w:val="center"/>
          </w:tcPr>
          <w:p>
            <w:pPr>
              <w:spacing w:after="0" w:before="0" w:line="240" w:lineRule="auto"/>
            </w:pPr>
            <w:r/>
            <w:r>
              <w:rPr>
                <w:rFonts w:ascii="Aptos" w:hAnsi="Aptos"/>
                <w:b w:val="0"/>
                <w:color w:val="111827"/>
                <w:sz w:val="11"/>
              </w:rPr>
              <w:t>https://www.sec.gov/Archives/edgar/data/1018724/000101872426000004/amzn-20251231.htm</w:t>
            </w:r>
          </w:p>
        </w:tc>
        <w:tc>
          <w:tcPr>
            <w:tcW w:type="dxa" w:w="1440"/>
            <w:vAlign w:val="center"/>
          </w:tcPr>
          <w:p>
            <w:pPr>
              <w:spacing w:after="0" w:before="0" w:line="240" w:lineRule="auto"/>
            </w:pPr>
            <w:r/>
            <w:r>
              <w:rPr>
                <w:rFonts w:ascii="Aptos" w:hAnsi="Aptos"/>
                <w:b w:val="0"/>
                <w:color w:val="111827"/>
                <w:sz w:val="11"/>
              </w:rPr>
              <w:t>SEC filing</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Return liability and recovery asset; Amazon retail accounting</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S02</w:t>
            </w:r>
          </w:p>
        </w:tc>
        <w:tc>
          <w:tcPr>
            <w:tcW w:type="dxa" w:w="2520"/>
            <w:vAlign w:val="center"/>
            <w:shd w:fill="F5F7FA"/>
          </w:tcPr>
          <w:p>
            <w:pPr>
              <w:spacing w:after="0" w:before="0" w:line="240" w:lineRule="auto"/>
            </w:pPr>
            <w:r/>
            <w:r>
              <w:rPr>
                <w:rFonts w:ascii="Aptos" w:hAnsi="Aptos"/>
                <w:b w:val="0"/>
                <w:color w:val="111827"/>
                <w:sz w:val="11"/>
              </w:rPr>
              <w:t>Walmart Marketplace Learn - Add a Keep It Rule</w:t>
            </w:r>
          </w:p>
        </w:tc>
        <w:tc>
          <w:tcPr>
            <w:tcW w:type="dxa" w:w="4032"/>
            <w:vAlign w:val="center"/>
            <w:shd w:fill="F5F7FA"/>
          </w:tcPr>
          <w:p>
            <w:pPr>
              <w:spacing w:after="0" w:before="0" w:line="240" w:lineRule="auto"/>
            </w:pPr>
            <w:r/>
            <w:r>
              <w:rPr>
                <w:rFonts w:ascii="Aptos" w:hAnsi="Aptos"/>
                <w:b w:val="0"/>
                <w:color w:val="111827"/>
                <w:sz w:val="11"/>
              </w:rPr>
              <w:t>https://marketplacelearn.walmart.com/guides/Order%20management/Returns%20%26%20refunds/Add-a-Keep-It-Rule</w:t>
            </w:r>
          </w:p>
        </w:tc>
        <w:tc>
          <w:tcPr>
            <w:tcW w:type="dxa" w:w="1440"/>
            <w:vAlign w:val="center"/>
            <w:shd w:fill="F5F7FA"/>
          </w:tcPr>
          <w:p>
            <w:pPr>
              <w:spacing w:after="0" w:before="0" w:line="240" w:lineRule="auto"/>
            </w:pPr>
            <w:r/>
            <w:r>
              <w:rPr>
                <w:rFonts w:ascii="Aptos" w:hAnsi="Aptos"/>
                <w:b w:val="0"/>
                <w:color w:val="111827"/>
                <w:sz w:val="11"/>
              </w:rPr>
              <w:t>Official seller policy</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Returnless-refund rules and seller control</w:t>
            </w:r>
          </w:p>
        </w:tc>
        <w:tc>
          <w:tcPr>
            <w:tcW w:type="dxa" w:w="1872"/>
            <w:vAlign w:val="center"/>
            <w:shd w:fill="F5F7FA"/>
          </w:tcPr>
          <w:p>
            <w:pPr>
              <w:spacing w:after="0" w:before="0" w:line="240" w:lineRule="auto"/>
            </w:pPr>
            <w:r/>
            <w:r>
              <w:rPr>
                <w:rFonts w:ascii="Aptos" w:hAnsi="Aptos"/>
                <w:b w:val="0"/>
                <w:color w:val="111827"/>
                <w:sz w:val="11"/>
              </w:rPr>
              <w:t>High</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S03</w:t>
            </w:r>
          </w:p>
        </w:tc>
        <w:tc>
          <w:tcPr>
            <w:tcW w:type="dxa" w:w="2520"/>
            <w:vAlign w:val="center"/>
          </w:tcPr>
          <w:p>
            <w:pPr>
              <w:spacing w:after="0" w:before="0" w:line="240" w:lineRule="auto"/>
            </w:pPr>
            <w:r/>
            <w:r>
              <w:rPr>
                <w:rFonts w:ascii="Aptos" w:hAnsi="Aptos"/>
                <w:b w:val="0"/>
                <w:color w:val="111827"/>
                <w:sz w:val="11"/>
              </w:rPr>
              <w:t>Target returns help</w:t>
            </w:r>
          </w:p>
        </w:tc>
        <w:tc>
          <w:tcPr>
            <w:tcW w:type="dxa" w:w="4032"/>
            <w:vAlign w:val="center"/>
          </w:tcPr>
          <w:p>
            <w:pPr>
              <w:spacing w:after="0" w:before="0" w:line="240" w:lineRule="auto"/>
            </w:pPr>
            <w:r/>
            <w:r>
              <w:rPr>
                <w:rFonts w:ascii="Aptos" w:hAnsi="Aptos"/>
                <w:b w:val="0"/>
                <w:color w:val="111827"/>
                <w:sz w:val="11"/>
              </w:rPr>
              <w:t>https://www.target.com/help/articles/returns-exchanges/returns</w:t>
            </w:r>
          </w:p>
        </w:tc>
        <w:tc>
          <w:tcPr>
            <w:tcW w:type="dxa" w:w="1440"/>
            <w:vAlign w:val="center"/>
          </w:tcPr>
          <w:p>
            <w:pPr>
              <w:spacing w:after="0" w:before="0" w:line="240" w:lineRule="auto"/>
            </w:pPr>
            <w:r/>
            <w:r>
              <w:rPr>
                <w:rFonts w:ascii="Aptos" w:hAnsi="Aptos"/>
                <w:b w:val="0"/>
                <w:color w:val="111827"/>
                <w:sz w:val="11"/>
              </w:rPr>
              <w:t>Official consumer policy</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Target and Target Plus customer return routing</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S04</w:t>
            </w:r>
          </w:p>
        </w:tc>
        <w:tc>
          <w:tcPr>
            <w:tcW w:type="dxa" w:w="2520"/>
            <w:vAlign w:val="center"/>
            <w:shd w:fill="F5F7FA"/>
          </w:tcPr>
          <w:p>
            <w:pPr>
              <w:spacing w:after="0" w:before="0" w:line="240" w:lineRule="auto"/>
            </w:pPr>
            <w:r/>
            <w:r>
              <w:rPr>
                <w:rFonts w:ascii="Aptos" w:hAnsi="Aptos"/>
                <w:b w:val="0"/>
                <w:color w:val="111827"/>
                <w:sz w:val="11"/>
              </w:rPr>
              <w:t>Target Reverse Logistics Expert role</w:t>
            </w:r>
          </w:p>
        </w:tc>
        <w:tc>
          <w:tcPr>
            <w:tcW w:type="dxa" w:w="4032"/>
            <w:vAlign w:val="center"/>
            <w:shd w:fill="F5F7FA"/>
          </w:tcPr>
          <w:p>
            <w:pPr>
              <w:spacing w:after="0" w:before="0" w:line="240" w:lineRule="auto"/>
            </w:pPr>
            <w:r/>
            <w:r>
              <w:rPr>
                <w:rFonts w:ascii="Aptos" w:hAnsi="Aptos"/>
                <w:b w:val="0"/>
                <w:color w:val="111827"/>
                <w:sz w:val="11"/>
              </w:rPr>
              <w:t>https://corporate.target.com/jobs/w43/09/reverse-logistics-expert</w:t>
            </w:r>
          </w:p>
        </w:tc>
        <w:tc>
          <w:tcPr>
            <w:tcW w:type="dxa" w:w="1440"/>
            <w:vAlign w:val="center"/>
            <w:shd w:fill="F5F7FA"/>
          </w:tcPr>
          <w:p>
            <w:pPr>
              <w:spacing w:after="0" w:before="0" w:line="240" w:lineRule="auto"/>
            </w:pPr>
            <w:r/>
            <w:r>
              <w:rPr>
                <w:rFonts w:ascii="Aptos" w:hAnsi="Aptos"/>
                <w:b w:val="0"/>
                <w:color w:val="111827"/>
                <w:sz w:val="11"/>
              </w:rPr>
              <w:t>Official job posting</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CRC, donation, salvage, electronics recycling, vendor credits; tasks only, not throughput</w:t>
            </w:r>
          </w:p>
        </w:tc>
        <w:tc>
          <w:tcPr>
            <w:tcW w:type="dxa" w:w="1872"/>
            <w:vAlign w:val="center"/>
            <w:shd w:fill="F5F7FA"/>
          </w:tcPr>
          <w:p>
            <w:pPr>
              <w:spacing w:after="0" w:before="0" w:line="240" w:lineRule="auto"/>
            </w:pPr>
            <w:r/>
            <w:r>
              <w:rPr>
                <w:rFonts w:ascii="Aptos" w:hAnsi="Aptos"/>
                <w:b w:val="0"/>
                <w:color w:val="111827"/>
                <w:sz w:val="11"/>
              </w:rPr>
              <w:t>Medium-high</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S05</w:t>
            </w:r>
          </w:p>
        </w:tc>
        <w:tc>
          <w:tcPr>
            <w:tcW w:type="dxa" w:w="2520"/>
            <w:vAlign w:val="center"/>
          </w:tcPr>
          <w:p>
            <w:pPr>
              <w:spacing w:after="0" w:before="0" w:line="240" w:lineRule="auto"/>
            </w:pPr>
            <w:r/>
            <w:r>
              <w:rPr>
                <w:rFonts w:ascii="Aptos" w:hAnsi="Aptos"/>
                <w:b w:val="0"/>
                <w:color w:val="111827"/>
                <w:sz w:val="11"/>
              </w:rPr>
              <w:t>eBay - Refunding buyers</w:t>
            </w:r>
          </w:p>
        </w:tc>
        <w:tc>
          <w:tcPr>
            <w:tcW w:type="dxa" w:w="4032"/>
            <w:vAlign w:val="center"/>
          </w:tcPr>
          <w:p>
            <w:pPr>
              <w:spacing w:after="0" w:before="0" w:line="240" w:lineRule="auto"/>
            </w:pPr>
            <w:r/>
            <w:r>
              <w:rPr>
                <w:rFonts w:ascii="Aptos" w:hAnsi="Aptos"/>
                <w:b w:val="0"/>
                <w:color w:val="111827"/>
                <w:sz w:val="11"/>
              </w:rPr>
              <w:t>https://www.ebay.com/help/selling/managing-returns-refunds/refunding-buyers?id=5182</w:t>
            </w:r>
          </w:p>
        </w:tc>
        <w:tc>
          <w:tcPr>
            <w:tcW w:type="dxa" w:w="1440"/>
            <w:vAlign w:val="center"/>
          </w:tcPr>
          <w:p>
            <w:pPr>
              <w:spacing w:after="0" w:before="0" w:line="240" w:lineRule="auto"/>
            </w:pPr>
            <w:r/>
            <w:r>
              <w:rPr>
                <w:rFonts w:ascii="Aptos" w:hAnsi="Aptos"/>
                <w:b w:val="0"/>
                <w:color w:val="111827"/>
                <w:sz w:val="11"/>
              </w:rPr>
              <w:t>Official marketplace policy</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Inspection/refund sequence and seller fund deductions</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S06</w:t>
            </w:r>
          </w:p>
        </w:tc>
        <w:tc>
          <w:tcPr>
            <w:tcW w:type="dxa" w:w="2520"/>
            <w:vAlign w:val="center"/>
            <w:shd w:fill="F5F7FA"/>
          </w:tcPr>
          <w:p>
            <w:pPr>
              <w:spacing w:after="0" w:before="0" w:line="240" w:lineRule="auto"/>
            </w:pPr>
            <w:r/>
            <w:r>
              <w:rPr>
                <w:rFonts w:ascii="Aptos" w:hAnsi="Aptos"/>
                <w:b w:val="0"/>
                <w:color w:val="111827"/>
                <w:sz w:val="11"/>
              </w:rPr>
              <w:t>Amazon FBA Grade &amp; Resell announcement</w:t>
            </w:r>
          </w:p>
        </w:tc>
        <w:tc>
          <w:tcPr>
            <w:tcW w:type="dxa" w:w="4032"/>
            <w:vAlign w:val="center"/>
            <w:shd w:fill="F5F7FA"/>
          </w:tcPr>
          <w:p>
            <w:pPr>
              <w:spacing w:after="0" w:before="0" w:line="240" w:lineRule="auto"/>
            </w:pPr>
            <w:r/>
            <w:r>
              <w:rPr>
                <w:rFonts w:ascii="Aptos" w:hAnsi="Aptos"/>
                <w:b w:val="0"/>
                <w:color w:val="111827"/>
                <w:sz w:val="11"/>
              </w:rPr>
              <w:t>https://sellercentral.amazon.com/seller-forums/discussions/t/e53f277f-a59a-4b86-aceb-df824793e2a3</w:t>
            </w:r>
          </w:p>
        </w:tc>
        <w:tc>
          <w:tcPr>
            <w:tcW w:type="dxa" w:w="1440"/>
            <w:vAlign w:val="center"/>
            <w:shd w:fill="F5F7FA"/>
          </w:tcPr>
          <w:p>
            <w:pPr>
              <w:spacing w:after="0" w:before="0" w:line="240" w:lineRule="auto"/>
            </w:pPr>
            <w:r/>
            <w:r>
              <w:rPr>
                <w:rFonts w:ascii="Aptos" w:hAnsi="Aptos"/>
                <w:b w:val="0"/>
                <w:color w:val="111827"/>
                <w:sz w:val="11"/>
              </w:rPr>
              <w:t>Official seller communication</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Used-condition grading channel and seller of record</w:t>
            </w:r>
          </w:p>
        </w:tc>
        <w:tc>
          <w:tcPr>
            <w:tcW w:type="dxa" w:w="1872"/>
            <w:vAlign w:val="center"/>
            <w:shd w:fill="F5F7FA"/>
          </w:tcPr>
          <w:p>
            <w:pPr>
              <w:spacing w:after="0" w:before="0" w:line="240" w:lineRule="auto"/>
            </w:pPr>
            <w:r/>
            <w:r>
              <w:rPr>
                <w:rFonts w:ascii="Aptos" w:hAnsi="Aptos"/>
                <w:b w:val="0"/>
                <w:color w:val="111827"/>
                <w:sz w:val="11"/>
              </w:rPr>
              <w:t>High for program existence</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S07</w:t>
            </w:r>
          </w:p>
        </w:tc>
        <w:tc>
          <w:tcPr>
            <w:tcW w:type="dxa" w:w="2520"/>
            <w:vAlign w:val="center"/>
          </w:tcPr>
          <w:p>
            <w:pPr>
              <w:spacing w:after="0" w:before="0" w:line="240" w:lineRule="auto"/>
            </w:pPr>
            <w:r/>
            <w:r>
              <w:rPr>
                <w:rFonts w:ascii="Aptos" w:hAnsi="Aptos"/>
                <w:b w:val="0"/>
                <w:color w:val="111827"/>
                <w:sz w:val="11"/>
              </w:rPr>
              <w:t>Amazon FBA Liquidations help</w:t>
            </w:r>
          </w:p>
        </w:tc>
        <w:tc>
          <w:tcPr>
            <w:tcW w:type="dxa" w:w="4032"/>
            <w:vAlign w:val="center"/>
          </w:tcPr>
          <w:p>
            <w:pPr>
              <w:spacing w:after="0" w:before="0" w:line="240" w:lineRule="auto"/>
            </w:pPr>
            <w:r/>
            <w:r>
              <w:rPr>
                <w:rFonts w:ascii="Aptos" w:hAnsi="Aptos"/>
                <w:b w:val="0"/>
                <w:color w:val="111827"/>
                <w:sz w:val="11"/>
              </w:rPr>
              <w:t>https://sellercentral.amazon.com/help/hub/reference/external/GYVCG5Q3BEJ6MLMF</w:t>
            </w:r>
          </w:p>
        </w:tc>
        <w:tc>
          <w:tcPr>
            <w:tcW w:type="dxa" w:w="1440"/>
            <w:vAlign w:val="center"/>
          </w:tcPr>
          <w:p>
            <w:pPr>
              <w:spacing w:after="0" w:before="0" w:line="240" w:lineRule="auto"/>
            </w:pPr>
            <w:r/>
            <w:r>
              <w:rPr>
                <w:rFonts w:ascii="Aptos" w:hAnsi="Aptos"/>
                <w:b w:val="0"/>
                <w:color w:val="111827"/>
                <w:sz w:val="11"/>
              </w:rPr>
              <w:t>Official seller program</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Liquidation disposition channel</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S08</w:t>
            </w:r>
          </w:p>
        </w:tc>
        <w:tc>
          <w:tcPr>
            <w:tcW w:type="dxa" w:w="2520"/>
            <w:vAlign w:val="center"/>
            <w:shd w:fill="F5F7FA"/>
          </w:tcPr>
          <w:p>
            <w:pPr>
              <w:spacing w:after="0" w:before="0" w:line="240" w:lineRule="auto"/>
            </w:pPr>
            <w:r/>
            <w:r>
              <w:rPr>
                <w:rFonts w:ascii="Aptos" w:hAnsi="Aptos"/>
                <w:b w:val="0"/>
                <w:color w:val="111827"/>
                <w:sz w:val="11"/>
              </w:rPr>
              <w:t>Ulta Beauty guest services - returns</w:t>
            </w:r>
          </w:p>
        </w:tc>
        <w:tc>
          <w:tcPr>
            <w:tcW w:type="dxa" w:w="4032"/>
            <w:vAlign w:val="center"/>
            <w:shd w:fill="F5F7FA"/>
          </w:tcPr>
          <w:p>
            <w:pPr>
              <w:spacing w:after="0" w:before="0" w:line="240" w:lineRule="auto"/>
            </w:pPr>
            <w:r/>
            <w:r>
              <w:rPr>
                <w:rFonts w:ascii="Aptos" w:hAnsi="Aptos"/>
                <w:b w:val="0"/>
                <w:color w:val="111827"/>
                <w:sz w:val="11"/>
              </w:rPr>
              <w:t>https://www.ulta.com/guestservices/all</w:t>
            </w:r>
          </w:p>
        </w:tc>
        <w:tc>
          <w:tcPr>
            <w:tcW w:type="dxa" w:w="1440"/>
            <w:vAlign w:val="center"/>
            <w:shd w:fill="F5F7FA"/>
          </w:tcPr>
          <w:p>
            <w:pPr>
              <w:spacing w:after="0" w:before="0" w:line="240" w:lineRule="auto"/>
            </w:pPr>
            <w:r/>
            <w:r>
              <w:rPr>
                <w:rFonts w:ascii="Aptos" w:hAnsi="Aptos"/>
                <w:b w:val="0"/>
                <w:color w:val="111827"/>
                <w:sz w:val="11"/>
              </w:rPr>
              <w:t>Official consumer policy</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No resale of used, damaged, or expired returned products; disposal</w:t>
            </w:r>
          </w:p>
        </w:tc>
        <w:tc>
          <w:tcPr>
            <w:tcW w:type="dxa" w:w="1872"/>
            <w:vAlign w:val="center"/>
            <w:shd w:fill="F5F7FA"/>
          </w:tcPr>
          <w:p>
            <w:pPr>
              <w:spacing w:after="0" w:before="0" w:line="240" w:lineRule="auto"/>
            </w:pPr>
            <w:r/>
            <w:r>
              <w:rPr>
                <w:rFonts w:ascii="Aptos" w:hAnsi="Aptos"/>
                <w:b w:val="0"/>
                <w:color w:val="111827"/>
                <w:sz w:val="11"/>
              </w:rPr>
              <w:t>High</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S09</w:t>
            </w:r>
          </w:p>
        </w:tc>
        <w:tc>
          <w:tcPr>
            <w:tcW w:type="dxa" w:w="2520"/>
            <w:vAlign w:val="center"/>
          </w:tcPr>
          <w:p>
            <w:pPr>
              <w:spacing w:after="0" w:before="0" w:line="240" w:lineRule="auto"/>
            </w:pPr>
            <w:r/>
            <w:r>
              <w:rPr>
                <w:rFonts w:ascii="Aptos" w:hAnsi="Aptos"/>
                <w:b w:val="0"/>
                <w:color w:val="111827"/>
                <w:sz w:val="11"/>
              </w:rPr>
              <w:t>Amazon FBA overview</w:t>
            </w:r>
          </w:p>
        </w:tc>
        <w:tc>
          <w:tcPr>
            <w:tcW w:type="dxa" w:w="4032"/>
            <w:vAlign w:val="center"/>
          </w:tcPr>
          <w:p>
            <w:pPr>
              <w:spacing w:after="0" w:before="0" w:line="240" w:lineRule="auto"/>
            </w:pPr>
            <w:r/>
            <w:r>
              <w:rPr>
                <w:rFonts w:ascii="Aptos" w:hAnsi="Aptos"/>
                <w:b w:val="0"/>
                <w:color w:val="111827"/>
                <w:sz w:val="11"/>
              </w:rPr>
              <w:t>https://sell.amazon.com/fulfillment-by-amazon</w:t>
            </w:r>
          </w:p>
        </w:tc>
        <w:tc>
          <w:tcPr>
            <w:tcW w:type="dxa" w:w="1440"/>
            <w:vAlign w:val="center"/>
          </w:tcPr>
          <w:p>
            <w:pPr>
              <w:spacing w:after="0" w:before="0" w:line="240" w:lineRule="auto"/>
            </w:pPr>
            <w:r/>
            <w:r>
              <w:rPr>
                <w:rFonts w:ascii="Aptos" w:hAnsi="Aptos"/>
                <w:b w:val="0"/>
                <w:color w:val="111827"/>
                <w:sz w:val="11"/>
              </w:rPr>
              <w:t>Official seller program</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Platform processing of seller returns</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S10</w:t>
            </w:r>
          </w:p>
        </w:tc>
        <w:tc>
          <w:tcPr>
            <w:tcW w:type="dxa" w:w="2520"/>
            <w:vAlign w:val="center"/>
            <w:shd w:fill="F5F7FA"/>
          </w:tcPr>
          <w:p>
            <w:pPr>
              <w:spacing w:after="0" w:before="0" w:line="240" w:lineRule="auto"/>
            </w:pPr>
            <w:r/>
            <w:r>
              <w:rPr>
                <w:rFonts w:ascii="Aptos" w:hAnsi="Aptos"/>
                <w:b w:val="0"/>
                <w:color w:val="111827"/>
                <w:sz w:val="11"/>
              </w:rPr>
              <w:t>Walmart standard return policy</w:t>
            </w:r>
          </w:p>
        </w:tc>
        <w:tc>
          <w:tcPr>
            <w:tcW w:type="dxa" w:w="4032"/>
            <w:vAlign w:val="center"/>
            <w:shd w:fill="F5F7FA"/>
          </w:tcPr>
          <w:p>
            <w:pPr>
              <w:spacing w:after="0" w:before="0" w:line="240" w:lineRule="auto"/>
            </w:pPr>
            <w:r/>
            <w:r>
              <w:rPr>
                <w:rFonts w:ascii="Aptos" w:hAnsi="Aptos"/>
                <w:b w:val="0"/>
                <w:color w:val="111827"/>
                <w:sz w:val="11"/>
              </w:rPr>
              <w:t>https://www.walmart.com/help/article/walmart-standard-return-policy/adc0dfb692954e67a4de206fb8d9e03a</w:t>
            </w:r>
          </w:p>
        </w:tc>
        <w:tc>
          <w:tcPr>
            <w:tcW w:type="dxa" w:w="1440"/>
            <w:vAlign w:val="center"/>
            <w:shd w:fill="F5F7FA"/>
          </w:tcPr>
          <w:p>
            <w:pPr>
              <w:spacing w:after="0" w:before="0" w:line="240" w:lineRule="auto"/>
            </w:pPr>
            <w:r/>
            <w:r>
              <w:rPr>
                <w:rFonts w:ascii="Aptos" w:hAnsi="Aptos"/>
                <w:b w:val="0"/>
                <w:color w:val="111827"/>
                <w:sz w:val="11"/>
              </w:rPr>
              <w:t>Official consumer policy</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Return windows and marketplace exceptions</w:t>
            </w:r>
          </w:p>
        </w:tc>
        <w:tc>
          <w:tcPr>
            <w:tcW w:type="dxa" w:w="1872"/>
            <w:vAlign w:val="center"/>
            <w:shd w:fill="F5F7FA"/>
          </w:tcPr>
          <w:p>
            <w:pPr>
              <w:spacing w:after="0" w:before="0" w:line="240" w:lineRule="auto"/>
            </w:pPr>
            <w:r/>
            <w:r>
              <w:rPr>
                <w:rFonts w:ascii="Aptos" w:hAnsi="Aptos"/>
                <w:b w:val="0"/>
                <w:color w:val="111827"/>
                <w:sz w:val="11"/>
              </w:rPr>
              <w:t>High</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S11</w:t>
            </w:r>
          </w:p>
        </w:tc>
        <w:tc>
          <w:tcPr>
            <w:tcW w:type="dxa" w:w="2520"/>
            <w:vAlign w:val="center"/>
          </w:tcPr>
          <w:p>
            <w:pPr>
              <w:spacing w:after="0" w:before="0" w:line="240" w:lineRule="auto"/>
            </w:pPr>
            <w:r/>
            <w:r>
              <w:rPr>
                <w:rFonts w:ascii="Aptos" w:hAnsi="Aptos"/>
                <w:b w:val="0"/>
                <w:color w:val="111827"/>
                <w:sz w:val="11"/>
              </w:rPr>
              <w:t>Best Buy return and exchange policy</w:t>
            </w:r>
          </w:p>
        </w:tc>
        <w:tc>
          <w:tcPr>
            <w:tcW w:type="dxa" w:w="4032"/>
            <w:vAlign w:val="center"/>
          </w:tcPr>
          <w:p>
            <w:pPr>
              <w:spacing w:after="0" w:before="0" w:line="240" w:lineRule="auto"/>
            </w:pPr>
            <w:r/>
            <w:r>
              <w:rPr>
                <w:rFonts w:ascii="Aptos" w:hAnsi="Aptos"/>
                <w:b w:val="0"/>
                <w:color w:val="111827"/>
                <w:sz w:val="11"/>
              </w:rPr>
              <w:t>https://www.bestbuy.com/site/help-topics/return-exchange-policy/pcmcat260800050014.c?id=pcmcat260800050014</w:t>
            </w:r>
          </w:p>
        </w:tc>
        <w:tc>
          <w:tcPr>
            <w:tcW w:type="dxa" w:w="1440"/>
            <w:vAlign w:val="center"/>
          </w:tcPr>
          <w:p>
            <w:pPr>
              <w:spacing w:after="0" w:before="0" w:line="240" w:lineRule="auto"/>
            </w:pPr>
            <w:r/>
            <w:r>
              <w:rPr>
                <w:rFonts w:ascii="Aptos" w:hAnsi="Aptos"/>
                <w:b w:val="0"/>
                <w:color w:val="111827"/>
                <w:sz w:val="11"/>
              </w:rPr>
              <w:t>Official consumer policy</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Opened-item restrictions and condition channels</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S12</w:t>
            </w:r>
          </w:p>
        </w:tc>
        <w:tc>
          <w:tcPr>
            <w:tcW w:type="dxa" w:w="2520"/>
            <w:vAlign w:val="center"/>
            <w:shd w:fill="F5F7FA"/>
          </w:tcPr>
          <w:p>
            <w:pPr>
              <w:spacing w:after="0" w:before="0" w:line="240" w:lineRule="auto"/>
            </w:pPr>
            <w:r/>
            <w:r>
              <w:rPr>
                <w:rFonts w:ascii="Aptos" w:hAnsi="Aptos"/>
                <w:b w:val="0"/>
                <w:color w:val="111827"/>
                <w:sz w:val="11"/>
              </w:rPr>
              <w:t>Wayfair 2025 Form 10-K</w:t>
            </w:r>
          </w:p>
        </w:tc>
        <w:tc>
          <w:tcPr>
            <w:tcW w:type="dxa" w:w="4032"/>
            <w:vAlign w:val="center"/>
            <w:shd w:fill="F5F7FA"/>
          </w:tcPr>
          <w:p>
            <w:pPr>
              <w:spacing w:after="0" w:before="0" w:line="240" w:lineRule="auto"/>
            </w:pPr>
            <w:r/>
            <w:r>
              <w:rPr>
                <w:rFonts w:ascii="Aptos" w:hAnsi="Aptos"/>
                <w:b w:val="0"/>
                <w:color w:val="111827"/>
                <w:sz w:val="11"/>
              </w:rPr>
              <w:t>https://www.sec.gov/Archives/edgar/data/1616707/000161670726000027/w-20251231.htm</w:t>
            </w:r>
          </w:p>
        </w:tc>
        <w:tc>
          <w:tcPr>
            <w:tcW w:type="dxa" w:w="1440"/>
            <w:vAlign w:val="center"/>
            <w:shd w:fill="F5F7FA"/>
          </w:tcPr>
          <w:p>
            <w:pPr>
              <w:spacing w:after="0" w:before="0" w:line="240" w:lineRule="auto"/>
            </w:pPr>
            <w:r/>
            <w:r>
              <w:rPr>
                <w:rFonts w:ascii="Aptos" w:hAnsi="Aptos"/>
                <w:b w:val="0"/>
                <w:color w:val="111827"/>
                <w:sz w:val="11"/>
              </w:rPr>
              <w:t>SEC filing</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Bulky-product handling, transit damage, network footprint</w:t>
            </w:r>
          </w:p>
        </w:tc>
        <w:tc>
          <w:tcPr>
            <w:tcW w:type="dxa" w:w="1872"/>
            <w:vAlign w:val="center"/>
            <w:shd w:fill="F5F7FA"/>
          </w:tcPr>
          <w:p>
            <w:pPr>
              <w:spacing w:after="0" w:before="0" w:line="240" w:lineRule="auto"/>
            </w:pPr>
            <w:r/>
            <w:r>
              <w:rPr>
                <w:rFonts w:ascii="Aptos" w:hAnsi="Aptos"/>
                <w:b w:val="0"/>
                <w:color w:val="111827"/>
                <w:sz w:val="11"/>
              </w:rPr>
              <w:t>High</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S13</w:t>
            </w:r>
          </w:p>
        </w:tc>
        <w:tc>
          <w:tcPr>
            <w:tcW w:type="dxa" w:w="2520"/>
            <w:vAlign w:val="center"/>
          </w:tcPr>
          <w:p>
            <w:pPr>
              <w:spacing w:after="0" w:before="0" w:line="240" w:lineRule="auto"/>
            </w:pPr>
            <w:r/>
            <w:r>
              <w:rPr>
                <w:rFonts w:ascii="Aptos" w:hAnsi="Aptos"/>
                <w:b w:val="0"/>
                <w:color w:val="111827"/>
                <w:sz w:val="11"/>
              </w:rPr>
              <w:t>IKEA U.S. return policies</w:t>
            </w:r>
          </w:p>
        </w:tc>
        <w:tc>
          <w:tcPr>
            <w:tcW w:type="dxa" w:w="4032"/>
            <w:vAlign w:val="center"/>
          </w:tcPr>
          <w:p>
            <w:pPr>
              <w:spacing w:after="0" w:before="0" w:line="240" w:lineRule="auto"/>
            </w:pPr>
            <w:r/>
            <w:r>
              <w:rPr>
                <w:rFonts w:ascii="Aptos" w:hAnsi="Aptos"/>
                <w:b w:val="0"/>
                <w:color w:val="111827"/>
                <w:sz w:val="11"/>
              </w:rPr>
              <w:t>https://www.ikea.com/us/en/customer-service/returns-claims/</w:t>
            </w:r>
          </w:p>
        </w:tc>
        <w:tc>
          <w:tcPr>
            <w:tcW w:type="dxa" w:w="1440"/>
            <w:vAlign w:val="center"/>
          </w:tcPr>
          <w:p>
            <w:pPr>
              <w:spacing w:after="0" w:before="0" w:line="240" w:lineRule="auto"/>
            </w:pPr>
            <w:r/>
            <w:r>
              <w:rPr>
                <w:rFonts w:ascii="Aptos" w:hAnsi="Aptos"/>
                <w:b w:val="0"/>
                <w:color w:val="111827"/>
                <w:sz w:val="11"/>
              </w:rPr>
              <w:t>Official consumer policy</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Open/unopened return windows and store-network counterexample</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S14</w:t>
            </w:r>
          </w:p>
        </w:tc>
        <w:tc>
          <w:tcPr>
            <w:tcW w:type="dxa" w:w="2520"/>
            <w:vAlign w:val="center"/>
            <w:shd w:fill="F5F7FA"/>
          </w:tcPr>
          <w:p>
            <w:pPr>
              <w:spacing w:after="0" w:before="0" w:line="240" w:lineRule="auto"/>
            </w:pPr>
            <w:r/>
            <w:r>
              <w:rPr>
                <w:rFonts w:ascii="Aptos" w:hAnsi="Aptos"/>
                <w:b w:val="0"/>
                <w:color w:val="111827"/>
                <w:sz w:val="11"/>
              </w:rPr>
              <w:t>Nike return policy</w:t>
            </w:r>
          </w:p>
        </w:tc>
        <w:tc>
          <w:tcPr>
            <w:tcW w:type="dxa" w:w="4032"/>
            <w:vAlign w:val="center"/>
            <w:shd w:fill="F5F7FA"/>
          </w:tcPr>
          <w:p>
            <w:pPr>
              <w:spacing w:after="0" w:before="0" w:line="240" w:lineRule="auto"/>
            </w:pPr>
            <w:r/>
            <w:r>
              <w:rPr>
                <w:rFonts w:ascii="Aptos" w:hAnsi="Aptos"/>
                <w:b w:val="0"/>
                <w:color w:val="111827"/>
                <w:sz w:val="11"/>
              </w:rPr>
              <w:t>https://www.nike.com/help/a/returns-policy</w:t>
            </w:r>
          </w:p>
        </w:tc>
        <w:tc>
          <w:tcPr>
            <w:tcW w:type="dxa" w:w="1440"/>
            <w:vAlign w:val="center"/>
            <w:shd w:fill="F5F7FA"/>
          </w:tcPr>
          <w:p>
            <w:pPr>
              <w:spacing w:after="0" w:before="0" w:line="240" w:lineRule="auto"/>
            </w:pPr>
            <w:r/>
            <w:r>
              <w:rPr>
                <w:rFonts w:ascii="Aptos" w:hAnsi="Aptos"/>
                <w:b w:val="0"/>
                <w:color w:val="111827"/>
                <w:sz w:val="11"/>
              </w:rPr>
              <w:t>Official consumer policy</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DTC apparel return rules</w:t>
            </w:r>
          </w:p>
        </w:tc>
        <w:tc>
          <w:tcPr>
            <w:tcW w:type="dxa" w:w="1872"/>
            <w:vAlign w:val="center"/>
            <w:shd w:fill="F5F7FA"/>
          </w:tcPr>
          <w:p>
            <w:pPr>
              <w:spacing w:after="0" w:before="0" w:line="240" w:lineRule="auto"/>
            </w:pPr>
            <w:r/>
            <w:r>
              <w:rPr>
                <w:rFonts w:ascii="Aptos" w:hAnsi="Aptos"/>
                <w:b w:val="0"/>
                <w:color w:val="111827"/>
                <w:sz w:val="11"/>
              </w:rPr>
              <w:t>High</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S15</w:t>
            </w:r>
          </w:p>
        </w:tc>
        <w:tc>
          <w:tcPr>
            <w:tcW w:type="dxa" w:w="2520"/>
            <w:vAlign w:val="center"/>
          </w:tcPr>
          <w:p>
            <w:pPr>
              <w:spacing w:after="0" w:before="0" w:line="240" w:lineRule="auto"/>
            </w:pPr>
            <w:r/>
            <w:r>
              <w:rPr>
                <w:rFonts w:ascii="Aptos" w:hAnsi="Aptos"/>
                <w:b w:val="0"/>
                <w:color w:val="111827"/>
                <w:sz w:val="11"/>
              </w:rPr>
              <w:t>ASOS return policy</w:t>
            </w:r>
          </w:p>
        </w:tc>
        <w:tc>
          <w:tcPr>
            <w:tcW w:type="dxa" w:w="4032"/>
            <w:vAlign w:val="center"/>
          </w:tcPr>
          <w:p>
            <w:pPr>
              <w:spacing w:after="0" w:before="0" w:line="240" w:lineRule="auto"/>
            </w:pPr>
            <w:r/>
            <w:r>
              <w:rPr>
                <w:rFonts w:ascii="Aptos" w:hAnsi="Aptos"/>
                <w:b w:val="0"/>
                <w:color w:val="111827"/>
                <w:sz w:val="11"/>
              </w:rPr>
              <w:t>https://www.asos.com/customer-care/returns-refunds/what-is-your-returns-policy/</w:t>
            </w:r>
          </w:p>
        </w:tc>
        <w:tc>
          <w:tcPr>
            <w:tcW w:type="dxa" w:w="1440"/>
            <w:vAlign w:val="center"/>
          </w:tcPr>
          <w:p>
            <w:pPr>
              <w:spacing w:after="0" w:before="0" w:line="240" w:lineRule="auto"/>
            </w:pPr>
            <w:r/>
            <w:r>
              <w:rPr>
                <w:rFonts w:ascii="Aptos" w:hAnsi="Aptos"/>
                <w:b w:val="0"/>
                <w:color w:val="111827"/>
                <w:sz w:val="11"/>
              </w:rPr>
              <w:t>Official consumer policy</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Fair-use policy and high-return-customer fee</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S16</w:t>
            </w:r>
          </w:p>
        </w:tc>
        <w:tc>
          <w:tcPr>
            <w:tcW w:type="dxa" w:w="2520"/>
            <w:vAlign w:val="center"/>
            <w:shd w:fill="F5F7FA"/>
          </w:tcPr>
          <w:p>
            <w:pPr>
              <w:spacing w:after="0" w:before="0" w:line="240" w:lineRule="auto"/>
            </w:pPr>
            <w:r/>
            <w:r>
              <w:rPr>
                <w:rFonts w:ascii="Aptos" w:hAnsi="Aptos"/>
                <w:b w:val="0"/>
                <w:color w:val="111827"/>
                <w:sz w:val="11"/>
              </w:rPr>
              <w:t>FDA - Cosmetics and U.S. law</w:t>
            </w:r>
          </w:p>
        </w:tc>
        <w:tc>
          <w:tcPr>
            <w:tcW w:type="dxa" w:w="4032"/>
            <w:vAlign w:val="center"/>
            <w:shd w:fill="F5F7FA"/>
          </w:tcPr>
          <w:p>
            <w:pPr>
              <w:spacing w:after="0" w:before="0" w:line="240" w:lineRule="auto"/>
            </w:pPr>
            <w:r/>
            <w:r>
              <w:rPr>
                <w:rFonts w:ascii="Aptos" w:hAnsi="Aptos"/>
                <w:b w:val="0"/>
                <w:color w:val="111827"/>
                <w:sz w:val="11"/>
              </w:rPr>
              <w:t>https://www.fda.gov/cosmetics/cosmetics-laws-regulations/cosmetics-us-law</w:t>
            </w:r>
          </w:p>
        </w:tc>
        <w:tc>
          <w:tcPr>
            <w:tcW w:type="dxa" w:w="1440"/>
            <w:vAlign w:val="center"/>
            <w:shd w:fill="F5F7FA"/>
          </w:tcPr>
          <w:p>
            <w:pPr>
              <w:spacing w:after="0" w:before="0" w:line="240" w:lineRule="auto"/>
            </w:pPr>
            <w:r/>
            <w:r>
              <w:rPr>
                <w:rFonts w:ascii="Aptos" w:hAnsi="Aptos"/>
                <w:b w:val="0"/>
                <w:color w:val="111827"/>
                <w:sz w:val="11"/>
              </w:rPr>
              <w:t>Regulator guidance</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Cosmetics safety and labeling legal floor</w:t>
            </w:r>
          </w:p>
        </w:tc>
        <w:tc>
          <w:tcPr>
            <w:tcW w:type="dxa" w:w="1872"/>
            <w:vAlign w:val="center"/>
            <w:shd w:fill="F5F7FA"/>
          </w:tcPr>
          <w:p>
            <w:pPr>
              <w:spacing w:after="0" w:before="0" w:line="240" w:lineRule="auto"/>
            </w:pPr>
            <w:r/>
            <w:r>
              <w:rPr>
                <w:rFonts w:ascii="Aptos" w:hAnsi="Aptos"/>
                <w:b w:val="0"/>
                <w:color w:val="111827"/>
                <w:sz w:val="11"/>
              </w:rPr>
              <w:t>High</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S17</w:t>
            </w:r>
          </w:p>
        </w:tc>
        <w:tc>
          <w:tcPr>
            <w:tcW w:type="dxa" w:w="2520"/>
            <w:vAlign w:val="center"/>
          </w:tcPr>
          <w:p>
            <w:pPr>
              <w:spacing w:after="0" w:before="0" w:line="240" w:lineRule="auto"/>
            </w:pPr>
            <w:r/>
            <w:r>
              <w:rPr>
                <w:rFonts w:ascii="Aptos" w:hAnsi="Aptos"/>
                <w:b w:val="0"/>
                <w:color w:val="111827"/>
                <w:sz w:val="11"/>
              </w:rPr>
              <w:t>UPS shipping dimensions and weight</w:t>
            </w:r>
          </w:p>
        </w:tc>
        <w:tc>
          <w:tcPr>
            <w:tcW w:type="dxa" w:w="4032"/>
            <w:vAlign w:val="center"/>
          </w:tcPr>
          <w:p>
            <w:pPr>
              <w:spacing w:after="0" w:before="0" w:line="240" w:lineRule="auto"/>
            </w:pPr>
            <w:r/>
            <w:r>
              <w:rPr>
                <w:rFonts w:ascii="Aptos" w:hAnsi="Aptos"/>
                <w:b w:val="0"/>
                <w:color w:val="111827"/>
                <w:sz w:val="11"/>
              </w:rPr>
              <w:t>https://www.ups.com/us/en/support/shipping-support/shipping-dimensions-weight</w:t>
            </w:r>
          </w:p>
        </w:tc>
        <w:tc>
          <w:tcPr>
            <w:tcW w:type="dxa" w:w="1440"/>
            <w:vAlign w:val="center"/>
          </w:tcPr>
          <w:p>
            <w:pPr>
              <w:spacing w:after="0" w:before="0" w:line="240" w:lineRule="auto"/>
            </w:pPr>
            <w:r/>
            <w:r>
              <w:rPr>
                <w:rFonts w:ascii="Aptos" w:hAnsi="Aptos"/>
                <w:b w:val="0"/>
                <w:color w:val="111827"/>
                <w:sz w:val="11"/>
              </w:rPr>
              <w:t>Official carrier guidance</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DIM divisor and dimensional-weight mechanics</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S18</w:t>
            </w:r>
          </w:p>
        </w:tc>
        <w:tc>
          <w:tcPr>
            <w:tcW w:type="dxa" w:w="2520"/>
            <w:vAlign w:val="center"/>
            <w:shd w:fill="F5F7FA"/>
          </w:tcPr>
          <w:p>
            <w:pPr>
              <w:spacing w:after="0" w:before="0" w:line="240" w:lineRule="auto"/>
            </w:pPr>
            <w:r/>
            <w:r>
              <w:rPr>
                <w:rFonts w:ascii="Aptos" w:hAnsi="Aptos"/>
                <w:b w:val="0"/>
                <w:color w:val="111827"/>
                <w:sz w:val="11"/>
              </w:rPr>
              <w:t>Nordstrom 2024 Form 10-K</w:t>
            </w:r>
          </w:p>
        </w:tc>
        <w:tc>
          <w:tcPr>
            <w:tcW w:type="dxa" w:w="4032"/>
            <w:vAlign w:val="center"/>
            <w:shd w:fill="F5F7FA"/>
          </w:tcPr>
          <w:p>
            <w:pPr>
              <w:spacing w:after="0" w:before="0" w:line="240" w:lineRule="auto"/>
            </w:pPr>
            <w:r/>
            <w:r>
              <w:rPr>
                <w:rFonts w:ascii="Aptos" w:hAnsi="Aptos"/>
                <w:b w:val="0"/>
                <w:color w:val="111827"/>
                <w:sz w:val="11"/>
              </w:rPr>
              <w:t>https://www.sec.gov/Archives/edgar/data/72333/000007233325000039/jwn-20250201.htm</w:t>
            </w:r>
          </w:p>
        </w:tc>
        <w:tc>
          <w:tcPr>
            <w:tcW w:type="dxa" w:w="1440"/>
            <w:vAlign w:val="center"/>
            <w:shd w:fill="F5F7FA"/>
          </w:tcPr>
          <w:p>
            <w:pPr>
              <w:spacing w:after="0" w:before="0" w:line="240" w:lineRule="auto"/>
            </w:pPr>
            <w:r/>
            <w:r>
              <w:rPr>
                <w:rFonts w:ascii="Aptos" w:hAnsi="Aptos"/>
                <w:b w:val="0"/>
                <w:color w:val="111827"/>
                <w:sz w:val="11"/>
              </w:rPr>
              <w:t>SEC filing</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Majority of returns through stores</w:t>
            </w:r>
          </w:p>
        </w:tc>
        <w:tc>
          <w:tcPr>
            <w:tcW w:type="dxa" w:w="1872"/>
            <w:vAlign w:val="center"/>
            <w:shd w:fill="F5F7FA"/>
          </w:tcPr>
          <w:p>
            <w:pPr>
              <w:spacing w:after="0" w:before="0" w:line="240" w:lineRule="auto"/>
            </w:pPr>
            <w:r/>
            <w:r>
              <w:rPr>
                <w:rFonts w:ascii="Aptos" w:hAnsi="Aptos"/>
                <w:b w:val="0"/>
                <w:color w:val="111827"/>
                <w:sz w:val="11"/>
              </w:rPr>
              <w:t>High</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S19</w:t>
            </w:r>
          </w:p>
        </w:tc>
        <w:tc>
          <w:tcPr>
            <w:tcW w:type="dxa" w:w="2520"/>
            <w:vAlign w:val="center"/>
          </w:tcPr>
          <w:p>
            <w:pPr>
              <w:spacing w:after="0" w:before="0" w:line="240" w:lineRule="auto"/>
            </w:pPr>
            <w:r/>
            <w:r>
              <w:rPr>
                <w:rFonts w:ascii="Aptos" w:hAnsi="Aptos"/>
                <w:b w:val="0"/>
                <w:color w:val="111827"/>
                <w:sz w:val="11"/>
              </w:rPr>
              <w:t>Amazon Liquidation Auctions on B-Stock</w:t>
            </w:r>
          </w:p>
        </w:tc>
        <w:tc>
          <w:tcPr>
            <w:tcW w:type="dxa" w:w="4032"/>
            <w:vAlign w:val="center"/>
          </w:tcPr>
          <w:p>
            <w:pPr>
              <w:spacing w:after="0" w:before="0" w:line="240" w:lineRule="auto"/>
            </w:pPr>
            <w:r/>
            <w:r>
              <w:rPr>
                <w:rFonts w:ascii="Aptos" w:hAnsi="Aptos"/>
                <w:b w:val="0"/>
                <w:color w:val="111827"/>
                <w:sz w:val="11"/>
              </w:rPr>
              <w:t>https://bstock.com/auctions/amazon/</w:t>
            </w:r>
          </w:p>
        </w:tc>
        <w:tc>
          <w:tcPr>
            <w:tcW w:type="dxa" w:w="1440"/>
            <w:vAlign w:val="center"/>
          </w:tcPr>
          <w:p>
            <w:pPr>
              <w:spacing w:after="0" w:before="0" w:line="240" w:lineRule="auto"/>
            </w:pPr>
            <w:r/>
            <w:r>
              <w:rPr>
                <w:rFonts w:ascii="Aptos" w:hAnsi="Aptos"/>
                <w:b w:val="0"/>
                <w:color w:val="111827"/>
                <w:sz w:val="11"/>
              </w:rPr>
              <w:t>Liquidation marketplace</w:t>
            </w:r>
          </w:p>
        </w:tc>
        <w:tc>
          <w:tcPr>
            <w:tcW w:type="dxa" w:w="1440"/>
            <w:vAlign w:val="center"/>
          </w:tcPr>
          <w:p>
            <w:pPr>
              <w:spacing w:after="0" w:before="0" w:line="240" w:lineRule="auto"/>
            </w:pPr>
            <w:r/>
            <w:r>
              <w:rPr>
                <w:rFonts w:ascii="Aptos" w:hAnsi="Aptos"/>
                <w:b w:val="0"/>
                <w:color w:val="111827"/>
                <w:sz w:val="11"/>
              </w:rPr>
              <w:t>Market observation</w:t>
            </w:r>
          </w:p>
        </w:tc>
        <w:tc>
          <w:tcPr>
            <w:tcW w:type="dxa" w:w="2880"/>
            <w:vAlign w:val="center"/>
          </w:tcPr>
          <w:p>
            <w:pPr>
              <w:spacing w:after="0" w:before="0" w:line="240" w:lineRule="auto"/>
            </w:pPr>
            <w:r/>
            <w:r>
              <w:rPr>
                <w:rFonts w:ascii="Aptos" w:hAnsi="Aptos"/>
                <w:b w:val="0"/>
                <w:color w:val="111827"/>
                <w:sz w:val="11"/>
              </w:rPr>
              <w:t>Channel existence</w:t>
            </w:r>
          </w:p>
        </w:tc>
        <w:tc>
          <w:tcPr>
            <w:tcW w:type="dxa" w:w="1872"/>
            <w:vAlign w:val="center"/>
          </w:tcPr>
          <w:p>
            <w:pPr>
              <w:spacing w:after="0" w:before="0" w:line="240" w:lineRule="auto"/>
            </w:pPr>
            <w:r/>
            <w:r>
              <w:rPr>
                <w:rFonts w:ascii="Aptos" w:hAnsi="Aptos"/>
                <w:b w:val="0"/>
                <w:color w:val="111827"/>
                <w:sz w:val="11"/>
              </w:rPr>
              <w:t>Medium</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S20</w:t>
            </w:r>
          </w:p>
        </w:tc>
        <w:tc>
          <w:tcPr>
            <w:tcW w:type="dxa" w:w="2520"/>
            <w:vAlign w:val="center"/>
            <w:shd w:fill="F5F7FA"/>
          </w:tcPr>
          <w:p>
            <w:pPr>
              <w:spacing w:after="0" w:before="0" w:line="240" w:lineRule="auto"/>
            </w:pPr>
            <w:r/>
            <w:r>
              <w:rPr>
                <w:rFonts w:ascii="Aptos" w:hAnsi="Aptos"/>
                <w:b w:val="0"/>
                <w:color w:val="111827"/>
                <w:sz w:val="11"/>
              </w:rPr>
              <w:t>Nike 2025 Form 10-K</w:t>
            </w:r>
          </w:p>
        </w:tc>
        <w:tc>
          <w:tcPr>
            <w:tcW w:type="dxa" w:w="4032"/>
            <w:vAlign w:val="center"/>
            <w:shd w:fill="F5F7FA"/>
          </w:tcPr>
          <w:p>
            <w:pPr>
              <w:spacing w:after="0" w:before="0" w:line="240" w:lineRule="auto"/>
            </w:pPr>
            <w:r/>
            <w:r>
              <w:rPr>
                <w:rFonts w:ascii="Aptos" w:hAnsi="Aptos"/>
                <w:b w:val="0"/>
                <w:color w:val="111827"/>
                <w:sz w:val="11"/>
              </w:rPr>
              <w:t>https://www.sec.gov/Archives/edgar/data/320187/000032018725000047/nke-20250531.htm</w:t>
            </w:r>
          </w:p>
        </w:tc>
        <w:tc>
          <w:tcPr>
            <w:tcW w:type="dxa" w:w="1440"/>
            <w:vAlign w:val="center"/>
            <w:shd w:fill="F5F7FA"/>
          </w:tcPr>
          <w:p>
            <w:pPr>
              <w:spacing w:after="0" w:before="0" w:line="240" w:lineRule="auto"/>
            </w:pPr>
            <w:r/>
            <w:r>
              <w:rPr>
                <w:rFonts w:ascii="Aptos" w:hAnsi="Aptos"/>
                <w:b w:val="0"/>
                <w:color w:val="111827"/>
                <w:sz w:val="11"/>
              </w:rPr>
              <w:t>SEC filing</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Sales returns reserve and inventory reserve</w:t>
            </w:r>
          </w:p>
        </w:tc>
        <w:tc>
          <w:tcPr>
            <w:tcW w:type="dxa" w:w="1872"/>
            <w:vAlign w:val="center"/>
            <w:shd w:fill="F5F7FA"/>
          </w:tcPr>
          <w:p>
            <w:pPr>
              <w:spacing w:after="0" w:before="0" w:line="240" w:lineRule="auto"/>
            </w:pPr>
            <w:r/>
            <w:r>
              <w:rPr>
                <w:rFonts w:ascii="Aptos" w:hAnsi="Aptos"/>
                <w:b w:val="0"/>
                <w:color w:val="111827"/>
                <w:sz w:val="11"/>
              </w:rPr>
              <w:t>High</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S21</w:t>
            </w:r>
          </w:p>
        </w:tc>
        <w:tc>
          <w:tcPr>
            <w:tcW w:type="dxa" w:w="2520"/>
            <w:vAlign w:val="center"/>
          </w:tcPr>
          <w:p>
            <w:pPr>
              <w:spacing w:after="0" w:before="0" w:line="240" w:lineRule="auto"/>
            </w:pPr>
            <w:r/>
            <w:r>
              <w:rPr>
                <w:rFonts w:ascii="Aptos" w:hAnsi="Aptos"/>
                <w:b w:val="0"/>
                <w:color w:val="111827"/>
                <w:sz w:val="11"/>
              </w:rPr>
              <w:t>Walmart Fulfillment Services fees</w:t>
            </w:r>
          </w:p>
        </w:tc>
        <w:tc>
          <w:tcPr>
            <w:tcW w:type="dxa" w:w="4032"/>
            <w:vAlign w:val="center"/>
          </w:tcPr>
          <w:p>
            <w:pPr>
              <w:spacing w:after="0" w:before="0" w:line="240" w:lineRule="auto"/>
            </w:pPr>
            <w:r/>
            <w:r>
              <w:rPr>
                <w:rFonts w:ascii="Aptos" w:hAnsi="Aptos"/>
                <w:b w:val="0"/>
                <w:color w:val="111827"/>
                <w:sz w:val="11"/>
              </w:rPr>
              <w:t>https://marketplacelearn.walmart.com/guides/Walmart%20Fulfillment%20Services%20%28WFS%29/WFS%20basics/WFS-fees</w:t>
            </w:r>
          </w:p>
        </w:tc>
        <w:tc>
          <w:tcPr>
            <w:tcW w:type="dxa" w:w="1440"/>
            <w:vAlign w:val="center"/>
          </w:tcPr>
          <w:p>
            <w:pPr>
              <w:spacing w:after="0" w:before="0" w:line="240" w:lineRule="auto"/>
            </w:pPr>
            <w:r/>
            <w:r>
              <w:rPr>
                <w:rFonts w:ascii="Aptos" w:hAnsi="Aptos"/>
                <w:b w:val="0"/>
                <w:color w:val="111827"/>
                <w:sz w:val="11"/>
              </w:rPr>
              <w:t>Official seller fee schedule</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Standard and big-and-bulky return-processing cost anchors</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S22</w:t>
            </w:r>
          </w:p>
        </w:tc>
        <w:tc>
          <w:tcPr>
            <w:tcW w:type="dxa" w:w="2520"/>
            <w:vAlign w:val="center"/>
            <w:shd w:fill="F5F7FA"/>
          </w:tcPr>
          <w:p>
            <w:pPr>
              <w:spacing w:after="0" w:before="0" w:line="240" w:lineRule="auto"/>
            </w:pPr>
            <w:r/>
            <w:r>
              <w:rPr>
                <w:rFonts w:ascii="Aptos" w:hAnsi="Aptos"/>
                <w:b w:val="0"/>
                <w:color w:val="111827"/>
                <w:sz w:val="11"/>
              </w:rPr>
              <w:t>UPS 2026 daily rates</w:t>
            </w:r>
          </w:p>
        </w:tc>
        <w:tc>
          <w:tcPr>
            <w:tcW w:type="dxa" w:w="4032"/>
            <w:vAlign w:val="center"/>
            <w:shd w:fill="F5F7FA"/>
          </w:tcPr>
          <w:p>
            <w:pPr>
              <w:spacing w:after="0" w:before="0" w:line="240" w:lineRule="auto"/>
            </w:pPr>
            <w:r/>
            <w:r>
              <w:rPr>
                <w:rFonts w:ascii="Aptos" w:hAnsi="Aptos"/>
                <w:b w:val="0"/>
                <w:color w:val="111827"/>
                <w:sz w:val="11"/>
              </w:rPr>
              <w:t>https://assets.ups.com/adobe/assets/urn%3Aaaid%3Aaem%3A356d938a-4f0a-4c71-b50e-bdd890f50b47/original/as/daily-rates-us-en.pdf</w:t>
            </w:r>
          </w:p>
        </w:tc>
        <w:tc>
          <w:tcPr>
            <w:tcW w:type="dxa" w:w="1440"/>
            <w:vAlign w:val="center"/>
            <w:shd w:fill="F5F7FA"/>
          </w:tcPr>
          <w:p>
            <w:pPr>
              <w:spacing w:after="0" w:before="0" w:line="240" w:lineRule="auto"/>
            </w:pPr>
            <w:r/>
            <w:r>
              <w:rPr>
                <w:rFonts w:ascii="Aptos" w:hAnsi="Aptos"/>
                <w:b w:val="0"/>
                <w:color w:val="111827"/>
                <w:sz w:val="11"/>
              </w:rPr>
              <w:t>Official carrier tariff</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Residential, additional-handling, and large-package surcharge anchors</w:t>
            </w:r>
          </w:p>
        </w:tc>
        <w:tc>
          <w:tcPr>
            <w:tcW w:type="dxa" w:w="1872"/>
            <w:vAlign w:val="center"/>
            <w:shd w:fill="F5F7FA"/>
          </w:tcPr>
          <w:p>
            <w:pPr>
              <w:spacing w:after="0" w:before="0" w:line="240" w:lineRule="auto"/>
            </w:pPr>
            <w:r/>
            <w:r>
              <w:rPr>
                <w:rFonts w:ascii="Aptos" w:hAnsi="Aptos"/>
                <w:b w:val="0"/>
                <w:color w:val="111827"/>
                <w:sz w:val="11"/>
              </w:rPr>
              <w:t>High for list rates; medium for realized merchant cost</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S23</w:t>
            </w:r>
          </w:p>
        </w:tc>
        <w:tc>
          <w:tcPr>
            <w:tcW w:type="dxa" w:w="2520"/>
            <w:vAlign w:val="center"/>
          </w:tcPr>
          <w:p>
            <w:pPr>
              <w:spacing w:after="0" w:before="0" w:line="240" w:lineRule="auto"/>
            </w:pPr>
            <w:r/>
            <w:r>
              <w:rPr>
                <w:rFonts w:ascii="Aptos" w:hAnsi="Aptos"/>
                <w:b w:val="0"/>
                <w:color w:val="111827"/>
                <w:sz w:val="11"/>
              </w:rPr>
              <w:t>FedEx 2026 Service Guide</w:t>
            </w:r>
          </w:p>
        </w:tc>
        <w:tc>
          <w:tcPr>
            <w:tcW w:type="dxa" w:w="4032"/>
            <w:vAlign w:val="center"/>
          </w:tcPr>
          <w:p>
            <w:pPr>
              <w:spacing w:after="0" w:before="0" w:line="240" w:lineRule="auto"/>
            </w:pPr>
            <w:r/>
            <w:r>
              <w:rPr>
                <w:rFonts w:ascii="Aptos" w:hAnsi="Aptos"/>
                <w:b w:val="0"/>
                <w:color w:val="111827"/>
                <w:sz w:val="11"/>
              </w:rPr>
              <w:t>https://www.fedex.com/content/dam/fedex/us-united-states/services/Service_Guide_2026.pdf</w:t>
            </w:r>
          </w:p>
        </w:tc>
        <w:tc>
          <w:tcPr>
            <w:tcW w:type="dxa" w:w="1440"/>
            <w:vAlign w:val="center"/>
          </w:tcPr>
          <w:p>
            <w:pPr>
              <w:spacing w:after="0" w:before="0" w:line="240" w:lineRule="auto"/>
            </w:pPr>
            <w:r/>
            <w:r>
              <w:rPr>
                <w:rFonts w:ascii="Aptos" w:hAnsi="Aptos"/>
                <w:b w:val="0"/>
                <w:color w:val="111827"/>
                <w:sz w:val="11"/>
              </w:rPr>
              <w:t>Official carrier guide</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Residential surcharge anchor</w:t>
            </w:r>
          </w:p>
        </w:tc>
        <w:tc>
          <w:tcPr>
            <w:tcW w:type="dxa" w:w="1872"/>
            <w:vAlign w:val="center"/>
          </w:tcPr>
          <w:p>
            <w:pPr>
              <w:spacing w:after="0" w:before="0" w:line="240" w:lineRule="auto"/>
            </w:pPr>
            <w:r/>
            <w:r>
              <w:rPr>
                <w:rFonts w:ascii="Aptos" w:hAnsi="Aptos"/>
                <w:b w:val="0"/>
                <w:color w:val="111827"/>
                <w:sz w:val="11"/>
              </w:rPr>
              <w:t>High for list rates</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S24</w:t>
            </w:r>
          </w:p>
        </w:tc>
        <w:tc>
          <w:tcPr>
            <w:tcW w:type="dxa" w:w="2520"/>
            <w:vAlign w:val="center"/>
            <w:shd w:fill="F5F7FA"/>
          </w:tcPr>
          <w:p>
            <w:pPr>
              <w:spacing w:after="0" w:before="0" w:line="240" w:lineRule="auto"/>
            </w:pPr>
            <w:r/>
            <w:r>
              <w:rPr>
                <w:rFonts w:ascii="Aptos" w:hAnsi="Aptos"/>
                <w:b w:val="0"/>
                <w:color w:val="111827"/>
                <w:sz w:val="11"/>
              </w:rPr>
              <w:t>FedEx 2026 surcharge and fee changes</w:t>
            </w:r>
          </w:p>
        </w:tc>
        <w:tc>
          <w:tcPr>
            <w:tcW w:type="dxa" w:w="4032"/>
            <w:vAlign w:val="center"/>
            <w:shd w:fill="F5F7FA"/>
          </w:tcPr>
          <w:p>
            <w:pPr>
              <w:spacing w:after="0" w:before="0" w:line="240" w:lineRule="auto"/>
            </w:pPr>
            <w:r/>
            <w:r>
              <w:rPr>
                <w:rFonts w:ascii="Aptos" w:hAnsi="Aptos"/>
                <w:b w:val="0"/>
                <w:color w:val="111827"/>
                <w:sz w:val="11"/>
              </w:rPr>
              <w:t>https://www.fedex.com/content/dam/fedex/us-united-states/services/surcharge_and_fee_changes_2026.pdf</w:t>
            </w:r>
          </w:p>
        </w:tc>
        <w:tc>
          <w:tcPr>
            <w:tcW w:type="dxa" w:w="1440"/>
            <w:vAlign w:val="center"/>
            <w:shd w:fill="F5F7FA"/>
          </w:tcPr>
          <w:p>
            <w:pPr>
              <w:spacing w:after="0" w:before="0" w:line="240" w:lineRule="auto"/>
            </w:pPr>
            <w:r/>
            <w:r>
              <w:rPr>
                <w:rFonts w:ascii="Aptos" w:hAnsi="Aptos"/>
                <w:b w:val="0"/>
                <w:color w:val="111827"/>
                <w:sz w:val="11"/>
              </w:rPr>
              <w:t>Official carrier tariff</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Packaging-based additional handling</w:t>
            </w:r>
          </w:p>
        </w:tc>
        <w:tc>
          <w:tcPr>
            <w:tcW w:type="dxa" w:w="1872"/>
            <w:vAlign w:val="center"/>
            <w:shd w:fill="F5F7FA"/>
          </w:tcPr>
          <w:p>
            <w:pPr>
              <w:spacing w:after="0" w:before="0" w:line="240" w:lineRule="auto"/>
            </w:pPr>
            <w:r/>
            <w:r>
              <w:rPr>
                <w:rFonts w:ascii="Aptos" w:hAnsi="Aptos"/>
                <w:b w:val="0"/>
                <w:color w:val="111827"/>
                <w:sz w:val="11"/>
              </w:rPr>
              <w:t>High for list rates</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S25</w:t>
            </w:r>
          </w:p>
        </w:tc>
        <w:tc>
          <w:tcPr>
            <w:tcW w:type="dxa" w:w="2520"/>
            <w:vAlign w:val="center"/>
          </w:tcPr>
          <w:p>
            <w:pPr>
              <w:spacing w:after="0" w:before="0" w:line="240" w:lineRule="auto"/>
            </w:pPr>
            <w:r/>
            <w:r>
              <w:rPr>
                <w:rFonts w:ascii="Aptos" w:hAnsi="Aptos"/>
                <w:b w:val="0"/>
                <w:color w:val="111827"/>
                <w:sz w:val="11"/>
              </w:rPr>
              <w:t>USPS Notice 123</w:t>
            </w:r>
          </w:p>
        </w:tc>
        <w:tc>
          <w:tcPr>
            <w:tcW w:type="dxa" w:w="4032"/>
            <w:vAlign w:val="center"/>
          </w:tcPr>
          <w:p>
            <w:pPr>
              <w:spacing w:after="0" w:before="0" w:line="240" w:lineRule="auto"/>
            </w:pPr>
            <w:r/>
            <w:r>
              <w:rPr>
                <w:rFonts w:ascii="Aptos" w:hAnsi="Aptos"/>
                <w:b w:val="0"/>
                <w:color w:val="111827"/>
                <w:sz w:val="11"/>
              </w:rPr>
              <w:t>https://pe.usps.com/text/dmm300/notice123.htm</w:t>
            </w:r>
          </w:p>
        </w:tc>
        <w:tc>
          <w:tcPr>
            <w:tcW w:type="dxa" w:w="1440"/>
            <w:vAlign w:val="center"/>
          </w:tcPr>
          <w:p>
            <w:pPr>
              <w:spacing w:after="0" w:before="0" w:line="240" w:lineRule="auto"/>
            </w:pPr>
            <w:r/>
            <w:r>
              <w:rPr>
                <w:rFonts w:ascii="Aptos" w:hAnsi="Aptos"/>
                <w:b w:val="0"/>
                <w:color w:val="111827"/>
                <w:sz w:val="11"/>
              </w:rPr>
              <w:t>Official postal price schedule</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Flat-rate reverse-shipping anchors</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S26</w:t>
            </w:r>
          </w:p>
        </w:tc>
        <w:tc>
          <w:tcPr>
            <w:tcW w:type="dxa" w:w="2520"/>
            <w:vAlign w:val="center"/>
            <w:shd w:fill="F5F7FA"/>
          </w:tcPr>
          <w:p>
            <w:pPr>
              <w:spacing w:after="0" w:before="0" w:line="240" w:lineRule="auto"/>
            </w:pPr>
            <w:r/>
            <w:r>
              <w:rPr>
                <w:rFonts w:ascii="Aptos" w:hAnsi="Aptos"/>
                <w:b w:val="0"/>
                <w:color w:val="111827"/>
                <w:sz w:val="11"/>
              </w:rPr>
              <w:t>USPS 2026 temporary transportation-related price change</w:t>
            </w:r>
          </w:p>
        </w:tc>
        <w:tc>
          <w:tcPr>
            <w:tcW w:type="dxa" w:w="4032"/>
            <w:vAlign w:val="center"/>
            <w:shd w:fill="F5F7FA"/>
          </w:tcPr>
          <w:p>
            <w:pPr>
              <w:spacing w:after="0" w:before="0" w:line="240" w:lineRule="auto"/>
            </w:pPr>
            <w:r/>
            <w:r>
              <w:rPr>
                <w:rFonts w:ascii="Aptos" w:hAnsi="Aptos"/>
                <w:b w:val="0"/>
                <w:color w:val="111827"/>
                <w:sz w:val="11"/>
              </w:rPr>
              <w:t>https://about.usps.com/newsroom/national-releases/2026/0325-usps-announces-transportation-related-time-limited-price-change.htm</w:t>
            </w:r>
          </w:p>
        </w:tc>
        <w:tc>
          <w:tcPr>
            <w:tcW w:type="dxa" w:w="1440"/>
            <w:vAlign w:val="center"/>
            <w:shd w:fill="F5F7FA"/>
          </w:tcPr>
          <w:p>
            <w:pPr>
              <w:spacing w:after="0" w:before="0" w:line="240" w:lineRule="auto"/>
            </w:pPr>
            <w:r/>
            <w:r>
              <w:rPr>
                <w:rFonts w:ascii="Aptos" w:hAnsi="Aptos"/>
                <w:b w:val="0"/>
                <w:color w:val="111827"/>
                <w:sz w:val="11"/>
              </w:rPr>
              <w:t>Official postal announcement</w:t>
            </w:r>
          </w:p>
        </w:tc>
        <w:tc>
          <w:tcPr>
            <w:tcW w:type="dxa" w:w="1440"/>
            <w:vAlign w:val="center"/>
            <w:shd w:fill="F5F7FA"/>
          </w:tcPr>
          <w:p>
            <w:pPr>
              <w:spacing w:after="0" w:before="0" w:line="240" w:lineRule="auto"/>
            </w:pPr>
            <w:r/>
            <w:r>
              <w:rPr>
                <w:rFonts w:ascii="Aptos" w:hAnsi="Aptos"/>
                <w:b w:val="0"/>
                <w:color w:val="111827"/>
                <w:sz w:val="11"/>
              </w:rPr>
              <w:t>Yes</w:t>
            </w:r>
          </w:p>
        </w:tc>
        <w:tc>
          <w:tcPr>
            <w:tcW w:type="dxa" w:w="2880"/>
            <w:vAlign w:val="center"/>
            <w:shd w:fill="F5F7FA"/>
          </w:tcPr>
          <w:p>
            <w:pPr>
              <w:spacing w:after="0" w:before="0" w:line="240" w:lineRule="auto"/>
            </w:pPr>
            <w:r/>
            <w:r>
              <w:rPr>
                <w:rFonts w:ascii="Aptos" w:hAnsi="Aptos"/>
                <w:b w:val="0"/>
                <w:color w:val="111827"/>
                <w:sz w:val="11"/>
              </w:rPr>
              <w:t>Current temporary price uplift</w:t>
            </w:r>
          </w:p>
        </w:tc>
        <w:tc>
          <w:tcPr>
            <w:tcW w:type="dxa" w:w="1872"/>
            <w:vAlign w:val="center"/>
            <w:shd w:fill="F5F7FA"/>
          </w:tcPr>
          <w:p>
            <w:pPr>
              <w:spacing w:after="0" w:before="0" w:line="240" w:lineRule="auto"/>
            </w:pPr>
            <w:r/>
            <w:r>
              <w:rPr>
                <w:rFonts w:ascii="Aptos" w:hAnsi="Aptos"/>
                <w:b w:val="0"/>
                <w:color w:val="111827"/>
                <w:sz w:val="11"/>
              </w:rPr>
              <w:t>High</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S27</w:t>
            </w:r>
          </w:p>
        </w:tc>
        <w:tc>
          <w:tcPr>
            <w:tcW w:type="dxa" w:w="2520"/>
            <w:vAlign w:val="center"/>
          </w:tcPr>
          <w:p>
            <w:pPr>
              <w:spacing w:after="0" w:before="0" w:line="240" w:lineRule="auto"/>
            </w:pPr>
            <w:r/>
            <w:r>
              <w:rPr>
                <w:rFonts w:ascii="Aptos" w:hAnsi="Aptos"/>
                <w:b w:val="0"/>
                <w:color w:val="111827"/>
                <w:sz w:val="11"/>
              </w:rPr>
              <w:t>Happy Returns product claims</w:t>
            </w:r>
          </w:p>
        </w:tc>
        <w:tc>
          <w:tcPr>
            <w:tcW w:type="dxa" w:w="4032"/>
            <w:vAlign w:val="center"/>
          </w:tcPr>
          <w:p>
            <w:pPr>
              <w:spacing w:after="0" w:before="0" w:line="240" w:lineRule="auto"/>
            </w:pPr>
            <w:r/>
            <w:r>
              <w:rPr>
                <w:rFonts w:ascii="Aptos" w:hAnsi="Aptos"/>
                <w:b w:val="0"/>
                <w:color w:val="111827"/>
                <w:sz w:val="11"/>
              </w:rPr>
              <w:t>https://happyreturns.com/</w:t>
            </w:r>
          </w:p>
        </w:tc>
        <w:tc>
          <w:tcPr>
            <w:tcW w:type="dxa" w:w="1440"/>
            <w:vAlign w:val="center"/>
          </w:tcPr>
          <w:p>
            <w:pPr>
              <w:spacing w:after="0" w:before="0" w:line="240" w:lineRule="auto"/>
            </w:pPr>
            <w:r/>
            <w:r>
              <w:rPr>
                <w:rFonts w:ascii="Aptos" w:hAnsi="Aptos"/>
                <w:b w:val="0"/>
                <w:color w:val="111827"/>
                <w:sz w:val="11"/>
              </w:rPr>
              <w:t>Vendor marketing</w:t>
            </w:r>
          </w:p>
        </w:tc>
        <w:tc>
          <w:tcPr>
            <w:tcW w:type="dxa" w:w="1440"/>
            <w:vAlign w:val="center"/>
          </w:tcPr>
          <w:p>
            <w:pPr>
              <w:spacing w:after="0" w:before="0" w:line="240" w:lineRule="auto"/>
            </w:pPr>
            <w:r/>
            <w:r>
              <w:rPr>
                <w:rFonts w:ascii="Aptos" w:hAnsi="Aptos"/>
                <w:b w:val="0"/>
                <w:color w:val="111827"/>
                <w:sz w:val="11"/>
              </w:rPr>
              <w:t>Vendor claim</w:t>
            </w:r>
          </w:p>
        </w:tc>
        <w:tc>
          <w:tcPr>
            <w:tcW w:type="dxa" w:w="2880"/>
            <w:vAlign w:val="center"/>
          </w:tcPr>
          <w:p>
            <w:pPr>
              <w:spacing w:after="0" w:before="0" w:line="240" w:lineRule="auto"/>
            </w:pPr>
            <w:r/>
            <w:r>
              <w:rPr>
                <w:rFonts w:ascii="Aptos" w:hAnsi="Aptos"/>
                <w:b w:val="0"/>
                <w:color w:val="111827"/>
                <w:sz w:val="11"/>
              </w:rPr>
              <w:t>Consolidation speed and restocking-time claim</w:t>
            </w:r>
          </w:p>
        </w:tc>
        <w:tc>
          <w:tcPr>
            <w:tcW w:type="dxa" w:w="1872"/>
            <w:vAlign w:val="center"/>
          </w:tcPr>
          <w:p>
            <w:pPr>
              <w:spacing w:after="0" w:before="0" w:line="240" w:lineRule="auto"/>
            </w:pPr>
            <w:r/>
            <w:r>
              <w:rPr>
                <w:rFonts w:ascii="Aptos" w:hAnsi="Aptos"/>
                <w:b w:val="0"/>
                <w:color w:val="111827"/>
                <w:sz w:val="11"/>
              </w:rPr>
              <w:t>Low-medium</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S28</w:t>
            </w:r>
          </w:p>
        </w:tc>
        <w:tc>
          <w:tcPr>
            <w:tcW w:type="dxa" w:w="2520"/>
            <w:vAlign w:val="center"/>
            <w:shd w:fill="F5F7FA"/>
          </w:tcPr>
          <w:p>
            <w:pPr>
              <w:spacing w:after="0" w:before="0" w:line="240" w:lineRule="auto"/>
            </w:pPr>
            <w:r/>
            <w:r>
              <w:rPr>
                <w:rFonts w:ascii="Aptos" w:hAnsi="Aptos"/>
                <w:b w:val="0"/>
                <w:color w:val="111827"/>
                <w:sz w:val="11"/>
              </w:rPr>
              <w:t>Walmart Liquidation Auctions on B-Stock</w:t>
            </w:r>
          </w:p>
        </w:tc>
        <w:tc>
          <w:tcPr>
            <w:tcW w:type="dxa" w:w="4032"/>
            <w:vAlign w:val="center"/>
            <w:shd w:fill="F5F7FA"/>
          </w:tcPr>
          <w:p>
            <w:pPr>
              <w:spacing w:after="0" w:before="0" w:line="240" w:lineRule="auto"/>
            </w:pPr>
            <w:r/>
            <w:r>
              <w:rPr>
                <w:rFonts w:ascii="Aptos" w:hAnsi="Aptos"/>
                <w:b w:val="0"/>
                <w:color w:val="111827"/>
                <w:sz w:val="11"/>
              </w:rPr>
              <w:t>https://bstock.com/auctions/walmart/</w:t>
            </w:r>
          </w:p>
        </w:tc>
        <w:tc>
          <w:tcPr>
            <w:tcW w:type="dxa" w:w="1440"/>
            <w:vAlign w:val="center"/>
            <w:shd w:fill="F5F7FA"/>
          </w:tcPr>
          <w:p>
            <w:pPr>
              <w:spacing w:after="0" w:before="0" w:line="240" w:lineRule="auto"/>
            </w:pPr>
            <w:r/>
            <w:r>
              <w:rPr>
                <w:rFonts w:ascii="Aptos" w:hAnsi="Aptos"/>
                <w:b w:val="0"/>
                <w:color w:val="111827"/>
                <w:sz w:val="11"/>
              </w:rPr>
              <w:t>Liquidation marketplace</w:t>
            </w:r>
          </w:p>
        </w:tc>
        <w:tc>
          <w:tcPr>
            <w:tcW w:type="dxa" w:w="1440"/>
            <w:vAlign w:val="center"/>
            <w:shd w:fill="F5F7FA"/>
          </w:tcPr>
          <w:p>
            <w:pPr>
              <w:spacing w:after="0" w:before="0" w:line="240" w:lineRule="auto"/>
            </w:pPr>
            <w:r/>
            <w:r>
              <w:rPr>
                <w:rFonts w:ascii="Aptos" w:hAnsi="Aptos"/>
                <w:b w:val="0"/>
                <w:color w:val="111827"/>
                <w:sz w:val="11"/>
              </w:rPr>
              <w:t>Market observation</w:t>
            </w:r>
          </w:p>
        </w:tc>
        <w:tc>
          <w:tcPr>
            <w:tcW w:type="dxa" w:w="2880"/>
            <w:vAlign w:val="center"/>
            <w:shd w:fill="F5F7FA"/>
          </w:tcPr>
          <w:p>
            <w:pPr>
              <w:spacing w:after="0" w:before="0" w:line="240" w:lineRule="auto"/>
            </w:pPr>
            <w:r/>
            <w:r>
              <w:rPr>
                <w:rFonts w:ascii="Aptos" w:hAnsi="Aptos"/>
                <w:b w:val="0"/>
                <w:color w:val="111827"/>
                <w:sz w:val="11"/>
              </w:rPr>
              <w:t>Channel existence and public listings</w:t>
            </w:r>
          </w:p>
        </w:tc>
        <w:tc>
          <w:tcPr>
            <w:tcW w:type="dxa" w:w="1872"/>
            <w:vAlign w:val="center"/>
            <w:shd w:fill="F5F7FA"/>
          </w:tcPr>
          <w:p>
            <w:pPr>
              <w:spacing w:after="0" w:before="0" w:line="240" w:lineRule="auto"/>
            </w:pPr>
            <w:r/>
            <w:r>
              <w:rPr>
                <w:rFonts w:ascii="Aptos" w:hAnsi="Aptos"/>
                <w:b w:val="0"/>
                <w:color w:val="111827"/>
                <w:sz w:val="11"/>
              </w:rPr>
              <w:t>Medium</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S29</w:t>
            </w:r>
          </w:p>
        </w:tc>
        <w:tc>
          <w:tcPr>
            <w:tcW w:type="dxa" w:w="2520"/>
            <w:vAlign w:val="center"/>
          </w:tcPr>
          <w:p>
            <w:pPr>
              <w:spacing w:after="0" w:before="0" w:line="240" w:lineRule="auto"/>
            </w:pPr>
            <w:r/>
            <w:r>
              <w:rPr>
                <w:rFonts w:ascii="Aptos" w:hAnsi="Aptos"/>
                <w:b w:val="0"/>
                <w:color w:val="111827"/>
                <w:sz w:val="11"/>
              </w:rPr>
              <w:t>CPSC - Stop online sale of recalled products</w:t>
            </w:r>
          </w:p>
        </w:tc>
        <w:tc>
          <w:tcPr>
            <w:tcW w:type="dxa" w:w="4032"/>
            <w:vAlign w:val="center"/>
          </w:tcPr>
          <w:p>
            <w:pPr>
              <w:spacing w:after="0" w:before="0" w:line="240" w:lineRule="auto"/>
            </w:pPr>
            <w:r/>
            <w:r>
              <w:rPr>
                <w:rFonts w:ascii="Aptos" w:hAnsi="Aptos"/>
                <w:b w:val="0"/>
                <w:color w:val="111827"/>
                <w:sz w:val="11"/>
              </w:rPr>
              <w:t>https://www.cpsc.gov/Business--Manufacturing/Business-Education/ResaleThrift-Stores-Information-Center/Stop-Online-Sale-of-Recalled-Products</w:t>
            </w:r>
          </w:p>
        </w:tc>
        <w:tc>
          <w:tcPr>
            <w:tcW w:type="dxa" w:w="1440"/>
            <w:vAlign w:val="center"/>
          </w:tcPr>
          <w:p>
            <w:pPr>
              <w:spacing w:after="0" w:before="0" w:line="240" w:lineRule="auto"/>
            </w:pPr>
            <w:r/>
            <w:r>
              <w:rPr>
                <w:rFonts w:ascii="Aptos" w:hAnsi="Aptos"/>
                <w:b w:val="0"/>
                <w:color w:val="111827"/>
                <w:sz w:val="11"/>
              </w:rPr>
              <w:t>Regulator guidance</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Recalled goods cannot be offered for sale</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S30</w:t>
            </w:r>
          </w:p>
        </w:tc>
        <w:tc>
          <w:tcPr>
            <w:tcW w:type="dxa" w:w="2520"/>
            <w:vAlign w:val="center"/>
            <w:shd w:fill="F5F7FA"/>
          </w:tcPr>
          <w:p>
            <w:pPr>
              <w:spacing w:after="0" w:before="0" w:line="240" w:lineRule="auto"/>
            </w:pPr>
            <w:r/>
            <w:r>
              <w:rPr>
                <w:rFonts w:ascii="Aptos" w:hAnsi="Aptos"/>
                <w:b w:val="0"/>
                <w:color w:val="111827"/>
                <w:sz w:val="11"/>
              </w:rPr>
              <w:t>Amazon 2024 Sustainability Report</w:t>
            </w:r>
          </w:p>
        </w:tc>
        <w:tc>
          <w:tcPr>
            <w:tcW w:type="dxa" w:w="4032"/>
            <w:vAlign w:val="center"/>
            <w:shd w:fill="F5F7FA"/>
          </w:tcPr>
          <w:p>
            <w:pPr>
              <w:spacing w:after="0" w:before="0" w:line="240" w:lineRule="auto"/>
            </w:pPr>
            <w:r/>
            <w:r>
              <w:rPr>
                <w:rFonts w:ascii="Aptos" w:hAnsi="Aptos"/>
                <w:b w:val="0"/>
                <w:color w:val="111827"/>
                <w:sz w:val="11"/>
              </w:rPr>
              <w:t>https://sustainability.aboutamazon.com/2024-amazon-sustainability-report.pdf</w:t>
            </w:r>
          </w:p>
        </w:tc>
        <w:tc>
          <w:tcPr>
            <w:tcW w:type="dxa" w:w="1440"/>
            <w:vAlign w:val="center"/>
            <w:shd w:fill="F5F7FA"/>
          </w:tcPr>
          <w:p>
            <w:pPr>
              <w:spacing w:after="0" w:before="0" w:line="240" w:lineRule="auto"/>
            </w:pPr>
            <w:r/>
            <w:r>
              <w:rPr>
                <w:rFonts w:ascii="Aptos" w:hAnsi="Aptos"/>
                <w:b w:val="0"/>
                <w:color w:val="111827"/>
                <w:sz w:val="11"/>
              </w:rPr>
              <w:t>Company sustainability report</w:t>
            </w:r>
          </w:p>
        </w:tc>
        <w:tc>
          <w:tcPr>
            <w:tcW w:type="dxa" w:w="1440"/>
            <w:vAlign w:val="center"/>
            <w:shd w:fill="F5F7FA"/>
          </w:tcPr>
          <w:p>
            <w:pPr>
              <w:spacing w:after="0" w:before="0" w:line="240" w:lineRule="auto"/>
            </w:pPr>
            <w:r/>
            <w:r>
              <w:rPr>
                <w:rFonts w:ascii="Aptos" w:hAnsi="Aptos"/>
                <w:b w:val="0"/>
                <w:color w:val="111827"/>
                <w:sz w:val="11"/>
              </w:rPr>
              <w:t>Yes for company claim</w:t>
            </w:r>
          </w:p>
        </w:tc>
        <w:tc>
          <w:tcPr>
            <w:tcW w:type="dxa" w:w="2880"/>
            <w:vAlign w:val="center"/>
            <w:shd w:fill="F5F7FA"/>
          </w:tcPr>
          <w:p>
            <w:pPr>
              <w:spacing w:after="0" w:before="0" w:line="240" w:lineRule="auto"/>
            </w:pPr>
            <w:r/>
            <w:r>
              <w:rPr>
                <w:rFonts w:ascii="Aptos" w:hAnsi="Aptos"/>
                <w:b w:val="0"/>
                <w:color w:val="111827"/>
                <w:sz w:val="11"/>
              </w:rPr>
              <w:t>391 million items resold or donated claim and denominator audit</w:t>
            </w:r>
          </w:p>
        </w:tc>
        <w:tc>
          <w:tcPr>
            <w:tcW w:type="dxa" w:w="1872"/>
            <w:vAlign w:val="center"/>
            <w:shd w:fill="F5F7FA"/>
          </w:tcPr>
          <w:p>
            <w:pPr>
              <w:spacing w:after="0" w:before="0" w:line="240" w:lineRule="auto"/>
            </w:pPr>
            <w:r/>
            <w:r>
              <w:rPr>
                <w:rFonts w:ascii="Aptos" w:hAnsi="Aptos"/>
                <w:b w:val="0"/>
                <w:color w:val="111827"/>
                <w:sz w:val="11"/>
              </w:rPr>
              <w:t>High for claim; limited comparability</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S31</w:t>
            </w:r>
          </w:p>
        </w:tc>
        <w:tc>
          <w:tcPr>
            <w:tcW w:type="dxa" w:w="2520"/>
            <w:vAlign w:val="center"/>
          </w:tcPr>
          <w:p>
            <w:pPr>
              <w:spacing w:after="0" w:before="0" w:line="240" w:lineRule="auto"/>
            </w:pPr>
            <w:r/>
            <w:r>
              <w:rPr>
                <w:rFonts w:ascii="Aptos" w:hAnsi="Aptos"/>
                <w:b w:val="0"/>
                <w:color w:val="111827"/>
                <w:sz w:val="11"/>
              </w:rPr>
              <w:t>Appriss Retail 2024 Consumer Returns report</w:t>
            </w:r>
          </w:p>
        </w:tc>
        <w:tc>
          <w:tcPr>
            <w:tcW w:type="dxa" w:w="4032"/>
            <w:vAlign w:val="center"/>
          </w:tcPr>
          <w:p>
            <w:pPr>
              <w:spacing w:after="0" w:before="0" w:line="240" w:lineRule="auto"/>
            </w:pPr>
            <w:r/>
            <w:r>
              <w:rPr>
                <w:rFonts w:ascii="Aptos" w:hAnsi="Aptos"/>
                <w:b w:val="0"/>
                <w:color w:val="111827"/>
                <w:sz w:val="11"/>
              </w:rPr>
              <w:t>https://apprissretail.com/resources/2024-consumer-returns-report/</w:t>
            </w:r>
          </w:p>
        </w:tc>
        <w:tc>
          <w:tcPr>
            <w:tcW w:type="dxa" w:w="1440"/>
            <w:vAlign w:val="center"/>
          </w:tcPr>
          <w:p>
            <w:pPr>
              <w:spacing w:after="0" w:before="0" w:line="240" w:lineRule="auto"/>
            </w:pPr>
            <w:r/>
            <w:r>
              <w:rPr>
                <w:rFonts w:ascii="Aptos" w:hAnsi="Aptos"/>
                <w:b w:val="0"/>
                <w:color w:val="111827"/>
                <w:sz w:val="11"/>
              </w:rPr>
              <w:t>Sponsor-generated industry report</w:t>
            </w:r>
          </w:p>
        </w:tc>
        <w:tc>
          <w:tcPr>
            <w:tcW w:type="dxa" w:w="1440"/>
            <w:vAlign w:val="center"/>
          </w:tcPr>
          <w:p>
            <w:pPr>
              <w:spacing w:after="0" w:before="0" w:line="240" w:lineRule="auto"/>
            </w:pPr>
            <w:r/>
            <w:r>
              <w:rPr>
                <w:rFonts w:ascii="Aptos" w:hAnsi="Aptos"/>
                <w:b w:val="0"/>
                <w:color w:val="111827"/>
                <w:sz w:val="11"/>
              </w:rPr>
              <w:t>Survey/report</w:t>
            </w:r>
          </w:p>
        </w:tc>
        <w:tc>
          <w:tcPr>
            <w:tcW w:type="dxa" w:w="2880"/>
            <w:vAlign w:val="center"/>
          </w:tcPr>
          <w:p>
            <w:pPr>
              <w:spacing w:after="0" w:before="0" w:line="240" w:lineRule="auto"/>
            </w:pPr>
            <w:r/>
            <w:r>
              <w:rPr>
                <w:rFonts w:ascii="Aptos" w:hAnsi="Aptos"/>
                <w:b w:val="0"/>
                <w:color w:val="111827"/>
                <w:sz w:val="11"/>
              </w:rPr>
              <w:t>Fraud and return-rate headline benchmarks</w:t>
            </w:r>
          </w:p>
        </w:tc>
        <w:tc>
          <w:tcPr>
            <w:tcW w:type="dxa" w:w="1872"/>
            <w:vAlign w:val="center"/>
          </w:tcPr>
          <w:p>
            <w:pPr>
              <w:spacing w:after="0" w:before="0" w:line="240" w:lineRule="auto"/>
            </w:pPr>
            <w:r/>
            <w:r>
              <w:rPr>
                <w:rFonts w:ascii="Aptos" w:hAnsi="Aptos"/>
                <w:b w:val="0"/>
                <w:color w:val="111827"/>
                <w:sz w:val="11"/>
              </w:rPr>
              <w:t>Medium-low due definitions and sponsorship</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S32</w:t>
            </w:r>
          </w:p>
        </w:tc>
        <w:tc>
          <w:tcPr>
            <w:tcW w:type="dxa" w:w="2520"/>
            <w:vAlign w:val="center"/>
            <w:shd w:fill="F5F7FA"/>
          </w:tcPr>
          <w:p>
            <w:pPr>
              <w:spacing w:after="0" w:before="0" w:line="240" w:lineRule="auto"/>
            </w:pPr>
            <w:r/>
            <w:r>
              <w:rPr>
                <w:rFonts w:ascii="Aptos" w:hAnsi="Aptos"/>
                <w:b w:val="0"/>
                <w:color w:val="111827"/>
                <w:sz w:val="11"/>
              </w:rPr>
              <w:t>Online auction field study of end-of-life apparel inventory</w:t>
            </w:r>
          </w:p>
        </w:tc>
        <w:tc>
          <w:tcPr>
            <w:tcW w:type="dxa" w:w="4032"/>
            <w:vAlign w:val="center"/>
            <w:shd w:fill="F5F7FA"/>
          </w:tcPr>
          <w:p>
            <w:pPr>
              <w:spacing w:after="0" w:before="0" w:line="240" w:lineRule="auto"/>
            </w:pPr>
            <w:r/>
            <w:r>
              <w:rPr>
                <w:rFonts w:ascii="Aptos" w:hAnsi="Aptos"/>
                <w:b w:val="0"/>
                <w:color w:val="111827"/>
                <w:sz w:val="11"/>
              </w:rPr>
              <w:t>https://www.researchgate.net/publication/222881906_Can_retailers_get_higher_prices_for_end-of-life_inventory_through_online_auctions</w:t>
            </w:r>
          </w:p>
        </w:tc>
        <w:tc>
          <w:tcPr>
            <w:tcW w:type="dxa" w:w="1440"/>
            <w:vAlign w:val="center"/>
            <w:shd w:fill="F5F7FA"/>
          </w:tcPr>
          <w:p>
            <w:pPr>
              <w:spacing w:after="0" w:before="0" w:line="240" w:lineRule="auto"/>
            </w:pPr>
            <w:r/>
            <w:r>
              <w:rPr>
                <w:rFonts w:ascii="Aptos" w:hAnsi="Aptos"/>
                <w:b w:val="0"/>
                <w:color w:val="111827"/>
                <w:sz w:val="11"/>
              </w:rPr>
              <w:t>Academic field study</w:t>
            </w:r>
          </w:p>
        </w:tc>
        <w:tc>
          <w:tcPr>
            <w:tcW w:type="dxa" w:w="1440"/>
            <w:vAlign w:val="center"/>
            <w:shd w:fill="F5F7FA"/>
          </w:tcPr>
          <w:p>
            <w:pPr>
              <w:spacing w:after="0" w:before="0" w:line="240" w:lineRule="auto"/>
            </w:pPr>
            <w:r/>
            <w:r>
              <w:rPr>
                <w:rFonts w:ascii="Aptos" w:hAnsi="Aptos"/>
                <w:b w:val="0"/>
                <w:color w:val="111827"/>
                <w:sz w:val="11"/>
              </w:rPr>
              <w:t>Yes for study sample</w:t>
            </w:r>
          </w:p>
        </w:tc>
        <w:tc>
          <w:tcPr>
            <w:tcW w:type="dxa" w:w="2880"/>
            <w:vAlign w:val="center"/>
            <w:shd w:fill="F5F7FA"/>
          </w:tcPr>
          <w:p>
            <w:pPr>
              <w:spacing w:after="0" w:before="0" w:line="240" w:lineRule="auto"/>
            </w:pPr>
            <w:r/>
            <w:r>
              <w:rPr>
                <w:rFonts w:ascii="Aptos" w:hAnsi="Aptos"/>
                <w:b w:val="0"/>
                <w:color w:val="111827"/>
                <w:sz w:val="11"/>
              </w:rPr>
              <w:t>11,879 auctions; 13.11% private-label and 16.339% national-brand recovery</w:t>
            </w:r>
          </w:p>
        </w:tc>
        <w:tc>
          <w:tcPr>
            <w:tcW w:type="dxa" w:w="1872"/>
            <w:vAlign w:val="center"/>
            <w:shd w:fill="F5F7FA"/>
          </w:tcPr>
          <w:p>
            <w:pPr>
              <w:spacing w:after="0" w:before="0" w:line="240" w:lineRule="auto"/>
            </w:pPr>
            <w:r/>
            <w:r>
              <w:rPr>
                <w:rFonts w:ascii="Aptos" w:hAnsi="Aptos"/>
                <w:b w:val="0"/>
                <w:color w:val="111827"/>
                <w:sz w:val="11"/>
              </w:rPr>
              <w:t>Medium-high; category- and period-specific</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S33</w:t>
            </w:r>
          </w:p>
        </w:tc>
        <w:tc>
          <w:tcPr>
            <w:tcW w:type="dxa" w:w="2520"/>
            <w:vAlign w:val="center"/>
          </w:tcPr>
          <w:p>
            <w:pPr>
              <w:spacing w:after="0" w:before="0" w:line="240" w:lineRule="auto"/>
            </w:pPr>
            <w:r/>
            <w:r>
              <w:rPr>
                <w:rFonts w:ascii="Aptos" w:hAnsi="Aptos"/>
                <w:b w:val="0"/>
                <w:color w:val="111827"/>
                <w:sz w:val="11"/>
              </w:rPr>
              <w:t>Apple Certified Refurbished store</w:t>
            </w:r>
          </w:p>
        </w:tc>
        <w:tc>
          <w:tcPr>
            <w:tcW w:type="dxa" w:w="4032"/>
            <w:vAlign w:val="center"/>
          </w:tcPr>
          <w:p>
            <w:pPr>
              <w:spacing w:after="0" w:before="0" w:line="240" w:lineRule="auto"/>
            </w:pPr>
            <w:r/>
            <w:r>
              <w:rPr>
                <w:rFonts w:ascii="Aptos" w:hAnsi="Aptos"/>
                <w:b w:val="0"/>
                <w:color w:val="111827"/>
                <w:sz w:val="11"/>
              </w:rPr>
              <w:t>https://www.apple.com/shop/refurbished</w:t>
            </w:r>
          </w:p>
        </w:tc>
        <w:tc>
          <w:tcPr>
            <w:tcW w:type="dxa" w:w="1440"/>
            <w:vAlign w:val="center"/>
          </w:tcPr>
          <w:p>
            <w:pPr>
              <w:spacing w:after="0" w:before="0" w:line="240" w:lineRule="auto"/>
            </w:pPr>
            <w:r/>
            <w:r>
              <w:rPr>
                <w:rFonts w:ascii="Aptos" w:hAnsi="Aptos"/>
                <w:b w:val="0"/>
                <w:color w:val="111827"/>
                <w:sz w:val="11"/>
              </w:rPr>
              <w:t>Official resale storefront</w:t>
            </w:r>
          </w:p>
        </w:tc>
        <w:tc>
          <w:tcPr>
            <w:tcW w:type="dxa" w:w="1440"/>
            <w:vAlign w:val="center"/>
          </w:tcPr>
          <w:p>
            <w:pPr>
              <w:spacing w:after="0" w:before="0" w:line="240" w:lineRule="auto"/>
            </w:pPr>
            <w:r/>
            <w:r>
              <w:rPr>
                <w:rFonts w:ascii="Aptos" w:hAnsi="Aptos"/>
                <w:b w:val="0"/>
                <w:color w:val="111827"/>
                <w:sz w:val="11"/>
              </w:rPr>
              <w:t>Market observation</w:t>
            </w:r>
          </w:p>
        </w:tc>
        <w:tc>
          <w:tcPr>
            <w:tcW w:type="dxa" w:w="2880"/>
            <w:vAlign w:val="center"/>
          </w:tcPr>
          <w:p>
            <w:pPr>
              <w:spacing w:after="0" w:before="0" w:line="240" w:lineRule="auto"/>
            </w:pPr>
            <w:r/>
            <w:r>
              <w:rPr>
                <w:rFonts w:ascii="Aptos" w:hAnsi="Aptos"/>
                <w:b w:val="0"/>
                <w:color w:val="111827"/>
                <w:sz w:val="11"/>
              </w:rPr>
              <w:t>Final consumer-facing refurbished price up to roughly 85% of new</w:t>
            </w:r>
          </w:p>
        </w:tc>
        <w:tc>
          <w:tcPr>
            <w:tcW w:type="dxa" w:w="1872"/>
            <w:vAlign w:val="center"/>
          </w:tcPr>
          <w:p>
            <w:pPr>
              <w:spacing w:after="0" w:before="0" w:line="240" w:lineRule="auto"/>
            </w:pPr>
            <w:r/>
            <w:r>
              <w:rPr>
                <w:rFonts w:ascii="Aptos" w:hAnsi="Aptos"/>
                <w:b w:val="0"/>
                <w:color w:val="111827"/>
                <w:sz w:val="11"/>
              </w:rPr>
              <w:t>High for observed channel; not retailer liquidation recovery</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S34</w:t>
            </w:r>
          </w:p>
        </w:tc>
        <w:tc>
          <w:tcPr>
            <w:tcW w:type="dxa" w:w="2520"/>
            <w:vAlign w:val="center"/>
            <w:shd w:fill="F5F7FA"/>
          </w:tcPr>
          <w:p>
            <w:pPr>
              <w:spacing w:after="0" w:before="0" w:line="240" w:lineRule="auto"/>
            </w:pPr>
            <w:r/>
            <w:r>
              <w:rPr>
                <w:rFonts w:ascii="Aptos" w:hAnsi="Aptos"/>
                <w:b w:val="0"/>
                <w:color w:val="111827"/>
                <w:sz w:val="11"/>
              </w:rPr>
              <w:t>NRF and Happy Returns 2024 retail returns release</w:t>
            </w:r>
          </w:p>
        </w:tc>
        <w:tc>
          <w:tcPr>
            <w:tcW w:type="dxa" w:w="4032"/>
            <w:vAlign w:val="center"/>
            <w:shd w:fill="F5F7FA"/>
          </w:tcPr>
          <w:p>
            <w:pPr>
              <w:spacing w:after="0" w:before="0" w:line="240" w:lineRule="auto"/>
            </w:pPr>
            <w:r/>
            <w:r>
              <w:rPr>
                <w:rFonts w:ascii="Aptos" w:hAnsi="Aptos"/>
                <w:b w:val="0"/>
                <w:color w:val="111827"/>
                <w:sz w:val="11"/>
              </w:rPr>
              <w:t>https://nrf.com/media-center/press-releases/nrf-and-happy-returns-report-2024-retail-returns-total-890-billion</w:t>
            </w:r>
          </w:p>
        </w:tc>
        <w:tc>
          <w:tcPr>
            <w:tcW w:type="dxa" w:w="1440"/>
            <w:vAlign w:val="center"/>
            <w:shd w:fill="F5F7FA"/>
          </w:tcPr>
          <w:p>
            <w:pPr>
              <w:spacing w:after="0" w:before="0" w:line="240" w:lineRule="auto"/>
            </w:pPr>
            <w:r/>
            <w:r>
              <w:rPr>
                <w:rFonts w:ascii="Aptos" w:hAnsi="Aptos"/>
                <w:b w:val="0"/>
                <w:color w:val="111827"/>
                <w:sz w:val="11"/>
              </w:rPr>
              <w:t>Industry association / vendor report</w:t>
            </w:r>
          </w:p>
        </w:tc>
        <w:tc>
          <w:tcPr>
            <w:tcW w:type="dxa" w:w="1440"/>
            <w:vAlign w:val="center"/>
            <w:shd w:fill="F5F7FA"/>
          </w:tcPr>
          <w:p>
            <w:pPr>
              <w:spacing w:after="0" w:before="0" w:line="240" w:lineRule="auto"/>
            </w:pPr>
            <w:r/>
            <w:r>
              <w:rPr>
                <w:rFonts w:ascii="Aptos" w:hAnsi="Aptos"/>
                <w:b w:val="0"/>
                <w:color w:val="111827"/>
                <w:sz w:val="11"/>
              </w:rPr>
              <w:t>Survey estimate</w:t>
            </w:r>
          </w:p>
        </w:tc>
        <w:tc>
          <w:tcPr>
            <w:tcW w:type="dxa" w:w="2880"/>
            <w:vAlign w:val="center"/>
            <w:shd w:fill="F5F7FA"/>
          </w:tcPr>
          <w:p>
            <w:pPr>
              <w:spacing w:after="0" w:before="0" w:line="240" w:lineRule="auto"/>
            </w:pPr>
            <w:r/>
            <w:r>
              <w:rPr>
                <w:rFonts w:ascii="Aptos" w:hAnsi="Aptos"/>
                <w:b w:val="0"/>
                <w:color w:val="111827"/>
                <w:sz w:val="11"/>
              </w:rPr>
              <w:t>2024 return volume and rate context</w:t>
            </w:r>
          </w:p>
        </w:tc>
        <w:tc>
          <w:tcPr>
            <w:tcW w:type="dxa" w:w="1872"/>
            <w:vAlign w:val="center"/>
            <w:shd w:fill="F5F7FA"/>
          </w:tcPr>
          <w:p>
            <w:pPr>
              <w:spacing w:after="0" w:before="0" w:line="240" w:lineRule="auto"/>
            </w:pPr>
            <w:r/>
            <w:r>
              <w:rPr>
                <w:rFonts w:ascii="Aptos" w:hAnsi="Aptos"/>
                <w:b w:val="0"/>
                <w:color w:val="111827"/>
                <w:sz w:val="11"/>
              </w:rPr>
              <w:t>Medium</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S35</w:t>
            </w:r>
          </w:p>
        </w:tc>
        <w:tc>
          <w:tcPr>
            <w:tcW w:type="dxa" w:w="2520"/>
            <w:vAlign w:val="center"/>
          </w:tcPr>
          <w:p>
            <w:pPr>
              <w:spacing w:after="0" w:before="0" w:line="240" w:lineRule="auto"/>
            </w:pPr>
            <w:r/>
            <w:r>
              <w:rPr>
                <w:rFonts w:ascii="Aptos" w:hAnsi="Aptos"/>
                <w:b w:val="0"/>
                <w:color w:val="111827"/>
                <w:sz w:val="11"/>
              </w:rPr>
              <w:t>Amazon seller communication - FBA Liquidations typical recovery</w:t>
            </w:r>
          </w:p>
        </w:tc>
        <w:tc>
          <w:tcPr>
            <w:tcW w:type="dxa" w:w="4032"/>
            <w:vAlign w:val="center"/>
          </w:tcPr>
          <w:p>
            <w:pPr>
              <w:spacing w:after="0" w:before="0" w:line="240" w:lineRule="auto"/>
            </w:pPr>
            <w:r/>
            <w:r>
              <w:rPr>
                <w:rFonts w:ascii="Aptos" w:hAnsi="Aptos"/>
                <w:b w:val="0"/>
                <w:color w:val="111827"/>
                <w:sz w:val="11"/>
              </w:rPr>
              <w:t>https://sellercentral.amazon.com/seller-forums/discussions/t/7baf9138523e2e98ec8eb5f91875dd80</w:t>
            </w:r>
          </w:p>
        </w:tc>
        <w:tc>
          <w:tcPr>
            <w:tcW w:type="dxa" w:w="1440"/>
            <w:vAlign w:val="center"/>
          </w:tcPr>
          <w:p>
            <w:pPr>
              <w:spacing w:after="0" w:before="0" w:line="240" w:lineRule="auto"/>
            </w:pPr>
            <w:r/>
            <w:r>
              <w:rPr>
                <w:rFonts w:ascii="Aptos" w:hAnsi="Aptos"/>
                <w:b w:val="0"/>
                <w:color w:val="111827"/>
                <w:sz w:val="11"/>
              </w:rPr>
              <w:t>Official seller communication</w:t>
            </w:r>
          </w:p>
        </w:tc>
        <w:tc>
          <w:tcPr>
            <w:tcW w:type="dxa" w:w="1440"/>
            <w:vAlign w:val="center"/>
          </w:tcPr>
          <w:p>
            <w:pPr>
              <w:spacing w:after="0" w:before="0" w:line="240" w:lineRule="auto"/>
            </w:pPr>
            <w:r/>
            <w:r>
              <w:rPr>
                <w:rFonts w:ascii="Aptos" w:hAnsi="Aptos"/>
                <w:b w:val="0"/>
                <w:color w:val="111827"/>
                <w:sz w:val="11"/>
              </w:rPr>
              <w:t>Yes for program claim</w:t>
            </w:r>
          </w:p>
        </w:tc>
        <w:tc>
          <w:tcPr>
            <w:tcW w:type="dxa" w:w="2880"/>
            <w:vAlign w:val="center"/>
          </w:tcPr>
          <w:p>
            <w:pPr>
              <w:spacing w:after="0" w:before="0" w:line="240" w:lineRule="auto"/>
            </w:pPr>
            <w:r/>
            <w:r>
              <w:rPr>
                <w:rFonts w:ascii="Aptos" w:hAnsi="Aptos"/>
                <w:b w:val="0"/>
                <w:color w:val="111827"/>
                <w:sz w:val="11"/>
              </w:rPr>
              <w:t>Typical 5%-10% of average selling price and fee structure</w:t>
            </w:r>
          </w:p>
        </w:tc>
        <w:tc>
          <w:tcPr>
            <w:tcW w:type="dxa" w:w="1872"/>
            <w:vAlign w:val="center"/>
          </w:tcPr>
          <w:p>
            <w:pPr>
              <w:spacing w:after="0" w:before="0" w:line="240" w:lineRule="auto"/>
            </w:pPr>
            <w:r/>
            <w:r>
              <w:rPr>
                <w:rFonts w:ascii="Aptos" w:hAnsi="Aptos"/>
                <w:b w:val="0"/>
                <w:color w:val="111827"/>
                <w:sz w:val="11"/>
              </w:rPr>
              <w:t>High within program; low generalizability</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S36</w:t>
            </w:r>
          </w:p>
        </w:tc>
        <w:tc>
          <w:tcPr>
            <w:tcW w:type="dxa" w:w="2520"/>
            <w:vAlign w:val="center"/>
            <w:shd w:fill="F5F7FA"/>
          </w:tcPr>
          <w:p>
            <w:pPr>
              <w:spacing w:after="0" w:before="0" w:line="240" w:lineRule="auto"/>
            </w:pPr>
            <w:r/>
            <w:r>
              <w:rPr>
                <w:rFonts w:ascii="Aptos" w:hAnsi="Aptos"/>
                <w:b w:val="0"/>
                <w:color w:val="111827"/>
                <w:sz w:val="11"/>
              </w:rPr>
              <w:t>B-Stock Walmart eBikes lot 150245</w:t>
            </w:r>
          </w:p>
        </w:tc>
        <w:tc>
          <w:tcPr>
            <w:tcW w:type="dxa" w:w="4032"/>
            <w:vAlign w:val="center"/>
            <w:shd w:fill="F5F7FA"/>
          </w:tcPr>
          <w:p>
            <w:pPr>
              <w:spacing w:after="0" w:before="0" w:line="240" w:lineRule="auto"/>
            </w:pPr>
            <w:r/>
            <w:r>
              <w:rPr>
                <w:rFonts w:ascii="Aptos" w:hAnsi="Aptos"/>
                <w:b w:val="0"/>
                <w:color w:val="111827"/>
                <w:sz w:val="11"/>
              </w:rPr>
              <w:t>https://walmart.bstock.com/auction/auction/view/id/150245/</w:t>
            </w:r>
          </w:p>
        </w:tc>
        <w:tc>
          <w:tcPr>
            <w:tcW w:type="dxa" w:w="1440"/>
            <w:vAlign w:val="center"/>
            <w:shd w:fill="F5F7FA"/>
          </w:tcPr>
          <w:p>
            <w:pPr>
              <w:spacing w:after="0" w:before="0" w:line="240" w:lineRule="auto"/>
            </w:pPr>
            <w:r/>
            <w:r>
              <w:rPr>
                <w:rFonts w:ascii="Aptos" w:hAnsi="Aptos"/>
                <w:b w:val="0"/>
                <w:color w:val="111827"/>
                <w:sz w:val="11"/>
              </w:rPr>
              <w:t>Completed auction observation</w:t>
            </w:r>
          </w:p>
        </w:tc>
        <w:tc>
          <w:tcPr>
            <w:tcW w:type="dxa" w:w="1440"/>
            <w:vAlign w:val="center"/>
            <w:shd w:fill="F5F7FA"/>
          </w:tcPr>
          <w:p>
            <w:pPr>
              <w:spacing w:after="0" w:before="0" w:line="240" w:lineRule="auto"/>
            </w:pPr>
            <w:r/>
            <w:r>
              <w:rPr>
                <w:rFonts w:ascii="Aptos" w:hAnsi="Aptos"/>
                <w:b w:val="0"/>
                <w:color w:val="111827"/>
                <w:sz w:val="11"/>
              </w:rPr>
              <w:t>Market observation</w:t>
            </w:r>
          </w:p>
        </w:tc>
        <w:tc>
          <w:tcPr>
            <w:tcW w:type="dxa" w:w="2880"/>
            <w:vAlign w:val="center"/>
            <w:shd w:fill="F5F7FA"/>
          </w:tcPr>
          <w:p>
            <w:pPr>
              <w:spacing w:after="0" w:before="0" w:line="240" w:lineRule="auto"/>
            </w:pPr>
            <w:r/>
            <w:r>
              <w:rPr>
                <w:rFonts w:ascii="Aptos" w:hAnsi="Aptos"/>
                <w:b w:val="0"/>
                <w:color w:val="111827"/>
                <w:sz w:val="11"/>
              </w:rPr>
              <w:t>12 units, $3,058 stated retail, inferred ~$600 bid</w:t>
            </w:r>
          </w:p>
        </w:tc>
        <w:tc>
          <w:tcPr>
            <w:tcW w:type="dxa" w:w="1872"/>
            <w:vAlign w:val="center"/>
            <w:shd w:fill="F5F7FA"/>
          </w:tcPr>
          <w:p>
            <w:pPr>
              <w:spacing w:after="0" w:before="0" w:line="240" w:lineRule="auto"/>
            </w:pPr>
            <w:r/>
            <w:r>
              <w:rPr>
                <w:rFonts w:ascii="Aptos" w:hAnsi="Aptos"/>
                <w:b w:val="0"/>
                <w:color w:val="111827"/>
                <w:sz w:val="11"/>
              </w:rPr>
              <w:t>Medium-high for visible fields; freight/fees hidden</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S37</w:t>
            </w:r>
          </w:p>
        </w:tc>
        <w:tc>
          <w:tcPr>
            <w:tcW w:type="dxa" w:w="2520"/>
            <w:vAlign w:val="center"/>
          </w:tcPr>
          <w:p>
            <w:pPr>
              <w:spacing w:after="0" w:before="0" w:line="240" w:lineRule="auto"/>
            </w:pPr>
            <w:r/>
            <w:r>
              <w:rPr>
                <w:rFonts w:ascii="Aptos" w:hAnsi="Aptos"/>
                <w:b w:val="0"/>
                <w:color w:val="111827"/>
                <w:sz w:val="11"/>
              </w:rPr>
              <w:t>B-Stock Walmart microwaves lot 150184</w:t>
            </w:r>
          </w:p>
        </w:tc>
        <w:tc>
          <w:tcPr>
            <w:tcW w:type="dxa" w:w="4032"/>
            <w:vAlign w:val="center"/>
          </w:tcPr>
          <w:p>
            <w:pPr>
              <w:spacing w:after="0" w:before="0" w:line="240" w:lineRule="auto"/>
            </w:pPr>
            <w:r/>
            <w:r>
              <w:rPr>
                <w:rFonts w:ascii="Aptos" w:hAnsi="Aptos"/>
                <w:b w:val="0"/>
                <w:color w:val="111827"/>
                <w:sz w:val="11"/>
              </w:rPr>
              <w:t>https://walmart.bstock.com/auction/auction/view/id/150184/</w:t>
            </w:r>
          </w:p>
        </w:tc>
        <w:tc>
          <w:tcPr>
            <w:tcW w:type="dxa" w:w="1440"/>
            <w:vAlign w:val="center"/>
          </w:tcPr>
          <w:p>
            <w:pPr>
              <w:spacing w:after="0" w:before="0" w:line="240" w:lineRule="auto"/>
            </w:pPr>
            <w:r/>
            <w:r>
              <w:rPr>
                <w:rFonts w:ascii="Aptos" w:hAnsi="Aptos"/>
                <w:b w:val="0"/>
                <w:color w:val="111827"/>
                <w:sz w:val="11"/>
              </w:rPr>
              <w:t>Completed auction observation</w:t>
            </w:r>
          </w:p>
        </w:tc>
        <w:tc>
          <w:tcPr>
            <w:tcW w:type="dxa" w:w="1440"/>
            <w:vAlign w:val="center"/>
          </w:tcPr>
          <w:p>
            <w:pPr>
              <w:spacing w:after="0" w:before="0" w:line="240" w:lineRule="auto"/>
            </w:pPr>
            <w:r/>
            <w:r>
              <w:rPr>
                <w:rFonts w:ascii="Aptos" w:hAnsi="Aptos"/>
                <w:b w:val="0"/>
                <w:color w:val="111827"/>
                <w:sz w:val="11"/>
              </w:rPr>
              <w:t>Market observation</w:t>
            </w:r>
          </w:p>
        </w:tc>
        <w:tc>
          <w:tcPr>
            <w:tcW w:type="dxa" w:w="2880"/>
            <w:vAlign w:val="center"/>
          </w:tcPr>
          <w:p>
            <w:pPr>
              <w:spacing w:after="0" w:before="0" w:line="240" w:lineRule="auto"/>
            </w:pPr>
            <w:r/>
            <w:r>
              <w:rPr>
                <w:rFonts w:ascii="Aptos" w:hAnsi="Aptos"/>
                <w:b w:val="0"/>
                <w:color w:val="111827"/>
                <w:sz w:val="11"/>
              </w:rPr>
              <w:t>102 units, $7,004 stated retail, inferred ~$1,020 bid</w:t>
            </w:r>
          </w:p>
        </w:tc>
        <w:tc>
          <w:tcPr>
            <w:tcW w:type="dxa" w:w="1872"/>
            <w:vAlign w:val="center"/>
          </w:tcPr>
          <w:p>
            <w:pPr>
              <w:spacing w:after="0" w:before="0" w:line="240" w:lineRule="auto"/>
            </w:pPr>
            <w:r/>
            <w:r>
              <w:rPr>
                <w:rFonts w:ascii="Aptos" w:hAnsi="Aptos"/>
                <w:b w:val="0"/>
                <w:color w:val="111827"/>
                <w:sz w:val="11"/>
              </w:rPr>
              <w:t>Medium-high for visible fields; freight/fees hidden</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S38</w:t>
            </w:r>
          </w:p>
        </w:tc>
        <w:tc>
          <w:tcPr>
            <w:tcW w:type="dxa" w:w="2520"/>
            <w:vAlign w:val="center"/>
            <w:shd w:fill="F5F7FA"/>
          </w:tcPr>
          <w:p>
            <w:pPr>
              <w:spacing w:after="0" w:before="0" w:line="240" w:lineRule="auto"/>
            </w:pPr>
            <w:r/>
            <w:r>
              <w:rPr>
                <w:rFonts w:ascii="Aptos" w:hAnsi="Aptos"/>
                <w:b w:val="0"/>
                <w:color w:val="111827"/>
                <w:sz w:val="11"/>
              </w:rPr>
              <w:t>Liquidation.com marketplace</w:t>
            </w:r>
          </w:p>
        </w:tc>
        <w:tc>
          <w:tcPr>
            <w:tcW w:type="dxa" w:w="4032"/>
            <w:vAlign w:val="center"/>
            <w:shd w:fill="F5F7FA"/>
          </w:tcPr>
          <w:p>
            <w:pPr>
              <w:spacing w:after="0" w:before="0" w:line="240" w:lineRule="auto"/>
            </w:pPr>
            <w:r/>
            <w:r>
              <w:rPr>
                <w:rFonts w:ascii="Aptos" w:hAnsi="Aptos"/>
                <w:b w:val="0"/>
                <w:color w:val="111827"/>
                <w:sz w:val="11"/>
              </w:rPr>
              <w:t>https://www.liquidation.com/</w:t>
            </w:r>
          </w:p>
        </w:tc>
        <w:tc>
          <w:tcPr>
            <w:tcW w:type="dxa" w:w="1440"/>
            <w:vAlign w:val="center"/>
            <w:shd w:fill="F5F7FA"/>
          </w:tcPr>
          <w:p>
            <w:pPr>
              <w:spacing w:after="0" w:before="0" w:line="240" w:lineRule="auto"/>
            </w:pPr>
            <w:r/>
            <w:r>
              <w:rPr>
                <w:rFonts w:ascii="Aptos" w:hAnsi="Aptos"/>
                <w:b w:val="0"/>
                <w:color w:val="111827"/>
                <w:sz w:val="11"/>
              </w:rPr>
              <w:t>Liquidation marketplace</w:t>
            </w:r>
          </w:p>
        </w:tc>
        <w:tc>
          <w:tcPr>
            <w:tcW w:type="dxa" w:w="1440"/>
            <w:vAlign w:val="center"/>
            <w:shd w:fill="F5F7FA"/>
          </w:tcPr>
          <w:p>
            <w:pPr>
              <w:spacing w:after="0" w:before="0" w:line="240" w:lineRule="auto"/>
            </w:pPr>
            <w:r/>
            <w:r>
              <w:rPr>
                <w:rFonts w:ascii="Aptos" w:hAnsi="Aptos"/>
                <w:b w:val="0"/>
                <w:color w:val="111827"/>
                <w:sz w:val="11"/>
              </w:rPr>
              <w:t>Market observation</w:t>
            </w:r>
          </w:p>
        </w:tc>
        <w:tc>
          <w:tcPr>
            <w:tcW w:type="dxa" w:w="2880"/>
            <w:vAlign w:val="center"/>
            <w:shd w:fill="F5F7FA"/>
          </w:tcPr>
          <w:p>
            <w:pPr>
              <w:spacing w:after="0" w:before="0" w:line="240" w:lineRule="auto"/>
            </w:pPr>
            <w:r/>
            <w:r>
              <w:rPr>
                <w:rFonts w:ascii="Aptos" w:hAnsi="Aptos"/>
                <w:b w:val="0"/>
                <w:color w:val="111827"/>
                <w:sz w:val="11"/>
              </w:rPr>
              <w:t>Mixed condition taxonomy and market structure</w:t>
            </w:r>
          </w:p>
        </w:tc>
        <w:tc>
          <w:tcPr>
            <w:tcW w:type="dxa" w:w="1872"/>
            <w:vAlign w:val="center"/>
            <w:shd w:fill="F5F7FA"/>
          </w:tcPr>
          <w:p>
            <w:pPr>
              <w:spacing w:after="0" w:before="0" w:line="240" w:lineRule="auto"/>
            </w:pPr>
            <w:r/>
            <w:r>
              <w:rPr>
                <w:rFonts w:ascii="Aptos" w:hAnsi="Aptos"/>
                <w:b w:val="0"/>
                <w:color w:val="111827"/>
                <w:sz w:val="11"/>
              </w:rPr>
              <w:t>Medium</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S39</w:t>
            </w:r>
          </w:p>
        </w:tc>
        <w:tc>
          <w:tcPr>
            <w:tcW w:type="dxa" w:w="2520"/>
            <w:vAlign w:val="center"/>
          </w:tcPr>
          <w:p>
            <w:pPr>
              <w:spacing w:after="0" w:before="0" w:line="240" w:lineRule="auto"/>
            </w:pPr>
            <w:r/>
            <w:r>
              <w:rPr>
                <w:rFonts w:ascii="Aptos" w:hAnsi="Aptos"/>
                <w:b w:val="0"/>
                <w:color w:val="111827"/>
                <w:sz w:val="11"/>
              </w:rPr>
              <w:t>B-Stock - State of B2B Recommerce recap</w:t>
            </w:r>
          </w:p>
        </w:tc>
        <w:tc>
          <w:tcPr>
            <w:tcW w:type="dxa" w:w="4032"/>
            <w:vAlign w:val="center"/>
          </w:tcPr>
          <w:p>
            <w:pPr>
              <w:spacing w:after="0" w:before="0" w:line="240" w:lineRule="auto"/>
            </w:pPr>
            <w:r/>
            <w:r>
              <w:rPr>
                <w:rFonts w:ascii="Aptos" w:hAnsi="Aptos"/>
                <w:b w:val="0"/>
                <w:color w:val="111827"/>
                <w:sz w:val="11"/>
              </w:rPr>
              <w:t>https://bstock.com/blog/the-state-of-b2b-recommerce-a-recap/</w:t>
            </w:r>
          </w:p>
        </w:tc>
        <w:tc>
          <w:tcPr>
            <w:tcW w:type="dxa" w:w="1440"/>
            <w:vAlign w:val="center"/>
          </w:tcPr>
          <w:p>
            <w:pPr>
              <w:spacing w:after="0" w:before="0" w:line="240" w:lineRule="auto"/>
            </w:pPr>
            <w:r/>
            <w:r>
              <w:rPr>
                <w:rFonts w:ascii="Aptos" w:hAnsi="Aptos"/>
                <w:b w:val="0"/>
                <w:color w:val="111827"/>
                <w:sz w:val="11"/>
              </w:rPr>
              <w:t>Marketplace analysis</w:t>
            </w:r>
          </w:p>
        </w:tc>
        <w:tc>
          <w:tcPr>
            <w:tcW w:type="dxa" w:w="1440"/>
            <w:vAlign w:val="center"/>
          </w:tcPr>
          <w:p>
            <w:pPr>
              <w:spacing w:after="0" w:before="0" w:line="240" w:lineRule="auto"/>
            </w:pPr>
            <w:r/>
            <w:r>
              <w:rPr>
                <w:rFonts w:ascii="Aptos" w:hAnsi="Aptos"/>
                <w:b w:val="0"/>
                <w:color w:val="111827"/>
                <w:sz w:val="11"/>
              </w:rPr>
              <w:t>Vendor analysis</w:t>
            </w:r>
          </w:p>
        </w:tc>
        <w:tc>
          <w:tcPr>
            <w:tcW w:type="dxa" w:w="2880"/>
            <w:vAlign w:val="center"/>
          </w:tcPr>
          <w:p>
            <w:pPr>
              <w:spacing w:after="0" w:before="0" w:line="240" w:lineRule="auto"/>
            </w:pPr>
            <w:r/>
            <w:r>
              <w:rPr>
                <w:rFonts w:ascii="Aptos" w:hAnsi="Aptos"/>
                <w:b w:val="0"/>
                <w:color w:val="111827"/>
                <w:sz w:val="11"/>
              </w:rPr>
              <w:t>Electronics recovery ranking and depreciation observations</w:t>
            </w:r>
          </w:p>
        </w:tc>
        <w:tc>
          <w:tcPr>
            <w:tcW w:type="dxa" w:w="1872"/>
            <w:vAlign w:val="center"/>
          </w:tcPr>
          <w:p>
            <w:pPr>
              <w:spacing w:after="0" w:before="0" w:line="240" w:lineRule="auto"/>
            </w:pPr>
            <w:r/>
            <w:r>
              <w:rPr>
                <w:rFonts w:ascii="Aptos" w:hAnsi="Aptos"/>
                <w:b w:val="0"/>
                <w:color w:val="111827"/>
                <w:sz w:val="11"/>
              </w:rPr>
              <w:t>Medium</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S40</w:t>
            </w:r>
          </w:p>
        </w:tc>
        <w:tc>
          <w:tcPr>
            <w:tcW w:type="dxa" w:w="2520"/>
            <w:vAlign w:val="center"/>
            <w:shd w:fill="F5F7FA"/>
          </w:tcPr>
          <w:p>
            <w:pPr>
              <w:spacing w:after="0" w:before="0" w:line="240" w:lineRule="auto"/>
            </w:pPr>
            <w:r/>
            <w:r>
              <w:rPr>
                <w:rFonts w:ascii="Aptos" w:hAnsi="Aptos"/>
                <w:b w:val="0"/>
                <w:color w:val="111827"/>
                <w:sz w:val="11"/>
              </w:rPr>
              <w:t>B-Stock - Furniture e-commerce returns</w:t>
            </w:r>
          </w:p>
        </w:tc>
        <w:tc>
          <w:tcPr>
            <w:tcW w:type="dxa" w:w="4032"/>
            <w:vAlign w:val="center"/>
            <w:shd w:fill="F5F7FA"/>
          </w:tcPr>
          <w:p>
            <w:pPr>
              <w:spacing w:after="0" w:before="0" w:line="240" w:lineRule="auto"/>
            </w:pPr>
            <w:r/>
            <w:r>
              <w:rPr>
                <w:rFonts w:ascii="Aptos" w:hAnsi="Aptos"/>
                <w:b w:val="0"/>
                <w:color w:val="111827"/>
                <w:sz w:val="11"/>
              </w:rPr>
              <w:t>https://bstock.com/blog/bigger-buys-bigger-returns-bigger-challenges-for-furniture-e-commerce/</w:t>
            </w:r>
          </w:p>
        </w:tc>
        <w:tc>
          <w:tcPr>
            <w:tcW w:type="dxa" w:w="1440"/>
            <w:vAlign w:val="center"/>
            <w:shd w:fill="F5F7FA"/>
          </w:tcPr>
          <w:p>
            <w:pPr>
              <w:spacing w:after="0" w:before="0" w:line="240" w:lineRule="auto"/>
            </w:pPr>
            <w:r/>
            <w:r>
              <w:rPr>
                <w:rFonts w:ascii="Aptos" w:hAnsi="Aptos"/>
                <w:b w:val="0"/>
                <w:color w:val="111827"/>
                <w:sz w:val="11"/>
              </w:rPr>
              <w:t>Marketplace analysis / case study</w:t>
            </w:r>
          </w:p>
        </w:tc>
        <w:tc>
          <w:tcPr>
            <w:tcW w:type="dxa" w:w="1440"/>
            <w:vAlign w:val="center"/>
            <w:shd w:fill="F5F7FA"/>
          </w:tcPr>
          <w:p>
            <w:pPr>
              <w:spacing w:after="0" w:before="0" w:line="240" w:lineRule="auto"/>
            </w:pPr>
            <w:r/>
            <w:r>
              <w:rPr>
                <w:rFonts w:ascii="Aptos" w:hAnsi="Aptos"/>
                <w:b w:val="0"/>
                <w:color w:val="111827"/>
                <w:sz w:val="11"/>
              </w:rPr>
              <w:t>Vendor analysis</w:t>
            </w:r>
          </w:p>
        </w:tc>
        <w:tc>
          <w:tcPr>
            <w:tcW w:type="dxa" w:w="2880"/>
            <w:vAlign w:val="center"/>
            <w:shd w:fill="F5F7FA"/>
          </w:tcPr>
          <w:p>
            <w:pPr>
              <w:spacing w:after="0" w:before="0" w:line="240" w:lineRule="auto"/>
            </w:pPr>
            <w:r/>
            <w:r>
              <w:rPr>
                <w:rFonts w:ascii="Aptos" w:hAnsi="Aptos"/>
                <w:b w:val="0"/>
                <w:color w:val="111827"/>
                <w:sz w:val="11"/>
              </w:rPr>
              <w:t>Furniture return-rate claim and recovery improvement case study</w:t>
            </w:r>
          </w:p>
        </w:tc>
        <w:tc>
          <w:tcPr>
            <w:tcW w:type="dxa" w:w="1872"/>
            <w:vAlign w:val="center"/>
            <w:shd w:fill="F5F7FA"/>
          </w:tcPr>
          <w:p>
            <w:pPr>
              <w:spacing w:after="0" w:before="0" w:line="240" w:lineRule="auto"/>
            </w:pPr>
            <w:r/>
            <w:r>
              <w:rPr>
                <w:rFonts w:ascii="Aptos" w:hAnsi="Aptos"/>
                <w:b w:val="0"/>
                <w:color w:val="111827"/>
                <w:sz w:val="11"/>
              </w:rPr>
              <w:t>Medium-low for population inference</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S41</w:t>
            </w:r>
          </w:p>
        </w:tc>
        <w:tc>
          <w:tcPr>
            <w:tcW w:type="dxa" w:w="2520"/>
            <w:vAlign w:val="center"/>
          </w:tcPr>
          <w:p>
            <w:pPr>
              <w:spacing w:after="0" w:before="0" w:line="240" w:lineRule="auto"/>
            </w:pPr>
            <w:r/>
            <w:r>
              <w:rPr>
                <w:rFonts w:ascii="Aptos" w:hAnsi="Aptos"/>
                <w:b w:val="0"/>
                <w:color w:val="111827"/>
                <w:sz w:val="11"/>
              </w:rPr>
              <w:t>Sephora returns and exchanges</w:t>
            </w:r>
          </w:p>
        </w:tc>
        <w:tc>
          <w:tcPr>
            <w:tcW w:type="dxa" w:w="4032"/>
            <w:vAlign w:val="center"/>
          </w:tcPr>
          <w:p>
            <w:pPr>
              <w:spacing w:after="0" w:before="0" w:line="240" w:lineRule="auto"/>
            </w:pPr>
            <w:r/>
            <w:r>
              <w:rPr>
                <w:rFonts w:ascii="Aptos" w:hAnsi="Aptos"/>
                <w:b w:val="0"/>
                <w:color w:val="111827"/>
                <w:sz w:val="11"/>
              </w:rPr>
              <w:t>https://www.sephora.com/beauty/returns-exchanges</w:t>
            </w:r>
          </w:p>
        </w:tc>
        <w:tc>
          <w:tcPr>
            <w:tcW w:type="dxa" w:w="1440"/>
            <w:vAlign w:val="center"/>
          </w:tcPr>
          <w:p>
            <w:pPr>
              <w:spacing w:after="0" w:before="0" w:line="240" w:lineRule="auto"/>
            </w:pPr>
            <w:r/>
            <w:r>
              <w:rPr>
                <w:rFonts w:ascii="Aptos" w:hAnsi="Aptos"/>
                <w:b w:val="0"/>
                <w:color w:val="111827"/>
                <w:sz w:val="11"/>
              </w:rPr>
              <w:t>Official consumer policy</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Beauty returns including gently used products</w:t>
            </w:r>
          </w:p>
        </w:tc>
        <w:tc>
          <w:tcPr>
            <w:tcW w:type="dxa" w:w="1872"/>
            <w:vAlign w:val="center"/>
          </w:tcPr>
          <w:p>
            <w:pPr>
              <w:spacing w:after="0" w:before="0" w:line="240" w:lineRule="auto"/>
            </w:pPr>
            <w:r/>
            <w:r>
              <w:rPr>
                <w:rFonts w:ascii="Aptos" w:hAnsi="Aptos"/>
                <w:b w:val="0"/>
                <w:color w:val="111827"/>
                <w:sz w:val="11"/>
              </w:rPr>
              <w:t>High</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S42</w:t>
            </w:r>
          </w:p>
        </w:tc>
        <w:tc>
          <w:tcPr>
            <w:tcW w:type="dxa" w:w="2520"/>
            <w:vAlign w:val="center"/>
            <w:shd w:fill="F5F7FA"/>
          </w:tcPr>
          <w:p>
            <w:pPr>
              <w:spacing w:after="0" w:before="0" w:line="240" w:lineRule="auto"/>
            </w:pPr>
            <w:r/>
            <w:r>
              <w:rPr>
                <w:rFonts w:ascii="Aptos" w:hAnsi="Aptos"/>
                <w:b w:val="0"/>
                <w:color w:val="111827"/>
                <w:sz w:val="11"/>
              </w:rPr>
              <w:t>AuctionMethod retail liquidation industry report</w:t>
            </w:r>
          </w:p>
        </w:tc>
        <w:tc>
          <w:tcPr>
            <w:tcW w:type="dxa" w:w="4032"/>
            <w:vAlign w:val="center"/>
            <w:shd w:fill="F5F7FA"/>
          </w:tcPr>
          <w:p>
            <w:pPr>
              <w:spacing w:after="0" w:before="0" w:line="240" w:lineRule="auto"/>
            </w:pPr>
            <w:r/>
            <w:r>
              <w:rPr>
                <w:rFonts w:ascii="Aptos" w:hAnsi="Aptos"/>
                <w:b w:val="0"/>
                <w:color w:val="111827"/>
                <w:sz w:val="11"/>
              </w:rPr>
              <w:t>https://www.auctionmethod.com/hubfs/blog-files/Comprehensive%20Report%20on%20the%20Retail%20Liquidation%20Auction%20Industry.pdf</w:t>
            </w:r>
          </w:p>
        </w:tc>
        <w:tc>
          <w:tcPr>
            <w:tcW w:type="dxa" w:w="1440"/>
            <w:vAlign w:val="center"/>
            <w:shd w:fill="F5F7FA"/>
          </w:tcPr>
          <w:p>
            <w:pPr>
              <w:spacing w:after="0" w:before="0" w:line="240" w:lineRule="auto"/>
            </w:pPr>
            <w:r/>
            <w:r>
              <w:rPr>
                <w:rFonts w:ascii="Aptos" w:hAnsi="Aptos"/>
                <w:b w:val="0"/>
                <w:color w:val="111827"/>
                <w:sz w:val="11"/>
              </w:rPr>
              <w:t>Industry review</w:t>
            </w:r>
          </w:p>
        </w:tc>
        <w:tc>
          <w:tcPr>
            <w:tcW w:type="dxa" w:w="1440"/>
            <w:vAlign w:val="center"/>
            <w:shd w:fill="F5F7FA"/>
          </w:tcPr>
          <w:p>
            <w:pPr>
              <w:spacing w:after="0" w:before="0" w:line="240" w:lineRule="auto"/>
            </w:pPr>
            <w:r/>
            <w:r>
              <w:rPr>
                <w:rFonts w:ascii="Aptos" w:hAnsi="Aptos"/>
                <w:b w:val="0"/>
                <w:color w:val="111827"/>
                <w:sz w:val="11"/>
              </w:rPr>
              <w:t>No</w:t>
            </w:r>
          </w:p>
        </w:tc>
        <w:tc>
          <w:tcPr>
            <w:tcW w:type="dxa" w:w="2880"/>
            <w:vAlign w:val="center"/>
            <w:shd w:fill="F5F7FA"/>
          </w:tcPr>
          <w:p>
            <w:pPr>
              <w:spacing w:after="0" w:before="0" w:line="240" w:lineRule="auto"/>
            </w:pPr>
            <w:r/>
            <w:r>
              <w:rPr>
                <w:rFonts w:ascii="Aptos" w:hAnsi="Aptos"/>
                <w:b w:val="0"/>
                <w:color w:val="111827"/>
                <w:sz w:val="11"/>
              </w:rPr>
              <w:t>10%-30% mixed-return range and bin-store operating observations</w:t>
            </w:r>
          </w:p>
        </w:tc>
        <w:tc>
          <w:tcPr>
            <w:tcW w:type="dxa" w:w="1872"/>
            <w:vAlign w:val="center"/>
            <w:shd w:fill="F5F7FA"/>
          </w:tcPr>
          <w:p>
            <w:pPr>
              <w:spacing w:after="0" w:before="0" w:line="240" w:lineRule="auto"/>
            </w:pPr>
            <w:r/>
            <w:r>
              <w:rPr>
                <w:rFonts w:ascii="Aptos" w:hAnsi="Aptos"/>
                <w:b w:val="0"/>
                <w:color w:val="111827"/>
                <w:sz w:val="11"/>
              </w:rPr>
              <w:t>Low-medium</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S43</w:t>
            </w:r>
          </w:p>
        </w:tc>
        <w:tc>
          <w:tcPr>
            <w:tcW w:type="dxa" w:w="2520"/>
            <w:vAlign w:val="center"/>
          </w:tcPr>
          <w:p>
            <w:pPr>
              <w:spacing w:after="0" w:before="0" w:line="240" w:lineRule="auto"/>
            </w:pPr>
            <w:r/>
            <w:r>
              <w:rPr>
                <w:rFonts w:ascii="Aptos" w:hAnsi="Aptos"/>
                <w:b w:val="0"/>
                <w:color w:val="111827"/>
                <w:sz w:val="11"/>
              </w:rPr>
              <w:t>B-Stock Austin liquidation auctions</w:t>
            </w:r>
          </w:p>
        </w:tc>
        <w:tc>
          <w:tcPr>
            <w:tcW w:type="dxa" w:w="4032"/>
            <w:vAlign w:val="center"/>
          </w:tcPr>
          <w:p>
            <w:pPr>
              <w:spacing w:after="0" w:before="0" w:line="240" w:lineRule="auto"/>
            </w:pPr>
            <w:r/>
            <w:r>
              <w:rPr>
                <w:rFonts w:ascii="Aptos" w:hAnsi="Aptos"/>
                <w:b w:val="0"/>
                <w:color w:val="111827"/>
                <w:sz w:val="11"/>
              </w:rPr>
              <w:t>https://bstock.com/auctions/united-states/texas/austin-tx/</w:t>
            </w:r>
          </w:p>
        </w:tc>
        <w:tc>
          <w:tcPr>
            <w:tcW w:type="dxa" w:w="1440"/>
            <w:vAlign w:val="center"/>
          </w:tcPr>
          <w:p>
            <w:pPr>
              <w:spacing w:after="0" w:before="0" w:line="240" w:lineRule="auto"/>
            </w:pPr>
            <w:r/>
            <w:r>
              <w:rPr>
                <w:rFonts w:ascii="Aptos" w:hAnsi="Aptos"/>
                <w:b w:val="0"/>
                <w:color w:val="111827"/>
                <w:sz w:val="11"/>
              </w:rPr>
              <w:t>Liquidation marketplace</w:t>
            </w:r>
          </w:p>
        </w:tc>
        <w:tc>
          <w:tcPr>
            <w:tcW w:type="dxa" w:w="1440"/>
            <w:vAlign w:val="center"/>
          </w:tcPr>
          <w:p>
            <w:pPr>
              <w:spacing w:after="0" w:before="0" w:line="240" w:lineRule="auto"/>
            </w:pPr>
            <w:r/>
            <w:r>
              <w:rPr>
                <w:rFonts w:ascii="Aptos" w:hAnsi="Aptos"/>
                <w:b w:val="0"/>
                <w:color w:val="111827"/>
                <w:sz w:val="11"/>
              </w:rPr>
              <w:t>Market observation</w:t>
            </w:r>
          </w:p>
        </w:tc>
        <w:tc>
          <w:tcPr>
            <w:tcW w:type="dxa" w:w="2880"/>
            <w:vAlign w:val="center"/>
          </w:tcPr>
          <w:p>
            <w:pPr>
              <w:spacing w:after="0" w:before="0" w:line="240" w:lineRule="auto"/>
            </w:pPr>
            <w:r/>
            <w:r>
              <w:rPr>
                <w:rFonts w:ascii="Aptos" w:hAnsi="Aptos"/>
                <w:b w:val="0"/>
                <w:color w:val="111827"/>
                <w:sz w:val="11"/>
              </w:rPr>
              <w:t>Buyer-market/channel visibility</w:t>
            </w:r>
          </w:p>
        </w:tc>
        <w:tc>
          <w:tcPr>
            <w:tcW w:type="dxa" w:w="1872"/>
            <w:vAlign w:val="center"/>
          </w:tcPr>
          <w:p>
            <w:pPr>
              <w:spacing w:after="0" w:before="0" w:line="240" w:lineRule="auto"/>
            </w:pPr>
            <w:r/>
            <w:r>
              <w:rPr>
                <w:rFonts w:ascii="Aptos" w:hAnsi="Aptos"/>
                <w:b w:val="0"/>
                <w:color w:val="111827"/>
                <w:sz w:val="11"/>
              </w:rPr>
              <w:t>Medium</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S44</w:t>
            </w:r>
          </w:p>
        </w:tc>
        <w:tc>
          <w:tcPr>
            <w:tcW w:type="dxa" w:w="2520"/>
            <w:vAlign w:val="center"/>
            <w:shd w:fill="F5F7FA"/>
          </w:tcPr>
          <w:p>
            <w:pPr>
              <w:spacing w:after="0" w:before="0" w:line="240" w:lineRule="auto"/>
            </w:pPr>
            <w:r/>
            <w:r>
              <w:rPr>
                <w:rFonts w:ascii="Aptos" w:hAnsi="Aptos"/>
                <w:b w:val="0"/>
                <w:color w:val="111827"/>
                <w:sz w:val="11"/>
              </w:rPr>
              <w:t>B-Stock reseller case study - Jim Rowe</w:t>
            </w:r>
          </w:p>
        </w:tc>
        <w:tc>
          <w:tcPr>
            <w:tcW w:type="dxa" w:w="4032"/>
            <w:vAlign w:val="center"/>
            <w:shd w:fill="F5F7FA"/>
          </w:tcPr>
          <w:p>
            <w:pPr>
              <w:spacing w:after="0" w:before="0" w:line="240" w:lineRule="auto"/>
            </w:pPr>
            <w:r/>
            <w:r>
              <w:rPr>
                <w:rFonts w:ascii="Aptos" w:hAnsi="Aptos"/>
                <w:b w:val="0"/>
                <w:color w:val="111827"/>
                <w:sz w:val="11"/>
              </w:rPr>
              <w:t>https://bstock.com/blog/how-jim-rowe-filled-a-shopping-desert-with-costco-returns/</w:t>
            </w:r>
          </w:p>
        </w:tc>
        <w:tc>
          <w:tcPr>
            <w:tcW w:type="dxa" w:w="1440"/>
            <w:vAlign w:val="center"/>
            <w:shd w:fill="F5F7FA"/>
          </w:tcPr>
          <w:p>
            <w:pPr>
              <w:spacing w:after="0" w:before="0" w:line="240" w:lineRule="auto"/>
            </w:pPr>
            <w:r/>
            <w:r>
              <w:rPr>
                <w:rFonts w:ascii="Aptos" w:hAnsi="Aptos"/>
                <w:b w:val="0"/>
                <w:color w:val="111827"/>
                <w:sz w:val="11"/>
              </w:rPr>
              <w:t>Vendor case study</w:t>
            </w:r>
          </w:p>
        </w:tc>
        <w:tc>
          <w:tcPr>
            <w:tcW w:type="dxa" w:w="1440"/>
            <w:vAlign w:val="center"/>
            <w:shd w:fill="F5F7FA"/>
          </w:tcPr>
          <w:p>
            <w:pPr>
              <w:spacing w:after="0" w:before="0" w:line="240" w:lineRule="auto"/>
            </w:pPr>
            <w:r/>
            <w:r>
              <w:rPr>
                <w:rFonts w:ascii="Aptos" w:hAnsi="Aptos"/>
                <w:b w:val="0"/>
                <w:color w:val="111827"/>
                <w:sz w:val="11"/>
              </w:rPr>
              <w:t>Interview/case</w:t>
            </w:r>
          </w:p>
        </w:tc>
        <w:tc>
          <w:tcPr>
            <w:tcW w:type="dxa" w:w="2880"/>
            <w:vAlign w:val="center"/>
            <w:shd w:fill="F5F7FA"/>
          </w:tcPr>
          <w:p>
            <w:pPr>
              <w:spacing w:after="0" w:before="0" w:line="240" w:lineRule="auto"/>
            </w:pPr>
            <w:r/>
            <w:r>
              <w:rPr>
                <w:rFonts w:ascii="Aptos" w:hAnsi="Aptos"/>
                <w:b w:val="0"/>
                <w:color w:val="111827"/>
                <w:sz w:val="11"/>
              </w:rPr>
              <w:t>Downstream reseller labor and channel creation</w:t>
            </w:r>
          </w:p>
        </w:tc>
        <w:tc>
          <w:tcPr>
            <w:tcW w:type="dxa" w:w="1872"/>
            <w:vAlign w:val="center"/>
            <w:shd w:fill="F5F7FA"/>
          </w:tcPr>
          <w:p>
            <w:pPr>
              <w:spacing w:after="0" w:before="0" w:line="240" w:lineRule="auto"/>
            </w:pPr>
            <w:r/>
            <w:r>
              <w:rPr>
                <w:rFonts w:ascii="Aptos" w:hAnsi="Aptos"/>
                <w:b w:val="0"/>
                <w:color w:val="111827"/>
                <w:sz w:val="11"/>
              </w:rPr>
              <w:t>Low-medium; survivor bias</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S45</w:t>
            </w:r>
          </w:p>
        </w:tc>
        <w:tc>
          <w:tcPr>
            <w:tcW w:type="dxa" w:w="2520"/>
            <w:vAlign w:val="center"/>
          </w:tcPr>
          <w:p>
            <w:pPr>
              <w:spacing w:after="0" w:before="0" w:line="240" w:lineRule="auto"/>
            </w:pPr>
            <w:r/>
            <w:r>
              <w:rPr>
                <w:rFonts w:ascii="Aptos" w:hAnsi="Aptos"/>
                <w:b w:val="0"/>
                <w:color w:val="111827"/>
                <w:sz w:val="11"/>
              </w:rPr>
              <w:t>Liquidation.com terms and conditions</w:t>
            </w:r>
          </w:p>
        </w:tc>
        <w:tc>
          <w:tcPr>
            <w:tcW w:type="dxa" w:w="4032"/>
            <w:vAlign w:val="center"/>
          </w:tcPr>
          <w:p>
            <w:pPr>
              <w:spacing w:after="0" w:before="0" w:line="240" w:lineRule="auto"/>
            </w:pPr>
            <w:r/>
            <w:r>
              <w:rPr>
                <w:rFonts w:ascii="Aptos" w:hAnsi="Aptos"/>
                <w:b w:val="0"/>
                <w:color w:val="111827"/>
                <w:sz w:val="11"/>
              </w:rPr>
              <w:t>https://www.liquidation.com/c/terms.html</w:t>
            </w:r>
          </w:p>
        </w:tc>
        <w:tc>
          <w:tcPr>
            <w:tcW w:type="dxa" w:w="1440"/>
            <w:vAlign w:val="center"/>
          </w:tcPr>
          <w:p>
            <w:pPr>
              <w:spacing w:after="0" w:before="0" w:line="240" w:lineRule="auto"/>
            </w:pPr>
            <w:r/>
            <w:r>
              <w:rPr>
                <w:rFonts w:ascii="Aptos" w:hAnsi="Aptos"/>
                <w:b w:val="0"/>
                <w:color w:val="111827"/>
                <w:sz w:val="11"/>
              </w:rPr>
              <w:t>Marketplace contract terms</w:t>
            </w:r>
          </w:p>
        </w:tc>
        <w:tc>
          <w:tcPr>
            <w:tcW w:type="dxa" w:w="1440"/>
            <w:vAlign w:val="center"/>
          </w:tcPr>
          <w:p>
            <w:pPr>
              <w:spacing w:after="0" w:before="0" w:line="240" w:lineRule="auto"/>
            </w:pPr>
            <w:r/>
            <w:r>
              <w:rPr>
                <w:rFonts w:ascii="Aptos" w:hAnsi="Aptos"/>
                <w:b w:val="0"/>
                <w:color w:val="111827"/>
                <w:sz w:val="11"/>
              </w:rPr>
              <w:t>Yes</w:t>
            </w:r>
          </w:p>
        </w:tc>
        <w:tc>
          <w:tcPr>
            <w:tcW w:type="dxa" w:w="2880"/>
            <w:vAlign w:val="center"/>
          </w:tcPr>
          <w:p>
            <w:pPr>
              <w:spacing w:after="0" w:before="0" w:line="240" w:lineRule="auto"/>
            </w:pPr>
            <w:r/>
            <w:r>
              <w:rPr>
                <w:rFonts w:ascii="Aptos" w:hAnsi="Aptos"/>
                <w:b w:val="0"/>
                <w:color w:val="111827"/>
                <w:sz w:val="11"/>
              </w:rPr>
              <w:t>Manifest-dispute timing and buyer risk transfer</w:t>
            </w:r>
          </w:p>
        </w:tc>
        <w:tc>
          <w:tcPr>
            <w:tcW w:type="dxa" w:w="1872"/>
            <w:vAlign w:val="center"/>
          </w:tcPr>
          <w:p>
            <w:pPr>
              <w:spacing w:after="0" w:before="0" w:line="240" w:lineRule="auto"/>
            </w:pPr>
            <w:r/>
            <w:r>
              <w:rPr>
                <w:rFonts w:ascii="Aptos" w:hAnsi="Aptos"/>
                <w:b w:val="0"/>
                <w:color w:val="111827"/>
                <w:sz w:val="11"/>
              </w:rPr>
              <w:t>High for terms</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S46</w:t>
            </w:r>
          </w:p>
        </w:tc>
        <w:tc>
          <w:tcPr>
            <w:tcW w:type="dxa" w:w="2520"/>
            <w:vAlign w:val="center"/>
            <w:shd w:fill="F5F7FA"/>
          </w:tcPr>
          <w:p>
            <w:pPr>
              <w:spacing w:after="0" w:before="0" w:line="240" w:lineRule="auto"/>
            </w:pPr>
            <w:r/>
            <w:r>
              <w:rPr>
                <w:rFonts w:ascii="Aptos" w:hAnsi="Aptos"/>
                <w:b w:val="0"/>
                <w:color w:val="111827"/>
                <w:sz w:val="11"/>
              </w:rPr>
              <w:t>B-Stock / JCPenney centralized returns case</w:t>
            </w:r>
          </w:p>
        </w:tc>
        <w:tc>
          <w:tcPr>
            <w:tcW w:type="dxa" w:w="4032"/>
            <w:vAlign w:val="center"/>
            <w:shd w:fill="F5F7FA"/>
          </w:tcPr>
          <w:p>
            <w:pPr>
              <w:spacing w:after="0" w:before="0" w:line="240" w:lineRule="auto"/>
            </w:pPr>
            <w:r/>
            <w:r>
              <w:rPr>
                <w:rFonts w:ascii="Aptos" w:hAnsi="Aptos"/>
                <w:b w:val="0"/>
                <w:color w:val="111827"/>
                <w:sz w:val="11"/>
              </w:rPr>
              <w:t>https://www.linkedin.com/posts/bstocksolutions_case-study-how-jcpenney-scaled-its-b2b-resale-activity-7480644364512169984-7ZdR</w:t>
            </w:r>
          </w:p>
        </w:tc>
        <w:tc>
          <w:tcPr>
            <w:tcW w:type="dxa" w:w="1440"/>
            <w:vAlign w:val="center"/>
            <w:shd w:fill="F5F7FA"/>
          </w:tcPr>
          <w:p>
            <w:pPr>
              <w:spacing w:after="0" w:before="0" w:line="240" w:lineRule="auto"/>
            </w:pPr>
            <w:r/>
            <w:r>
              <w:rPr>
                <w:rFonts w:ascii="Aptos" w:hAnsi="Aptos"/>
                <w:b w:val="0"/>
                <w:color w:val="111827"/>
                <w:sz w:val="11"/>
              </w:rPr>
              <w:t>Vendor case-study promotion</w:t>
            </w:r>
          </w:p>
        </w:tc>
        <w:tc>
          <w:tcPr>
            <w:tcW w:type="dxa" w:w="1440"/>
            <w:vAlign w:val="center"/>
            <w:shd w:fill="F5F7FA"/>
          </w:tcPr>
          <w:p>
            <w:pPr>
              <w:spacing w:after="0" w:before="0" w:line="240" w:lineRule="auto"/>
            </w:pPr>
            <w:r/>
            <w:r>
              <w:rPr>
                <w:rFonts w:ascii="Aptos" w:hAnsi="Aptos"/>
                <w:b w:val="0"/>
                <w:color w:val="111827"/>
                <w:sz w:val="11"/>
              </w:rPr>
              <w:t>Company claim</w:t>
            </w:r>
          </w:p>
        </w:tc>
        <w:tc>
          <w:tcPr>
            <w:tcW w:type="dxa" w:w="2880"/>
            <w:vAlign w:val="center"/>
            <w:shd w:fill="F5F7FA"/>
          </w:tcPr>
          <w:p>
            <w:pPr>
              <w:spacing w:after="0" w:before="0" w:line="240" w:lineRule="auto"/>
            </w:pPr>
            <w:r/>
            <w:r>
              <w:rPr>
                <w:rFonts w:ascii="Aptos" w:hAnsi="Aptos"/>
                <w:b w:val="0"/>
                <w:color w:val="111827"/>
                <w:sz w:val="11"/>
              </w:rPr>
              <w:t>Recovery pricing improvement and buyer competition</w:t>
            </w:r>
          </w:p>
        </w:tc>
        <w:tc>
          <w:tcPr>
            <w:tcW w:type="dxa" w:w="1872"/>
            <w:vAlign w:val="center"/>
            <w:shd w:fill="F5F7FA"/>
          </w:tcPr>
          <w:p>
            <w:pPr>
              <w:spacing w:after="0" w:before="0" w:line="240" w:lineRule="auto"/>
            </w:pPr>
            <w:r/>
            <w:r>
              <w:rPr>
                <w:rFonts w:ascii="Aptos" w:hAnsi="Aptos"/>
                <w:b w:val="0"/>
                <w:color w:val="111827"/>
                <w:sz w:val="11"/>
              </w:rPr>
              <w:t>Low-medium</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S47</w:t>
            </w:r>
          </w:p>
        </w:tc>
        <w:tc>
          <w:tcPr>
            <w:tcW w:type="dxa" w:w="2520"/>
            <w:vAlign w:val="center"/>
          </w:tcPr>
          <w:p>
            <w:pPr>
              <w:spacing w:after="0" w:before="0" w:line="240" w:lineRule="auto"/>
            </w:pPr>
            <w:r/>
            <w:r>
              <w:rPr>
                <w:rFonts w:ascii="Aptos" w:hAnsi="Aptos"/>
                <w:b w:val="0"/>
                <w:color w:val="111827"/>
                <w:sz w:val="11"/>
              </w:rPr>
              <w:t>B-Stock reseller case study - Shannon Jean</w:t>
            </w:r>
          </w:p>
        </w:tc>
        <w:tc>
          <w:tcPr>
            <w:tcW w:type="dxa" w:w="4032"/>
            <w:vAlign w:val="center"/>
          </w:tcPr>
          <w:p>
            <w:pPr>
              <w:spacing w:after="0" w:before="0" w:line="240" w:lineRule="auto"/>
            </w:pPr>
            <w:r/>
            <w:r>
              <w:rPr>
                <w:rFonts w:ascii="Aptos" w:hAnsi="Aptos"/>
                <w:b w:val="0"/>
                <w:color w:val="111827"/>
                <w:sz w:val="11"/>
              </w:rPr>
              <w:t>https://bstock.com/blog/an-uncommon-life-in-reselling-meet-shannon-jean/</w:t>
            </w:r>
          </w:p>
        </w:tc>
        <w:tc>
          <w:tcPr>
            <w:tcW w:type="dxa" w:w="1440"/>
            <w:vAlign w:val="center"/>
          </w:tcPr>
          <w:p>
            <w:pPr>
              <w:spacing w:after="0" w:before="0" w:line="240" w:lineRule="auto"/>
            </w:pPr>
            <w:r/>
            <w:r>
              <w:rPr>
                <w:rFonts w:ascii="Aptos" w:hAnsi="Aptos"/>
                <w:b w:val="0"/>
                <w:color w:val="111827"/>
                <w:sz w:val="11"/>
              </w:rPr>
              <w:t>Vendor case study</w:t>
            </w:r>
          </w:p>
        </w:tc>
        <w:tc>
          <w:tcPr>
            <w:tcW w:type="dxa" w:w="1440"/>
            <w:vAlign w:val="center"/>
          </w:tcPr>
          <w:p>
            <w:pPr>
              <w:spacing w:after="0" w:before="0" w:line="240" w:lineRule="auto"/>
            </w:pPr>
            <w:r/>
            <w:r>
              <w:rPr>
                <w:rFonts w:ascii="Aptos" w:hAnsi="Aptos"/>
                <w:b w:val="0"/>
                <w:color w:val="111827"/>
                <w:sz w:val="11"/>
              </w:rPr>
              <w:t>Interview/case</w:t>
            </w:r>
          </w:p>
        </w:tc>
        <w:tc>
          <w:tcPr>
            <w:tcW w:type="dxa" w:w="2880"/>
            <w:vAlign w:val="center"/>
          </w:tcPr>
          <w:p>
            <w:pPr>
              <w:spacing w:after="0" w:before="0" w:line="240" w:lineRule="auto"/>
            </w:pPr>
            <w:r/>
            <w:r>
              <w:rPr>
                <w:rFonts w:ascii="Aptos" w:hAnsi="Aptos"/>
                <w:b w:val="0"/>
                <w:color w:val="111827"/>
                <w:sz w:val="11"/>
              </w:rPr>
              <w:t>Reseller scale, repair and resale economics</w:t>
            </w:r>
          </w:p>
        </w:tc>
        <w:tc>
          <w:tcPr>
            <w:tcW w:type="dxa" w:w="1872"/>
            <w:vAlign w:val="center"/>
          </w:tcPr>
          <w:p>
            <w:pPr>
              <w:spacing w:after="0" w:before="0" w:line="240" w:lineRule="auto"/>
            </w:pPr>
            <w:r/>
            <w:r>
              <w:rPr>
                <w:rFonts w:ascii="Aptos" w:hAnsi="Aptos"/>
                <w:b w:val="0"/>
                <w:color w:val="111827"/>
                <w:sz w:val="11"/>
              </w:rPr>
              <w:t>Low-medium; survivor bias</w:t>
            </w:r>
          </w:p>
        </w:tc>
        <w:tc>
          <w:tcPr>
            <w:tcW w:type="dxa" w:w="1080"/>
            <w:vAlign w:val="center"/>
          </w:tcPr>
          <w:p>
            <w:pPr>
              <w:spacing w:after="0" w:before="0" w:line="240" w:lineRule="auto"/>
            </w:pPr>
            <w:r/>
            <w:r>
              <w:rPr>
                <w:rFonts w:ascii="Aptos" w:hAnsi="Aptos"/>
                <w:b w:val="0"/>
                <w:color w:val="111827"/>
                <w:sz w:val="11"/>
              </w:rPr>
              <w:t>No</w:t>
            </w:r>
          </w:p>
        </w:tc>
      </w:tr>
      <w:tr>
        <w:tc>
          <w:tcPr>
            <w:tcW w:type="dxa" w:w="576"/>
            <w:vAlign w:val="center"/>
            <w:shd w:fill="F5F7FA"/>
          </w:tcPr>
          <w:p>
            <w:pPr>
              <w:spacing w:after="0" w:before="0" w:line="240" w:lineRule="auto"/>
            </w:pPr>
            <w:r/>
            <w:r>
              <w:rPr>
                <w:rFonts w:ascii="Aptos" w:hAnsi="Aptos"/>
                <w:b/>
                <w:color w:val="111827"/>
                <w:sz w:val="11"/>
              </w:rPr>
              <w:t>S48</w:t>
            </w:r>
          </w:p>
        </w:tc>
        <w:tc>
          <w:tcPr>
            <w:tcW w:type="dxa" w:w="2520"/>
            <w:vAlign w:val="center"/>
            <w:shd w:fill="F5F7FA"/>
          </w:tcPr>
          <w:p>
            <w:pPr>
              <w:spacing w:after="0" w:before="0" w:line="240" w:lineRule="auto"/>
            </w:pPr>
            <w:r/>
            <w:r>
              <w:rPr>
                <w:rFonts w:ascii="Aptos" w:hAnsi="Aptos"/>
                <w:b w:val="0"/>
                <w:color w:val="111827"/>
                <w:sz w:val="11"/>
              </w:rPr>
              <w:t>B-Stock listing factors and recovery modeling</w:t>
            </w:r>
          </w:p>
        </w:tc>
        <w:tc>
          <w:tcPr>
            <w:tcW w:type="dxa" w:w="4032"/>
            <w:vAlign w:val="center"/>
            <w:shd w:fill="F5F7FA"/>
          </w:tcPr>
          <w:p>
            <w:pPr>
              <w:spacing w:after="0" w:before="0" w:line="240" w:lineRule="auto"/>
            </w:pPr>
            <w:r/>
            <w:r>
              <w:rPr>
                <w:rFonts w:ascii="Aptos" w:hAnsi="Aptos"/>
                <w:b w:val="0"/>
                <w:color w:val="111827"/>
                <w:sz w:val="11"/>
              </w:rPr>
              <w:t>https://bstock.com/blog/what-factors-make-or-break-your-listings-b-stock-uses-data-predictive-modeling-to-find-out/</w:t>
            </w:r>
          </w:p>
        </w:tc>
        <w:tc>
          <w:tcPr>
            <w:tcW w:type="dxa" w:w="1440"/>
            <w:vAlign w:val="center"/>
            <w:shd w:fill="F5F7FA"/>
          </w:tcPr>
          <w:p>
            <w:pPr>
              <w:spacing w:after="0" w:before="0" w:line="240" w:lineRule="auto"/>
            </w:pPr>
            <w:r/>
            <w:r>
              <w:rPr>
                <w:rFonts w:ascii="Aptos" w:hAnsi="Aptos"/>
                <w:b w:val="0"/>
                <w:color w:val="111827"/>
                <w:sz w:val="11"/>
              </w:rPr>
              <w:t>Marketplace analysis</w:t>
            </w:r>
          </w:p>
        </w:tc>
        <w:tc>
          <w:tcPr>
            <w:tcW w:type="dxa" w:w="1440"/>
            <w:vAlign w:val="center"/>
            <w:shd w:fill="F5F7FA"/>
          </w:tcPr>
          <w:p>
            <w:pPr>
              <w:spacing w:after="0" w:before="0" w:line="240" w:lineRule="auto"/>
            </w:pPr>
            <w:r/>
            <w:r>
              <w:rPr>
                <w:rFonts w:ascii="Aptos" w:hAnsi="Aptos"/>
                <w:b w:val="0"/>
                <w:color w:val="111827"/>
                <w:sz w:val="11"/>
              </w:rPr>
              <w:t>Vendor analysis</w:t>
            </w:r>
          </w:p>
        </w:tc>
        <w:tc>
          <w:tcPr>
            <w:tcW w:type="dxa" w:w="2880"/>
            <w:vAlign w:val="center"/>
            <w:shd w:fill="F5F7FA"/>
          </w:tcPr>
          <w:p>
            <w:pPr>
              <w:spacing w:after="0" w:before="0" w:line="240" w:lineRule="auto"/>
            </w:pPr>
            <w:r/>
            <w:r>
              <w:rPr>
                <w:rFonts w:ascii="Aptos" w:hAnsi="Aptos"/>
                <w:b w:val="0"/>
                <w:color w:val="111827"/>
                <w:sz w:val="11"/>
              </w:rPr>
              <w:t>Manifest/information and current-value denominator cautions</w:t>
            </w:r>
          </w:p>
        </w:tc>
        <w:tc>
          <w:tcPr>
            <w:tcW w:type="dxa" w:w="1872"/>
            <w:vAlign w:val="center"/>
            <w:shd w:fill="F5F7FA"/>
          </w:tcPr>
          <w:p>
            <w:pPr>
              <w:spacing w:after="0" w:before="0" w:line="240" w:lineRule="auto"/>
            </w:pPr>
            <w:r/>
            <w:r>
              <w:rPr>
                <w:rFonts w:ascii="Aptos" w:hAnsi="Aptos"/>
                <w:b w:val="0"/>
                <w:color w:val="111827"/>
                <w:sz w:val="11"/>
              </w:rPr>
              <w:t>Medium</w:t>
            </w:r>
          </w:p>
        </w:tc>
        <w:tc>
          <w:tcPr>
            <w:tcW w:type="dxa" w:w="1080"/>
            <w:vAlign w:val="center"/>
            <w:shd w:fill="F5F7FA"/>
          </w:tcPr>
          <w:p>
            <w:pPr>
              <w:spacing w:after="0" w:before="0" w:line="240" w:lineRule="auto"/>
            </w:pPr>
            <w:r/>
            <w:r>
              <w:rPr>
                <w:rFonts w:ascii="Aptos" w:hAnsi="Aptos"/>
                <w:b w:val="0"/>
                <w:color w:val="111827"/>
                <w:sz w:val="11"/>
              </w:rPr>
              <w:t>No</w:t>
            </w:r>
          </w:p>
        </w:tc>
      </w:tr>
      <w:tr>
        <w:tc>
          <w:tcPr>
            <w:tcW w:type="dxa" w:w="576"/>
            <w:vAlign w:val="center"/>
          </w:tcPr>
          <w:p>
            <w:pPr>
              <w:spacing w:after="0" w:before="0" w:line="240" w:lineRule="auto"/>
            </w:pPr>
            <w:r/>
            <w:r>
              <w:rPr>
                <w:rFonts w:ascii="Aptos" w:hAnsi="Aptos"/>
                <w:b/>
                <w:color w:val="111827"/>
                <w:sz w:val="11"/>
              </w:rPr>
              <w:t>S49</w:t>
            </w:r>
          </w:p>
        </w:tc>
        <w:tc>
          <w:tcPr>
            <w:tcW w:type="dxa" w:w="2520"/>
            <w:vAlign w:val="center"/>
          </w:tcPr>
          <w:p>
            <w:pPr>
              <w:spacing w:after="0" w:before="0" w:line="240" w:lineRule="auto"/>
            </w:pPr>
            <w:r/>
            <w:r>
              <w:rPr>
                <w:rFonts w:ascii="Aptos" w:hAnsi="Aptos"/>
                <w:b w:val="0"/>
                <w:color w:val="111827"/>
                <w:sz w:val="11"/>
              </w:rPr>
              <w:t>Amazon U.S. Liquidation Auctions shipping</w:t>
            </w:r>
          </w:p>
        </w:tc>
        <w:tc>
          <w:tcPr>
            <w:tcW w:type="dxa" w:w="4032"/>
            <w:vAlign w:val="center"/>
          </w:tcPr>
          <w:p>
            <w:pPr>
              <w:spacing w:after="0" w:before="0" w:line="240" w:lineRule="auto"/>
            </w:pPr>
            <w:r/>
            <w:r>
              <w:rPr>
                <w:rFonts w:ascii="Aptos" w:hAnsi="Aptos"/>
                <w:b w:val="0"/>
                <w:color w:val="111827"/>
                <w:sz w:val="11"/>
              </w:rPr>
              <w:t>https://bstock.com/amazon/shipping/</w:t>
            </w:r>
          </w:p>
        </w:tc>
        <w:tc>
          <w:tcPr>
            <w:tcW w:type="dxa" w:w="1440"/>
            <w:vAlign w:val="center"/>
          </w:tcPr>
          <w:p>
            <w:pPr>
              <w:spacing w:after="0" w:before="0" w:line="240" w:lineRule="auto"/>
            </w:pPr>
            <w:r/>
            <w:r>
              <w:rPr>
                <w:rFonts w:ascii="Aptos" w:hAnsi="Aptos"/>
                <w:b w:val="0"/>
                <w:color w:val="111827"/>
                <w:sz w:val="11"/>
              </w:rPr>
              <w:t>Marketplace shipping terms</w:t>
            </w:r>
          </w:p>
        </w:tc>
        <w:tc>
          <w:tcPr>
            <w:tcW w:type="dxa" w:w="1440"/>
            <w:vAlign w:val="center"/>
          </w:tcPr>
          <w:p>
            <w:pPr>
              <w:spacing w:after="0" w:before="0" w:line="240" w:lineRule="auto"/>
            </w:pPr>
            <w:r/>
            <w:r>
              <w:rPr>
                <w:rFonts w:ascii="Aptos" w:hAnsi="Aptos"/>
                <w:b w:val="0"/>
                <w:color w:val="111827"/>
                <w:sz w:val="11"/>
              </w:rPr>
              <w:t>Yes for marketplace rules</w:t>
            </w:r>
          </w:p>
        </w:tc>
        <w:tc>
          <w:tcPr>
            <w:tcW w:type="dxa" w:w="2880"/>
            <w:vAlign w:val="center"/>
          </w:tcPr>
          <w:p>
            <w:pPr>
              <w:spacing w:after="0" w:before="0" w:line="240" w:lineRule="auto"/>
            </w:pPr>
            <w:r/>
            <w:r>
              <w:rPr>
                <w:rFonts w:ascii="Aptos" w:hAnsi="Aptos"/>
                <w:b w:val="0"/>
                <w:color w:val="111827"/>
                <w:sz w:val="11"/>
              </w:rPr>
              <w:t>Liftgate, residential, unloading, and freight accessorials</w:t>
            </w:r>
          </w:p>
        </w:tc>
        <w:tc>
          <w:tcPr>
            <w:tcW w:type="dxa" w:w="1872"/>
            <w:vAlign w:val="center"/>
          </w:tcPr>
          <w:p>
            <w:pPr>
              <w:spacing w:after="0" w:before="0" w:line="240" w:lineRule="auto"/>
            </w:pPr>
            <w:r/>
            <w:r>
              <w:rPr>
                <w:rFonts w:ascii="Aptos" w:hAnsi="Aptos"/>
                <w:b w:val="0"/>
                <w:color w:val="111827"/>
                <w:sz w:val="11"/>
              </w:rPr>
              <w:t>High for stated terms</w:t>
            </w:r>
          </w:p>
        </w:tc>
        <w:tc>
          <w:tcPr>
            <w:tcW w:type="dxa" w:w="1080"/>
            <w:vAlign w:val="center"/>
          </w:tcPr>
          <w:p>
            <w:pPr>
              <w:spacing w:after="0" w:before="0" w:line="240" w:lineRule="auto"/>
            </w:pPr>
            <w:r/>
            <w:r>
              <w:rPr>
                <w:rFonts w:ascii="Aptos" w:hAnsi="Aptos"/>
                <w:b w:val="0"/>
                <w:color w:val="111827"/>
                <w:sz w:val="11"/>
              </w:rPr>
              <w:t>No</w:t>
            </w:r>
          </w:p>
        </w:tc>
      </w:tr>
    </w:tbl>
    <w:p>
      <w:pPr>
        <w:spacing w:after="0"/>
      </w:pPr>
    </w:p>
    <w:p>
      <w:pPr>
        <w:pStyle w:val="Caption"/>
        <w:jc w:val="left"/>
      </w:pPr>
      <w:r>
        <w:rPr>
          <w:b/>
        </w:rPr>
        <w:t>Appendix Table D1. Unified source ledger</w:t>
      </w:r>
      <w:r>
        <w:rPr>
          <w:i/>
          <w:color w:val="6B7280"/>
        </w:rPr>
        <w:t xml:space="preserve">  Source: P01 and P02 are the supplied evidence documents; S01-S49 are their cited originals.</w:t>
      </w:r>
    </w:p>
    <w:p>
      <w:pPr>
        <w:sectPr>
          <w:pgSz w:w="15840" w:h="12240" w:orient="landscape"/>
          <w:pgMar w:top="792" w:right="792" w:bottom="792" w:left="792" w:header="720" w:footer="720" w:gutter="0"/>
          <w:cols w:space="720"/>
          <w:docGrid w:linePitch="360"/>
        </w:sectPr>
      </w:pPr>
    </w:p>
    <w:p>
      <w:pPr>
        <w:pStyle w:val="Heading1"/>
      </w:pPr>
      <w:r>
        <w:t>Publication note</w:t>
      </w:r>
    </w:p>
    <w:p>
      <w:r>
        <w:rPr>
          <w:b/>
        </w:rPr>
        <w:t xml:space="preserve">The model is designed to be edited, not treated as a black box. </w:t>
      </w:r>
      <w:r>
        <w:t>The accompanying spreadsheet contains the product inputs, condition mixes, logistics costs, disposition economics, route selections, returnless comparison, sensitivities, auction calculations, fraud controls, ownership ledger, source ledger and fact-check register. Any publication should preserve the distinction between observed facts, market examples and modeled assumptions.</w:t>
      </w:r>
    </w:p>
    <w:sectPr w:rsidR="00FC693F" w:rsidRPr="0006063C" w:rsidSect="00034616">
      <w:pgSz w:w="12240" w:h="15840"/>
      <w:pgMar w:top="1008" w:right="1152"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t xml:space="preserve">Page </w:t>
      <w:fldChar w:fldCharType="begin"/>
      <w:instrText xml:space="preserve">PAGE</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SmallNote"/>
      <w:jc w:val="right"/>
    </w:pPr>
    <w:r>
      <w:t>WHERE YOUR ONLINE RETURN ACTUALLY GOES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00" w:line="259" w:lineRule="auto"/>
    </w:pPr>
    <w:rPr>
      <w:rFonts w:ascii="Aptos" w:hAnsi="Aptos"/>
      <w:color w:val="111827"/>
      <w:sz w:val="19"/>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00" w:after="80"/>
      <w:outlineLvl w:val="0"/>
    </w:pPr>
    <w:rPr>
      <w:rFonts w:asciiTheme="majorHAnsi" w:eastAsiaTheme="majorEastAsia" w:hAnsiTheme="majorHAnsi" w:cstheme="majorBidi" w:ascii="Aptos Display" w:hAnsi="Aptos Display"/>
      <w:b/>
      <w:bCs/>
      <w:color w:val="17324D"/>
      <w:sz w:val="36"/>
      <w:szCs w:val="28"/>
    </w:rPr>
  </w:style>
  <w:style w:type="paragraph" w:styleId="Heading2">
    <w:name w:val="heading 2"/>
    <w:basedOn w:val="Normal"/>
    <w:next w:val="Normal"/>
    <w:link w:val="Heading2Char"/>
    <w:uiPriority w:val="9"/>
    <w:unhideWhenUsed/>
    <w:qFormat/>
    <w:rsid w:val="00FC693F"/>
    <w:pPr>
      <w:keepNext/>
      <w:keepLines/>
      <w:spacing w:before="140" w:after="80"/>
      <w:outlineLvl w:val="1"/>
    </w:pPr>
    <w:rPr>
      <w:rFonts w:asciiTheme="majorHAnsi" w:eastAsiaTheme="majorEastAsia" w:hAnsiTheme="majorHAnsi" w:cstheme="majorBidi" w:ascii="Aptos Display" w:hAnsi="Aptos Display"/>
      <w:b/>
      <w:bCs/>
      <w:color w:val="1C7C7D"/>
      <w:sz w:val="28"/>
      <w:szCs w:val="26"/>
    </w:rPr>
  </w:style>
  <w:style w:type="paragraph" w:styleId="Heading3">
    <w:name w:val="heading 3"/>
    <w:basedOn w:val="Normal"/>
    <w:next w:val="Normal"/>
    <w:link w:val="Heading3Char"/>
    <w:uiPriority w:val="9"/>
    <w:unhideWhenUsed/>
    <w:qFormat/>
    <w:rsid w:val="00FC693F"/>
    <w:pPr>
      <w:keepNext/>
      <w:keepLines/>
      <w:spacing w:before="100" w:after="80"/>
      <w:outlineLvl w:val="2"/>
    </w:pPr>
    <w:rPr>
      <w:rFonts w:asciiTheme="majorHAnsi" w:eastAsiaTheme="majorEastAsia" w:hAnsiTheme="majorHAnsi" w:cstheme="majorBidi" w:ascii="Aptos Display" w:hAnsi="Aptos Display"/>
      <w:b/>
      <w:bCs/>
      <w:color w:val="17324D"/>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keepNext/>
      <w:pBdr>
        <w:bottom w:val="single" w:sz="8" w:space="4" w:color="4F81BD" w:themeColor="accent1"/>
      </w:pBdr>
      <w:spacing w:after="80" w:line="240" w:lineRule="auto" w:before="240"/>
      <w:contextualSpacing/>
    </w:pPr>
    <w:rPr>
      <w:rFonts w:asciiTheme="majorHAnsi" w:eastAsiaTheme="majorEastAsia" w:hAnsiTheme="majorHAnsi" w:cstheme="majorBidi" w:ascii="Aptos Display" w:hAnsi="Aptos Display"/>
      <w:b/>
      <w:color w:val="17324D"/>
      <w:spacing w:val="5"/>
      <w:kern w:val="28"/>
      <w:sz w:val="54"/>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keepNext/>
      <w:numPr>
        <w:ilvl w:val="1"/>
      </w:numPr>
      <w:spacing w:before="160" w:after="80"/>
    </w:pPr>
    <w:rPr>
      <w:rFonts w:asciiTheme="majorHAnsi" w:eastAsiaTheme="majorEastAsia" w:hAnsiTheme="majorHAnsi" w:cstheme="majorBidi" w:ascii="Aptos Display" w:hAnsi="Aptos Display"/>
      <w:b/>
      <w:i/>
      <w:iCs/>
      <w:color w:val="1C7C7D"/>
      <w:spacing w:val="15"/>
      <w:sz w:val="28"/>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after="120"/>
    </w:pPr>
    <w:rPr>
      <w:rFonts w:ascii="Aptos" w:hAnsi="Aptos"/>
      <w:b/>
      <w:bCs/>
      <w:color w:val="6B7280"/>
      <w:sz w:val="16"/>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ck">
    <w:name w:val="Deck"/>
    <w:pPr>
      <w:spacing w:after="240"/>
    </w:pPr>
    <w:rPr>
      <w:rFonts w:ascii="Aptos" w:hAnsi="Aptos"/>
      <w:color w:val="6B7280"/>
      <w:sz w:val="24"/>
    </w:rPr>
  </w:style>
  <w:style w:type="paragraph" w:customStyle="1" w:styleId="Kicker">
    <w:name w:val="Kicker"/>
    <w:pPr>
      <w:spacing w:after="60"/>
    </w:pPr>
    <w:rPr>
      <w:rFonts w:ascii="Aptos" w:hAnsi="Aptos"/>
      <w:b/>
      <w:color w:val="D9822B"/>
      <w:sz w:val="16"/>
    </w:rPr>
  </w:style>
  <w:style w:type="paragraph" w:customStyle="1" w:styleId="SmallNote">
    <w:name w:val="Small Note"/>
    <w:pPr>
      <w:spacing w:after="60"/>
    </w:pPr>
    <w:rPr>
      <w:rFonts w:ascii="Aptos" w:hAnsi="Aptos"/>
      <w:color w:val="6B7280"/>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Your Online Return Actually Goes</dc:title>
  <dc:subject>Reverse-logistics tax on online shopping</dc:subject>
  <dc:creator>OpenAI - analytical model</dc:creator>
  <cp:keywords>returns, reverse logistics, liquidation, unit economics, e-commerce</cp:keywords>
  <dc:description>generated by python-docx</dc:description>
  <cp:lastModifiedBy/>
  <cp:revision>1</cp:revision>
  <dcterms:created xsi:type="dcterms:W3CDTF">2013-12-23T23:15:00Z</dcterms:created>
  <dcterms:modified xsi:type="dcterms:W3CDTF">2013-12-23T23:15:00Z</dcterms:modified>
  <cp:category/>
</cp:coreProperties>
</file>