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200" w:after="240"/>
      </w:pPr>
      <w:r>
        <w:rPr>
          <w:rFonts w:ascii="Clear Sans" w:hAnsi="Clear Sans"/>
          <w:b/>
          <w:color w:val="D6A84B"/>
          <w:sz w:val="18"/>
        </w:rPr>
        <w:t>DECISION MEMO</w:t>
      </w:r>
    </w:p>
    <w:p>
      <w:pPr>
        <w:pStyle w:val="Title"/>
        <w:spacing w:after="160"/>
      </w:pPr>
      <w:r>
        <w:t>The Captive Economics of Student Housing</w:t>
      </w:r>
    </w:p>
    <w:p>
      <w:pPr>
        <w:pStyle w:val="Subtitle"/>
        <w:spacing w:after="480"/>
      </w:pPr>
      <w:r>
        <w:t>Executive analytical memo</w:t>
      </w:r>
    </w:p>
    <w:tbl>
      <w:tblPr>
        <w:tblW w:type="auto" w:w="0"/>
        <w:jc w:val="left"/>
        <w:tblLayout w:type="fixed"/>
        <w:tblLook w:firstColumn="1" w:firstRow="1" w:lastColumn="0" w:lastRow="0" w:noHBand="0" w:noVBand="1" w:val="04A0"/>
      </w:tblPr>
      <w:tblGrid>
        <w:gridCol w:w="9792"/>
      </w:tblGrid>
      <w:tr>
        <w:trPr>
          <w:trHeight w:val="60"/>
        </w:trPr>
        <w:tc>
          <w:tcPr>
            <w:tcW w:type="dxa" w:w="10080"/>
            <w:shd w:fill="17324D"/>
          </w:tcPr>
          <w:p>
            <w:r/>
          </w:p>
        </w:tc>
      </w:tr>
    </w:tbl>
    <w:p>
      <w:pPr>
        <w:spacing w:before="480"/>
      </w:pPr>
      <w:r>
        <w:rPr>
          <w:rFonts w:ascii="Clear Sans" w:hAnsi="Clear Sans"/>
          <w:b/>
          <w:color w:val="17324D"/>
          <w:sz w:val="24"/>
        </w:rPr>
        <w:t>Property-level investigation and financial model</w:t>
      </w:r>
    </w:p>
    <w:p>
      <w:pPr>
        <w:keepNext/>
        <w:spacing w:before="80"/>
      </w:pPr>
      <w:r>
        <w:rPr>
          <w:b/>
        </w:rPr>
        <w:t xml:space="preserve">Primary record: </w:t>
      </w:r>
      <w:r>
        <w:t xml:space="preserve">two completed evidence memoranda, underlying source ledger, and a six-property normalized cash-flow model. </w:t>
      </w:r>
      <w:r>
        <w:rPr>
          <w:i/>
        </w:rPr>
        <w:t>As of July 2026.</w:t>
      </w:r>
    </w:p>
    <w:p>
      <w:pPr>
        <w:spacing w:before="2400"/>
      </w:pPr>
      <w:r>
        <w:rPr>
          <w:rFonts w:ascii="Carlito" w:hAnsi="Carlito"/>
          <w:color w:val="5B6570"/>
          <w:sz w:val="20"/>
        </w:rPr>
        <w:t>July 2026</w:t>
      </w:r>
    </w:p>
    <w:p>
      <w:r>
        <w:br w:type="page"/>
      </w:r>
    </w:p>
    <w:p>
      <w:r>
        <w:rPr>
          <w:b/>
        </w:rPr>
        <w:t xml:space="preserve">Question. </w:t>
      </w:r>
      <w:r>
        <w:t>How do West Campus owners convert proximity, individual-bed leases, guarantees, early preleasing and zoning-constrained land into returns, and what breaks when demand or financing weakens?</w:t>
      </w:r>
    </w:p>
    <w:tbl>
      <w:tblPr>
        <w:tblW w:type="auto" w:w="0"/>
        <w:jc w:val="center"/>
        <w:tblLayout w:type="fixed"/>
        <w:tblLook w:firstColumn="1" w:firstRow="1" w:lastColumn="0" w:lastRow="0" w:noHBand="0" w:noVBand="1" w:val="04A0"/>
      </w:tblPr>
      <w:tblGrid>
        <w:gridCol w:w="9792"/>
      </w:tblGrid>
      <w:tr>
        <w:tc>
          <w:tcPr>
            <w:tcW w:type="dxa" w:w="10080"/>
            <w:shd w:fill="E8F0F6"/>
            <w:tcBorders>
              <w:top w:val="nil"/>
              <w:left w:val="single" w:sz="18" w:color="2F6B96"/>
              <w:bottom w:val="nil"/>
              <w:right w:val="nil"/>
            </w:tcBorders>
            <w:tcMar>
              <w:top w:w="110" w:type="dxa"/>
              <w:start w:w="150" w:type="dxa"/>
              <w:bottom w:w="110" w:type="dxa"/>
              <w:end w:w="150" w:type="dxa"/>
            </w:tcMar>
          </w:tcPr>
          <w:p>
            <w:pPr>
              <w:spacing w:after="60"/>
            </w:pPr>
            <w:r>
              <w:rPr>
                <w:rFonts w:ascii="Clear Sans" w:hAnsi="Clear Sans"/>
                <w:b/>
                <w:color w:val="17324D"/>
                <w:sz w:val="21"/>
              </w:rPr>
              <w:t>Bottom line</w:t>
            </w:r>
          </w:p>
          <w:p>
            <w:pPr>
              <w:spacing w:after="0"/>
            </w:pPr>
            <w:r>
              <w:rPr>
                <w:rFonts w:ascii="Carlito" w:hAnsi="Carlito"/>
                <w:sz w:val="19"/>
              </w:rPr>
              <w:t>The evidence supports a location premium and substantial post-signing lock-in. It does not support a single claim of excess returns across owners. Property margins are often high; common-equity returns range from negative at SkyLoft to strong at 26 West because basis and capital structure differ.</w:t>
            </w:r>
          </w:p>
        </w:tc>
      </w:tr>
    </w:tbl>
    <w:p>
      <w:pPr>
        <w:spacing w:after="0"/>
      </w:pPr>
    </w:p>
    <w:p>
      <w:pPr>
        <w:pStyle w:val="Heading2"/>
      </w:pPr>
      <w:r>
        <w:t>Finding 1: the strongest evidence is contractual lock-in, not monopoly pricing</w:t>
      </w:r>
    </w:p>
    <w:p>
      <w:pPr>
        <w:keepLines w:val="0"/>
        <w:spacing w:after="100"/>
        <w:ind w:firstLine="0"/>
      </w:pPr>
      <w:r>
        <w:t>Several West Campus operators sell individual bed obligations, divide a fixed term into installments and require a guarantor or prepayment. That architecture raises switching costs after execution and improves collection against signed leases. It does not prove that the operator controlled the market before execution. Cooperatives, university housing, conventional shared apartments and commute-based choices remain available, though they differ in location, privacy and services. The evidence supports a persistent location and convenience premium. It does not isolate a residual market-power premium with statistical confidence. [EP-OP-001; S01; S03; S06; S23]</w:t>
      </w:r>
    </w:p>
    <w:p>
      <w:pPr>
        <w:pStyle w:val="Heading2"/>
      </w:pPr>
      <w:r>
        <w:t>Finding 2: high student prices do not map mechanically to high property returns</w:t>
      </w:r>
    </w:p>
    <w:p>
      <w:pPr>
        <w:keepLines w:val="0"/>
        <w:spacing w:after="100"/>
        <w:ind w:firstLine="0"/>
      </w:pPr>
      <w:r>
        <w:t>Callaway has the highest modeled student-facing price, but also the highest operating cost per bed because it includes meals, housekeeping, utilities and heavier staffing. Its normalized NOI margin is 46.0%, versus 58.4% to 61.5% at the five apartment properties. A difficult relet clause may be objectionable without producing an unusual sponsor IRR. Investment return depends on basis, capital structure, operating cost and concessions. [Model]</w:t>
      </w:r>
    </w:p>
    <w:p>
      <w:pPr>
        <w:pStyle w:val="Heading2"/>
      </w:pPr>
      <w:r>
        <w:t>Finding 3: SkyLoft is the key test case</w:t>
      </w:r>
    </w:p>
    <w:p>
      <w:pPr>
        <w:keepLines w:val="0"/>
        <w:spacing w:after="100"/>
        <w:ind w:firstLine="0"/>
      </w:pPr>
      <w:r>
        <w:t>SkyLoft’s 2019 file disclosed $6.17 million of underwritten NOI, a 2.03x whole-loan DSCR and a 9.3% debt yield. The same asset carried a $66.125 million whole mortgage and $35 million of preferred equity earning 14%, including 8% current pay. In the normalized model, $6.12 million of NOI leaves only about $171,000 for common equity after interest, preferred current pay and reserves. Central value is $87.4 million, below mortgage plus preferred principal. The central common-equity IRR is negative 10.3%. Fitch later reported special servicing and 42% occupancy as of March 2025. Strong preleasing and guarantors did not protect the capital stack from later operating stress. [S04; S05; Model]</w:t>
      </w:r>
    </w:p>
    <w:p>
      <w:pPr>
        <w:pStyle w:val="Heading2"/>
      </w:pPr>
      <w:r>
        <w:t>Finding 4: zoning created bed capacity and residual land value, but the return spread is thin</w:t>
      </w:r>
    </w:p>
    <w:p>
      <w:pPr>
        <w:keepLines w:val="0"/>
        <w:spacing w:after="100"/>
        <w:ind w:firstLine="0"/>
      </w:pPr>
      <w:r>
        <w:t>Waterloo converted a 0.45-acre site into 796 beds after a 2019 density-bonus amendment allowed a 300-foot tower with an affordable set-aside. The reconstructed central development cost is $155 million, or about $194,700 per bed. Stabilized NOI of $9.5 million yields 6.13% on cost against a 5.50% cap rate, a 63-basis-point spread and $17.7 million of modeled profit. A 10% hard-cost overrun cuts profit to $8.2 million; one month of concessions makes it slightly negative; the combined development stress produces a $43.6 million loss. The zoning model attributes about $9.7 million of incremental residual land value to the added capacity, but that is a volumetric proxy rather than an appraisal. [S09; S24; S25; Model]</w:t>
      </w:r>
    </w:p>
    <w:p>
      <w:pPr>
        <w:pStyle w:val="Heading2"/>
      </w:pPr>
      <w:r>
        <w:t>Finding 5: acquisition basis is the clearest divider across owners</w:t>
      </w:r>
    </w:p>
    <w:p>
      <w:pPr>
        <w:keepLines w:val="0"/>
        <w:spacing w:after="100"/>
        <w:ind w:firstLine="0"/>
      </w:pPr>
      <w:r>
        <w:t>26 West was acquired for $86.2 million in 2011. At normalized current NOI of $10.60 million and a 6.0% cap rate, central value is $176.6 million. The modeled central levered IRR is 25.5%, the highest in the sample. The Standard’s central levered IRR is 10.6% and Callaway’s is 13.0%. SkyLoft is negative. These are normalized returns, not realized sponsor statements. Current debt, capital improvements and historical distributions are not available for several assets. [EP-OWN-001; S11; S12; S14; Model]</w:t>
      </w:r>
    </w:p>
    <w:p>
      <w:pPr>
        <w:pStyle w:val="Heading2"/>
      </w:pPr>
      <w:r>
        <w:t>Finding 6: refinancing can force an ownership event while NOI remains positive</w:t>
      </w:r>
    </w:p>
    <w:p>
      <w:pPr>
        <w:keepLines w:val="0"/>
        <w:spacing w:after="100"/>
        <w:ind w:firstLine="0"/>
      </w:pPr>
      <w:r>
        <w:t>The Standard, Waterloo and SkyLoft all require about $18 million of equity in the base refinancing test because higher rates and a 1.30x DSCR constraint reduce loan proceeds. Under the combined stress, modeled paydown rises to $46.3 million at The Standard, $41.6 million at Waterloo and $38.1 million at SkyLoft. A property can cover newly sized debt and still fail to refinance its existing balance. That is the point at which a sponsor may sell, accept preferred capital, negotiate an extension or lose control. Non-SkyLoft debt balances are illustrative, so the exposure is directional rather than a claim about current lender positions. [Model]</w:t>
      </w:r>
    </w:p>
    <w:p>
      <w:pPr>
        <w:pStyle w:val="Heading2"/>
      </w:pPr>
      <w:r>
        <w:t>Finding 7: the market-wide concentration question remains open</w:t>
      </w:r>
    </w:p>
    <w:p>
      <w:pPr>
        <w:keepLines w:val="0"/>
        <w:spacing w:after="100"/>
        <w:ind w:firstLine="0"/>
      </w:pPr>
      <w:r>
        <w:t>The roster shows repeat platforms rather than a single landlord. ACC/Blackstone, Landmark, GSA/Yugo, Scion and local developers appear repeatedly, but many parcel entities and bed counts remain unresolved. No defensible owner concentration ratio or institutional share should be reported from this package. The six-property sample contains 4,805 beds, averages 801 beds per building and was entirely delivered after UNO, but it is not the complete market. [EP-OWN-001]</w:t>
      </w:r>
    </w:p>
    <w:p>
      <w:pPr>
        <w:pStyle w:val="Heading2"/>
      </w:pPr>
      <w:r>
        <w:t>Implication</w:t>
      </w:r>
    </w:p>
    <w:p>
      <w:pPr>
        <w:keepLines w:val="0"/>
        <w:spacing w:after="100"/>
        <w:ind w:firstLine="0"/>
      </w:pPr>
      <w:r>
        <w:t>The phrase “captive economics” is most accurate after a student signs. The combination of early leasing, individual-bed pricing, guarantors and controlled relets improves the owner’s collection position. Before signing, the market still shows meaningful substitution and aggressive concessions. At the property level, stabilized margins can be high. At the equity level, the outcome ranges from a strong basis-driven return at 26 West to a negative common return at SkyLoft. The loss waterfall, not the lease brochure, determines who is protected when demand or financing weakens. [Model]</w:t>
      </w:r>
    </w:p>
    <w:p>
      <w:pPr>
        <w:pStyle w:val="Heading2"/>
      </w:pPr>
      <w:r>
        <w:t>Remaining uncertainties</w:t>
      </w:r>
    </w:p>
    <w:p>
      <w:pPr>
        <w:keepLines w:val="0"/>
        <w:spacing w:after="100"/>
        <w:ind w:firstLine="0"/>
      </w:pPr>
      <w:r>
        <w:t>Executed lease rates by signing month are unavailable. Current asset-level debt and maturities are unresolved for five of six properties. Waterloo’s sale price is undisclosed. Callaway’s and The Standard’s bases are triangulated ranges. Market-wide ownership concentration and pipeline counts are incomplete. Parental guarantees are documented as a risk-transfer mechanism, but the sample does not contain property-level bad-debt comparisons that measure their effect. Those gaps should remain visible rather than be hidden inside a single IRR. [EP-OP-001; EP-OWN-001; Model]</w:t>
      </w:r>
    </w:p>
    <w:tbl>
      <w:tblPr>
        <w:tblStyle w:val="TableGrid"/>
        <w:tblW w:type="auto" w:w="0"/>
        <w:jc w:val="center"/>
        <w:tblLayout w:type="fixed"/>
        <w:tblLook w:firstColumn="1" w:firstRow="1" w:lastColumn="0" w:lastRow="0" w:noHBand="0" w:noVBand="1" w:val="04A0"/>
      </w:tblPr>
      <w:tblGrid>
        <w:gridCol w:w="1584"/>
        <w:gridCol w:w="792"/>
        <w:gridCol w:w="1152"/>
        <w:gridCol w:w="1080"/>
        <w:gridCol w:w="1440"/>
        <w:gridCol w:w="1944"/>
      </w:tblGrid>
      <w:tr>
        <w:trPr>
          <w:tblHeader w:val="true"/>
        </w:trPr>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Property</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Beds</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Base NOI</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NOI margin</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Central levered IRR</w:t>
            </w:r>
          </w:p>
        </w:tc>
        <w:tc>
          <w:tcPr>
            <w:tcW w:type="dxa" w:w="1680"/>
            <w:shd w:fill="17324D"/>
            <w:tcMar>
              <w:top w:w="70" w:type="dxa"/>
              <w:start w:w="70" w:type="dxa"/>
              <w:bottom w:w="70" w:type="dxa"/>
              <w:end w:w="70" w:type="dxa"/>
            </w:tcMar>
            <w:vAlign w:val="center"/>
          </w:tcPr>
          <w:p>
            <w:pPr>
              <w:jc w:val="left"/>
            </w:pPr>
            <w:r>
              <w:rPr>
                <w:rFonts w:ascii="Clear Sans" w:hAnsi="Clear Sans"/>
                <w:b/>
                <w:color w:val="FFFFFF"/>
                <w:sz w:val="14"/>
              </w:rPr>
              <w:t>Combined-stress refi paydown</w:t>
            </w:r>
          </w:p>
        </w:tc>
      </w:tr>
      <w:tr>
        <w:trPr>
          <w:cantSplit/>
        </w:trPr>
        <w:tc>
          <w:tcPr>
            <w:tcW w:type="dxa" w:w="1584"/>
            <w:tcMar>
              <w:top w:w="55" w:type="dxa"/>
              <w:start w:w="65" w:type="dxa"/>
              <w:bottom w:w="55" w:type="dxa"/>
              <w:end w:w="65" w:type="dxa"/>
            </w:tcMar>
            <w:vAlign w:val="top"/>
          </w:tcPr>
          <w:p>
            <w:pPr>
              <w:spacing w:after="0"/>
            </w:pPr>
            <w:r>
              <w:rPr>
                <w:rFonts w:ascii="Carlito" w:hAnsi="Carlito"/>
                <w:b/>
                <w:color w:val="17324D"/>
                <w:sz w:val="14"/>
              </w:rPr>
              <w:t>SkyLoft</w:t>
            </w:r>
          </w:p>
        </w:tc>
        <w:tc>
          <w:tcPr>
            <w:tcW w:type="dxa" w:w="792"/>
            <w:tcMar>
              <w:top w:w="55" w:type="dxa"/>
              <w:start w:w="65" w:type="dxa"/>
              <w:bottom w:w="55" w:type="dxa"/>
              <w:end w:w="65" w:type="dxa"/>
            </w:tcMar>
            <w:vAlign w:val="top"/>
          </w:tcPr>
          <w:p>
            <w:pPr>
              <w:spacing w:after="0"/>
            </w:pPr>
            <w:r>
              <w:rPr>
                <w:rFonts w:ascii="Carlito" w:hAnsi="Carlito"/>
                <w:sz w:val="14"/>
              </w:rPr>
              <w:t>674</w:t>
            </w:r>
          </w:p>
        </w:tc>
        <w:tc>
          <w:tcPr>
            <w:tcW w:type="dxa" w:w="1152"/>
            <w:tcMar>
              <w:top w:w="55" w:type="dxa"/>
              <w:start w:w="65" w:type="dxa"/>
              <w:bottom w:w="55" w:type="dxa"/>
              <w:end w:w="65" w:type="dxa"/>
            </w:tcMar>
            <w:vAlign w:val="top"/>
          </w:tcPr>
          <w:p>
            <w:pPr>
              <w:spacing w:after="0"/>
            </w:pPr>
            <w:r>
              <w:rPr>
                <w:rFonts w:ascii="Carlito" w:hAnsi="Carlito"/>
                <w:sz w:val="14"/>
              </w:rPr>
              <w:t>$6.1m</w:t>
            </w:r>
          </w:p>
        </w:tc>
        <w:tc>
          <w:tcPr>
            <w:tcW w:type="dxa" w:w="1080"/>
            <w:tcMar>
              <w:top w:w="55" w:type="dxa"/>
              <w:start w:w="65" w:type="dxa"/>
              <w:bottom w:w="55" w:type="dxa"/>
              <w:end w:w="65" w:type="dxa"/>
            </w:tcMar>
            <w:vAlign w:val="top"/>
          </w:tcPr>
          <w:p>
            <w:pPr>
              <w:spacing w:after="0"/>
            </w:pPr>
            <w:r>
              <w:rPr>
                <w:rFonts w:ascii="Carlito" w:hAnsi="Carlito"/>
                <w:sz w:val="14"/>
              </w:rPr>
              <w:t>59.1%</w:t>
            </w:r>
          </w:p>
        </w:tc>
        <w:tc>
          <w:tcPr>
            <w:tcW w:type="dxa" w:w="1440"/>
            <w:tcMar>
              <w:top w:w="55" w:type="dxa"/>
              <w:start w:w="65" w:type="dxa"/>
              <w:bottom w:w="55" w:type="dxa"/>
              <w:end w:w="65" w:type="dxa"/>
            </w:tcMar>
            <w:vAlign w:val="top"/>
          </w:tcPr>
          <w:p>
            <w:pPr>
              <w:spacing w:after="0"/>
            </w:pPr>
            <w:r>
              <w:rPr>
                <w:rFonts w:ascii="Carlito" w:hAnsi="Carlito"/>
                <w:sz w:val="14"/>
              </w:rPr>
              <w:t>-10.3%</w:t>
            </w:r>
          </w:p>
        </w:tc>
        <w:tc>
          <w:tcPr>
            <w:tcW w:type="dxa" w:w="1944"/>
            <w:tcMar>
              <w:top w:w="55" w:type="dxa"/>
              <w:start w:w="65" w:type="dxa"/>
              <w:bottom w:w="55" w:type="dxa"/>
              <w:end w:w="65" w:type="dxa"/>
            </w:tcMar>
            <w:vAlign w:val="top"/>
          </w:tcPr>
          <w:p>
            <w:pPr>
              <w:spacing w:after="0"/>
            </w:pPr>
            <w:r>
              <w:rPr>
                <w:rFonts w:ascii="Carlito" w:hAnsi="Carlito"/>
                <w:sz w:val="14"/>
              </w:rPr>
              <w:t>$38.1m</w:t>
            </w:r>
          </w:p>
        </w:tc>
      </w:tr>
      <w:tr>
        <w:trPr>
          <w:cantSplit/>
        </w:trPr>
        <w:tc>
          <w:tcPr>
            <w:tcW w:type="dxa" w:w="1584"/>
            <w:shd w:fill="F3F5F7"/>
            <w:tcMar>
              <w:top w:w="55" w:type="dxa"/>
              <w:start w:w="65" w:type="dxa"/>
              <w:bottom w:w="55" w:type="dxa"/>
              <w:end w:w="65" w:type="dxa"/>
            </w:tcMar>
            <w:vAlign w:val="top"/>
          </w:tcPr>
          <w:p>
            <w:pPr>
              <w:spacing w:after="0"/>
            </w:pPr>
            <w:r>
              <w:rPr>
                <w:rFonts w:ascii="Carlito" w:hAnsi="Carlito"/>
                <w:b/>
                <w:color w:val="17324D"/>
                <w:sz w:val="14"/>
              </w:rPr>
              <w:t>2400 Nueces</w:t>
            </w:r>
          </w:p>
        </w:tc>
        <w:tc>
          <w:tcPr>
            <w:tcW w:type="dxa" w:w="792"/>
            <w:shd w:fill="F3F5F7"/>
            <w:tcMar>
              <w:top w:w="55" w:type="dxa"/>
              <w:start w:w="65" w:type="dxa"/>
              <w:bottom w:w="55" w:type="dxa"/>
              <w:end w:w="65" w:type="dxa"/>
            </w:tcMar>
            <w:vAlign w:val="top"/>
          </w:tcPr>
          <w:p>
            <w:pPr>
              <w:spacing w:after="0"/>
            </w:pPr>
            <w:r>
              <w:rPr>
                <w:rFonts w:ascii="Carlito" w:hAnsi="Carlito"/>
                <w:sz w:val="14"/>
              </w:rPr>
              <w:t>622</w:t>
            </w:r>
          </w:p>
        </w:tc>
        <w:tc>
          <w:tcPr>
            <w:tcW w:type="dxa" w:w="1152"/>
            <w:shd w:fill="F3F5F7"/>
            <w:tcMar>
              <w:top w:w="55" w:type="dxa"/>
              <w:start w:w="65" w:type="dxa"/>
              <w:bottom w:w="55" w:type="dxa"/>
              <w:end w:w="65" w:type="dxa"/>
            </w:tcMar>
            <w:vAlign w:val="top"/>
          </w:tcPr>
          <w:p>
            <w:pPr>
              <w:spacing w:after="0"/>
            </w:pPr>
            <w:r>
              <w:rPr>
                <w:rFonts w:ascii="Carlito" w:hAnsi="Carlito"/>
                <w:sz w:val="14"/>
              </w:rPr>
              <w:t>$5.5m</w:t>
            </w:r>
          </w:p>
        </w:tc>
        <w:tc>
          <w:tcPr>
            <w:tcW w:type="dxa" w:w="1080"/>
            <w:shd w:fill="F3F5F7"/>
            <w:tcMar>
              <w:top w:w="55" w:type="dxa"/>
              <w:start w:w="65" w:type="dxa"/>
              <w:bottom w:w="55" w:type="dxa"/>
              <w:end w:w="65" w:type="dxa"/>
            </w:tcMar>
            <w:vAlign w:val="top"/>
          </w:tcPr>
          <w:p>
            <w:pPr>
              <w:spacing w:after="0"/>
            </w:pPr>
            <w:r>
              <w:rPr>
                <w:rFonts w:ascii="Carlito" w:hAnsi="Carlito"/>
                <w:sz w:val="14"/>
              </w:rPr>
              <w:t>58.4%</w:t>
            </w:r>
          </w:p>
        </w:tc>
        <w:tc>
          <w:tcPr>
            <w:tcW w:type="dxa" w:w="1440"/>
            <w:shd w:fill="F3F5F7"/>
            <w:tcMar>
              <w:top w:w="55" w:type="dxa"/>
              <w:start w:w="65" w:type="dxa"/>
              <w:bottom w:w="55" w:type="dxa"/>
              <w:end w:w="65" w:type="dxa"/>
            </w:tcMar>
            <w:vAlign w:val="top"/>
          </w:tcPr>
          <w:p>
            <w:pPr>
              <w:spacing w:after="0"/>
            </w:pPr>
            <w:r>
              <w:rPr>
                <w:rFonts w:ascii="Carlito" w:hAnsi="Carlito"/>
                <w:sz w:val="14"/>
              </w:rPr>
              <w:t>17.6%</w:t>
            </w:r>
          </w:p>
        </w:tc>
        <w:tc>
          <w:tcPr>
            <w:tcW w:type="dxa" w:w="1944"/>
            <w:shd w:fill="F3F5F7"/>
            <w:tcMar>
              <w:top w:w="55" w:type="dxa"/>
              <w:start w:w="65" w:type="dxa"/>
              <w:bottom w:w="55" w:type="dxa"/>
              <w:end w:w="65" w:type="dxa"/>
            </w:tcMar>
            <w:vAlign w:val="top"/>
          </w:tcPr>
          <w:p>
            <w:pPr>
              <w:spacing w:after="0"/>
            </w:pPr>
            <w:r>
              <w:rPr>
                <w:rFonts w:ascii="Carlito" w:hAnsi="Carlito"/>
                <w:sz w:val="14"/>
              </w:rPr>
              <w:t>$7.8m</w:t>
            </w:r>
          </w:p>
        </w:tc>
      </w:tr>
      <w:tr>
        <w:trPr>
          <w:cantSplit/>
        </w:trPr>
        <w:tc>
          <w:tcPr>
            <w:tcW w:type="dxa" w:w="1584"/>
            <w:tcMar>
              <w:top w:w="55" w:type="dxa"/>
              <w:start w:w="65" w:type="dxa"/>
              <w:bottom w:w="55" w:type="dxa"/>
              <w:end w:w="65" w:type="dxa"/>
            </w:tcMar>
            <w:vAlign w:val="top"/>
          </w:tcPr>
          <w:p>
            <w:pPr>
              <w:spacing w:after="0"/>
            </w:pPr>
            <w:r>
              <w:rPr>
                <w:rFonts w:ascii="Carlito" w:hAnsi="Carlito"/>
                <w:b/>
                <w:color w:val="17324D"/>
                <w:sz w:val="14"/>
              </w:rPr>
              <w:t>Waterloo</w:t>
            </w:r>
          </w:p>
        </w:tc>
        <w:tc>
          <w:tcPr>
            <w:tcW w:type="dxa" w:w="792"/>
            <w:tcMar>
              <w:top w:w="55" w:type="dxa"/>
              <w:start w:w="65" w:type="dxa"/>
              <w:bottom w:w="55" w:type="dxa"/>
              <w:end w:w="65" w:type="dxa"/>
            </w:tcMar>
            <w:vAlign w:val="top"/>
          </w:tcPr>
          <w:p>
            <w:pPr>
              <w:spacing w:after="0"/>
            </w:pPr>
            <w:r>
              <w:rPr>
                <w:rFonts w:ascii="Carlito" w:hAnsi="Carlito"/>
                <w:sz w:val="14"/>
              </w:rPr>
              <w:t>796</w:t>
            </w:r>
          </w:p>
        </w:tc>
        <w:tc>
          <w:tcPr>
            <w:tcW w:type="dxa" w:w="1152"/>
            <w:tcMar>
              <w:top w:w="55" w:type="dxa"/>
              <w:start w:w="65" w:type="dxa"/>
              <w:bottom w:w="55" w:type="dxa"/>
              <w:end w:w="65" w:type="dxa"/>
            </w:tcMar>
            <w:vAlign w:val="top"/>
          </w:tcPr>
          <w:p>
            <w:pPr>
              <w:spacing w:after="0"/>
            </w:pPr>
            <w:r>
              <w:rPr>
                <w:rFonts w:ascii="Carlito" w:hAnsi="Carlito"/>
                <w:sz w:val="14"/>
              </w:rPr>
              <w:t>$8.6m</w:t>
            </w:r>
          </w:p>
        </w:tc>
        <w:tc>
          <w:tcPr>
            <w:tcW w:type="dxa" w:w="1080"/>
            <w:tcMar>
              <w:top w:w="55" w:type="dxa"/>
              <w:start w:w="65" w:type="dxa"/>
              <w:bottom w:w="55" w:type="dxa"/>
              <w:end w:w="65" w:type="dxa"/>
            </w:tcMar>
            <w:vAlign w:val="top"/>
          </w:tcPr>
          <w:p>
            <w:pPr>
              <w:spacing w:after="0"/>
            </w:pPr>
            <w:r>
              <w:rPr>
                <w:rFonts w:ascii="Carlito" w:hAnsi="Carlito"/>
                <w:sz w:val="14"/>
              </w:rPr>
              <w:t>61.5%</w:t>
            </w:r>
          </w:p>
        </w:tc>
        <w:tc>
          <w:tcPr>
            <w:tcW w:type="dxa" w:w="1440"/>
            <w:tcMar>
              <w:top w:w="55" w:type="dxa"/>
              <w:start w:w="65" w:type="dxa"/>
              <w:bottom w:w="55" w:type="dxa"/>
              <w:end w:w="65" w:type="dxa"/>
            </w:tcMar>
            <w:vAlign w:val="top"/>
          </w:tcPr>
          <w:p>
            <w:pPr>
              <w:spacing w:after="0"/>
            </w:pPr>
            <w:r>
              <w:rPr>
                <w:rFonts w:ascii="Carlito" w:hAnsi="Carlito"/>
                <w:sz w:val="14"/>
              </w:rPr>
              <w:t>8.3%</w:t>
            </w:r>
          </w:p>
        </w:tc>
        <w:tc>
          <w:tcPr>
            <w:tcW w:type="dxa" w:w="1944"/>
            <w:tcMar>
              <w:top w:w="55" w:type="dxa"/>
              <w:start w:w="65" w:type="dxa"/>
              <w:bottom w:w="55" w:type="dxa"/>
              <w:end w:w="65" w:type="dxa"/>
            </w:tcMar>
            <w:vAlign w:val="top"/>
          </w:tcPr>
          <w:p>
            <w:pPr>
              <w:spacing w:after="0"/>
            </w:pPr>
            <w:r>
              <w:rPr>
                <w:rFonts w:ascii="Carlito" w:hAnsi="Carlito"/>
                <w:sz w:val="14"/>
              </w:rPr>
              <w:t>$41.6m</w:t>
            </w:r>
          </w:p>
        </w:tc>
      </w:tr>
      <w:tr>
        <w:trPr>
          <w:cantSplit/>
        </w:trPr>
        <w:tc>
          <w:tcPr>
            <w:tcW w:type="dxa" w:w="1584"/>
            <w:shd w:fill="F3F5F7"/>
            <w:tcMar>
              <w:top w:w="55" w:type="dxa"/>
              <w:start w:w="65" w:type="dxa"/>
              <w:bottom w:w="55" w:type="dxa"/>
              <w:end w:w="65" w:type="dxa"/>
            </w:tcMar>
            <w:vAlign w:val="top"/>
          </w:tcPr>
          <w:p>
            <w:pPr>
              <w:spacing w:after="0"/>
            </w:pPr>
            <w:r>
              <w:rPr>
                <w:rFonts w:ascii="Carlito" w:hAnsi="Carlito"/>
                <w:b/>
                <w:color w:val="17324D"/>
                <w:sz w:val="14"/>
              </w:rPr>
              <w:t>The Standard</w:t>
            </w:r>
          </w:p>
        </w:tc>
        <w:tc>
          <w:tcPr>
            <w:tcW w:type="dxa" w:w="792"/>
            <w:shd w:fill="F3F5F7"/>
            <w:tcMar>
              <w:top w:w="55" w:type="dxa"/>
              <w:start w:w="65" w:type="dxa"/>
              <w:bottom w:w="55" w:type="dxa"/>
              <w:end w:w="65" w:type="dxa"/>
            </w:tcMar>
            <w:vAlign w:val="top"/>
          </w:tcPr>
          <w:p>
            <w:pPr>
              <w:spacing w:after="0"/>
            </w:pPr>
            <w:r>
              <w:rPr>
                <w:rFonts w:ascii="Carlito" w:hAnsi="Carlito"/>
                <w:sz w:val="14"/>
              </w:rPr>
              <w:t>934</w:t>
            </w:r>
          </w:p>
        </w:tc>
        <w:tc>
          <w:tcPr>
            <w:tcW w:type="dxa" w:w="1152"/>
            <w:shd w:fill="F3F5F7"/>
            <w:tcMar>
              <w:top w:w="55" w:type="dxa"/>
              <w:start w:w="65" w:type="dxa"/>
              <w:bottom w:w="55" w:type="dxa"/>
              <w:end w:w="65" w:type="dxa"/>
            </w:tcMar>
            <w:vAlign w:val="top"/>
          </w:tcPr>
          <w:p>
            <w:pPr>
              <w:spacing w:after="0"/>
            </w:pPr>
            <w:r>
              <w:rPr>
                <w:rFonts w:ascii="Carlito" w:hAnsi="Carlito"/>
                <w:sz w:val="14"/>
              </w:rPr>
              <w:t>$9.4m</w:t>
            </w:r>
          </w:p>
        </w:tc>
        <w:tc>
          <w:tcPr>
            <w:tcW w:type="dxa" w:w="1080"/>
            <w:shd w:fill="F3F5F7"/>
            <w:tcMar>
              <w:top w:w="55" w:type="dxa"/>
              <w:start w:w="65" w:type="dxa"/>
              <w:bottom w:w="55" w:type="dxa"/>
              <w:end w:w="65" w:type="dxa"/>
            </w:tcMar>
            <w:vAlign w:val="top"/>
          </w:tcPr>
          <w:p>
            <w:pPr>
              <w:spacing w:after="0"/>
            </w:pPr>
            <w:r>
              <w:rPr>
                <w:rFonts w:ascii="Carlito" w:hAnsi="Carlito"/>
                <w:sz w:val="14"/>
              </w:rPr>
              <w:t>60.8%</w:t>
            </w:r>
          </w:p>
        </w:tc>
        <w:tc>
          <w:tcPr>
            <w:tcW w:type="dxa" w:w="1440"/>
            <w:shd w:fill="F3F5F7"/>
            <w:tcMar>
              <w:top w:w="55" w:type="dxa"/>
              <w:start w:w="65" w:type="dxa"/>
              <w:bottom w:w="55" w:type="dxa"/>
              <w:end w:w="65" w:type="dxa"/>
            </w:tcMar>
            <w:vAlign w:val="top"/>
          </w:tcPr>
          <w:p>
            <w:pPr>
              <w:spacing w:after="0"/>
            </w:pPr>
            <w:r>
              <w:rPr>
                <w:rFonts w:ascii="Carlito" w:hAnsi="Carlito"/>
                <w:sz w:val="14"/>
              </w:rPr>
              <w:t>10.6%</w:t>
            </w:r>
          </w:p>
        </w:tc>
        <w:tc>
          <w:tcPr>
            <w:tcW w:type="dxa" w:w="1944"/>
            <w:shd w:fill="F3F5F7"/>
            <w:tcMar>
              <w:top w:w="55" w:type="dxa"/>
              <w:start w:w="65" w:type="dxa"/>
              <w:bottom w:w="55" w:type="dxa"/>
              <w:end w:w="65" w:type="dxa"/>
            </w:tcMar>
            <w:vAlign w:val="top"/>
          </w:tcPr>
          <w:p>
            <w:pPr>
              <w:spacing w:after="0"/>
            </w:pPr>
            <w:r>
              <w:rPr>
                <w:rFonts w:ascii="Carlito" w:hAnsi="Carlito"/>
                <w:sz w:val="14"/>
              </w:rPr>
              <w:t>$46.3m</w:t>
            </w:r>
          </w:p>
        </w:tc>
      </w:tr>
      <w:tr>
        <w:trPr>
          <w:cantSplit/>
        </w:trPr>
        <w:tc>
          <w:tcPr>
            <w:tcW w:type="dxa" w:w="1584"/>
            <w:tcMar>
              <w:top w:w="55" w:type="dxa"/>
              <w:start w:w="65" w:type="dxa"/>
              <w:bottom w:w="55" w:type="dxa"/>
              <w:end w:w="65" w:type="dxa"/>
            </w:tcMar>
            <w:vAlign w:val="top"/>
          </w:tcPr>
          <w:p>
            <w:pPr>
              <w:spacing w:after="0"/>
            </w:pPr>
            <w:r>
              <w:rPr>
                <w:rFonts w:ascii="Carlito" w:hAnsi="Carlito"/>
                <w:b/>
                <w:color w:val="17324D"/>
                <w:sz w:val="14"/>
              </w:rPr>
              <w:t>Callaway</w:t>
            </w:r>
          </w:p>
        </w:tc>
        <w:tc>
          <w:tcPr>
            <w:tcW w:type="dxa" w:w="792"/>
            <w:tcMar>
              <w:top w:w="55" w:type="dxa"/>
              <w:start w:w="65" w:type="dxa"/>
              <w:bottom w:w="55" w:type="dxa"/>
              <w:end w:w="65" w:type="dxa"/>
            </w:tcMar>
            <w:vAlign w:val="top"/>
          </w:tcPr>
          <w:p>
            <w:pPr>
              <w:spacing w:after="0"/>
            </w:pPr>
            <w:r>
              <w:rPr>
                <w:rFonts w:ascii="Carlito" w:hAnsi="Carlito"/>
                <w:sz w:val="14"/>
              </w:rPr>
              <w:t>753</w:t>
            </w:r>
          </w:p>
        </w:tc>
        <w:tc>
          <w:tcPr>
            <w:tcW w:type="dxa" w:w="1152"/>
            <w:tcMar>
              <w:top w:w="55" w:type="dxa"/>
              <w:start w:w="65" w:type="dxa"/>
              <w:bottom w:w="55" w:type="dxa"/>
              <w:end w:w="65" w:type="dxa"/>
            </w:tcMar>
            <w:vAlign w:val="top"/>
          </w:tcPr>
          <w:p>
            <w:pPr>
              <w:spacing w:after="0"/>
            </w:pPr>
            <w:r>
              <w:rPr>
                <w:rFonts w:ascii="Carlito" w:hAnsi="Carlito"/>
                <w:sz w:val="14"/>
              </w:rPr>
              <w:t>$8.2m</w:t>
            </w:r>
          </w:p>
        </w:tc>
        <w:tc>
          <w:tcPr>
            <w:tcW w:type="dxa" w:w="1080"/>
            <w:tcMar>
              <w:top w:w="55" w:type="dxa"/>
              <w:start w:w="65" w:type="dxa"/>
              <w:bottom w:w="55" w:type="dxa"/>
              <w:end w:w="65" w:type="dxa"/>
            </w:tcMar>
            <w:vAlign w:val="top"/>
          </w:tcPr>
          <w:p>
            <w:pPr>
              <w:spacing w:after="0"/>
            </w:pPr>
            <w:r>
              <w:rPr>
                <w:rFonts w:ascii="Carlito" w:hAnsi="Carlito"/>
                <w:sz w:val="14"/>
              </w:rPr>
              <w:t>46.0%</w:t>
            </w:r>
          </w:p>
        </w:tc>
        <w:tc>
          <w:tcPr>
            <w:tcW w:type="dxa" w:w="1440"/>
            <w:tcMar>
              <w:top w:w="55" w:type="dxa"/>
              <w:start w:w="65" w:type="dxa"/>
              <w:bottom w:w="55" w:type="dxa"/>
              <w:end w:w="65" w:type="dxa"/>
            </w:tcMar>
            <w:vAlign w:val="top"/>
          </w:tcPr>
          <w:p>
            <w:pPr>
              <w:spacing w:after="0"/>
            </w:pPr>
            <w:r>
              <w:rPr>
                <w:rFonts w:ascii="Carlito" w:hAnsi="Carlito"/>
                <w:sz w:val="14"/>
              </w:rPr>
              <w:t>13.0%</w:t>
            </w:r>
          </w:p>
        </w:tc>
        <w:tc>
          <w:tcPr>
            <w:tcW w:type="dxa" w:w="1944"/>
            <w:tcMar>
              <w:top w:w="55" w:type="dxa"/>
              <w:start w:w="65" w:type="dxa"/>
              <w:bottom w:w="55" w:type="dxa"/>
              <w:end w:w="65" w:type="dxa"/>
            </w:tcMar>
            <w:vAlign w:val="top"/>
          </w:tcPr>
          <w:p>
            <w:pPr>
              <w:spacing w:after="0"/>
            </w:pPr>
            <w:r>
              <w:rPr>
                <w:rFonts w:ascii="Carlito" w:hAnsi="Carlito"/>
                <w:sz w:val="14"/>
              </w:rPr>
              <w:t>$26.3m</w:t>
            </w:r>
          </w:p>
        </w:tc>
      </w:tr>
      <w:tr>
        <w:trPr>
          <w:cantSplit/>
        </w:trPr>
        <w:tc>
          <w:tcPr>
            <w:tcW w:type="dxa" w:w="1584"/>
            <w:shd w:fill="F3F5F7"/>
            <w:tcMar>
              <w:top w:w="55" w:type="dxa"/>
              <w:start w:w="65" w:type="dxa"/>
              <w:bottom w:w="55" w:type="dxa"/>
              <w:end w:w="65" w:type="dxa"/>
            </w:tcMar>
            <w:vAlign w:val="top"/>
          </w:tcPr>
          <w:p>
            <w:pPr>
              <w:spacing w:after="0"/>
            </w:pPr>
            <w:r>
              <w:rPr>
                <w:rFonts w:ascii="Carlito" w:hAnsi="Carlito"/>
                <w:b/>
                <w:color w:val="17324D"/>
                <w:sz w:val="14"/>
              </w:rPr>
              <w:t>26 West</w:t>
            </w:r>
          </w:p>
        </w:tc>
        <w:tc>
          <w:tcPr>
            <w:tcW w:type="dxa" w:w="792"/>
            <w:shd w:fill="F3F5F7"/>
            <w:tcMar>
              <w:top w:w="55" w:type="dxa"/>
              <w:start w:w="65" w:type="dxa"/>
              <w:bottom w:w="55" w:type="dxa"/>
              <w:end w:w="65" w:type="dxa"/>
            </w:tcMar>
            <w:vAlign w:val="top"/>
          </w:tcPr>
          <w:p>
            <w:pPr>
              <w:spacing w:after="0"/>
            </w:pPr>
            <w:r>
              <w:rPr>
                <w:rFonts w:ascii="Carlito" w:hAnsi="Carlito"/>
                <w:sz w:val="14"/>
              </w:rPr>
              <w:t>1,026</w:t>
            </w:r>
          </w:p>
        </w:tc>
        <w:tc>
          <w:tcPr>
            <w:tcW w:type="dxa" w:w="1152"/>
            <w:shd w:fill="F3F5F7"/>
            <w:tcMar>
              <w:top w:w="55" w:type="dxa"/>
              <w:start w:w="65" w:type="dxa"/>
              <w:bottom w:w="55" w:type="dxa"/>
              <w:end w:w="65" w:type="dxa"/>
            </w:tcMar>
            <w:vAlign w:val="top"/>
          </w:tcPr>
          <w:p>
            <w:pPr>
              <w:spacing w:after="0"/>
            </w:pPr>
            <w:r>
              <w:rPr>
                <w:rFonts w:ascii="Carlito" w:hAnsi="Carlito"/>
                <w:sz w:val="14"/>
              </w:rPr>
              <w:t>$10.6m</w:t>
            </w:r>
          </w:p>
        </w:tc>
        <w:tc>
          <w:tcPr>
            <w:tcW w:type="dxa" w:w="1080"/>
            <w:shd w:fill="F3F5F7"/>
            <w:tcMar>
              <w:top w:w="55" w:type="dxa"/>
              <w:start w:w="65" w:type="dxa"/>
              <w:bottom w:w="55" w:type="dxa"/>
              <w:end w:w="65" w:type="dxa"/>
            </w:tcMar>
            <w:vAlign w:val="top"/>
          </w:tcPr>
          <w:p>
            <w:pPr>
              <w:spacing w:after="0"/>
            </w:pPr>
            <w:r>
              <w:rPr>
                <w:rFonts w:ascii="Carlito" w:hAnsi="Carlito"/>
                <w:sz w:val="14"/>
              </w:rPr>
              <w:t>61.4%</w:t>
            </w:r>
          </w:p>
        </w:tc>
        <w:tc>
          <w:tcPr>
            <w:tcW w:type="dxa" w:w="1440"/>
            <w:shd w:fill="F3F5F7"/>
            <w:tcMar>
              <w:top w:w="55" w:type="dxa"/>
              <w:start w:w="65" w:type="dxa"/>
              <w:bottom w:w="55" w:type="dxa"/>
              <w:end w:w="65" w:type="dxa"/>
            </w:tcMar>
            <w:vAlign w:val="top"/>
          </w:tcPr>
          <w:p>
            <w:pPr>
              <w:spacing w:after="0"/>
            </w:pPr>
            <w:r>
              <w:rPr>
                <w:rFonts w:ascii="Carlito" w:hAnsi="Carlito"/>
                <w:sz w:val="14"/>
              </w:rPr>
              <w:t>25.5%</w:t>
            </w:r>
          </w:p>
        </w:tc>
        <w:tc>
          <w:tcPr>
            <w:tcW w:type="dxa" w:w="1944"/>
            <w:shd w:fill="F3F5F7"/>
            <w:tcMar>
              <w:top w:w="55" w:type="dxa"/>
              <w:start w:w="65" w:type="dxa"/>
              <w:bottom w:w="55" w:type="dxa"/>
              <w:end w:w="65" w:type="dxa"/>
            </w:tcMar>
            <w:vAlign w:val="top"/>
          </w:tcPr>
          <w:p>
            <w:pPr>
              <w:spacing w:after="0"/>
            </w:pPr>
            <w:r>
              <w:rPr>
                <w:rFonts w:ascii="Carlito" w:hAnsi="Carlito"/>
                <w:sz w:val="14"/>
              </w:rPr>
              <w:t>$0.0</w:t>
            </w:r>
          </w:p>
        </w:tc>
      </w:tr>
    </w:tbl>
    <w:p>
      <w:pPr>
        <w:spacing w:after="20"/>
      </w:pPr>
    </w:p>
    <w:sectPr w:rsidR="00FC693F" w:rsidRPr="0006063C" w:rsidSect="00034616">
      <w:headerReference w:type="default" r:id="rId9"/>
      <w:footerReference w:type="default" r:id="rId10"/>
      <w:pgSz w:w="12240" w:h="15840"/>
      <w:pgMar w:top="1008" w:right="1080" w:bottom="936" w:left="108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rlito" w:hAnsi="Carlito"/>
        <w:color w:val="5B6570"/>
        <w:sz w:val="16"/>
      </w:rP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Pr>
        <w:rFonts w:ascii="Carlito" w:hAnsi="Carlito"/>
        <w:color w:val="5B6570"/>
        <w:sz w:val="15"/>
      </w:rPr>
      <w:t>West Campus Student Housing - Executive Analytical Memo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00" w:line="259" w:lineRule="auto"/>
    </w:pPr>
    <w:rPr>
      <w:rFonts w:ascii="Carlito" w:hAnsi="Carlito" w:eastAsia="Carlito"/>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Clear Sans" w:hAnsi="Clear Sans" w:eastAsia="Clear Sans"/>
      <w:b/>
      <w:bCs/>
      <w:color w:val="17324D"/>
      <w:sz w:val="36"/>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Clear Sans" w:hAnsi="Clear Sans" w:eastAsia="Clear Sans"/>
      <w:b/>
      <w:bCs/>
      <w:color w:val="2F6B96"/>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lear Sans" w:hAnsi="Clear Sans" w:eastAsia="Clear Sans"/>
      <w:b/>
      <w:bCs/>
      <w:color w:val="17324D"/>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240" w:line="240" w:lineRule="auto" w:before="0"/>
      <w:contextualSpacing/>
    </w:pPr>
    <w:rPr>
      <w:rFonts w:asciiTheme="majorHAnsi" w:eastAsiaTheme="majorEastAsia" w:hAnsiTheme="majorHAnsi" w:cstheme="majorBidi" w:ascii="Clear Sans" w:hAnsi="Clear Sans" w:eastAsia="Clear Sans"/>
      <w:b/>
      <w:color w:val="17324D"/>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00"/>
    </w:pPr>
    <w:rPr>
      <w:rFonts w:asciiTheme="majorHAnsi" w:eastAsiaTheme="majorEastAsia" w:hAnsiTheme="majorHAnsi" w:cstheme="majorBidi" w:ascii="Clear Sans" w:hAnsi="Clear Sans" w:eastAsia="Clear Sans"/>
      <w:b w:val="0"/>
      <w:i/>
      <w:iCs/>
      <w:color w:val="5B6570"/>
      <w:spacing w:val="15"/>
      <w:sz w:val="28"/>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before="60" w:after="140"/>
    </w:pPr>
    <w:rPr>
      <w:rFonts w:ascii="Carlito" w:hAnsi="Carlito" w:eastAsia="Carlito"/>
      <w:b/>
      <w:bCs/>
      <w:i w:val="0"/>
      <w:color w:val="5B6570"/>
      <w:sz w:val="16"/>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 Campus Student Housing - Executive Analytical Memo</dc:title>
  <dc:subject/>
  <dc:creator>OpenAI</dc:creator>
  <cp:keywords>UT Austin, West Campus, student housing, property model, ownership, financing</cp:keywords>
  <dc:description>generated by python-docx</dc:description>
  <cp:lastModifiedBy/>
  <cp:revision>1</cp:revision>
  <dcterms:created xsi:type="dcterms:W3CDTF">2013-12-23T23:15:00Z</dcterms:created>
  <dcterms:modified xsi:type="dcterms:W3CDTF">2013-12-23T23:15:00Z</dcterms:modified>
  <cp:category/>
</cp:coreProperties>
</file>