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240"/>
      </w:pPr>
      <w:r>
        <w:rPr>
          <w:rFonts w:ascii="Clear Sans" w:hAnsi="Clear Sans"/>
          <w:b/>
          <w:color w:val="D6A84B"/>
          <w:sz w:val="18"/>
        </w:rPr>
        <w:t>SUPPORTING ANALYTICAL PACKAGE</w:t>
      </w:r>
    </w:p>
    <w:p>
      <w:pPr>
        <w:pStyle w:val="Title"/>
        <w:spacing w:after="160"/>
      </w:pPr>
      <w:r>
        <w:t>West Campus Property Dossiers</w:t>
      </w:r>
    </w:p>
    <w:p>
      <w:pPr>
        <w:pStyle w:val="Subtitle"/>
        <w:spacing w:after="480"/>
      </w:pPr>
      <w:r>
        <w:t>Methodology, claims-and-evidence matrix, source ledger and research gaps</w:t>
      </w:r>
    </w:p>
    <w:tbl>
      <w:tblPr>
        <w:tblW w:type="auto" w:w="0"/>
        <w:jc w:val="left"/>
        <w:tblLayout w:type="fixed"/>
        <w:tblLook w:firstColumn="1" w:firstRow="1" w:lastColumn="0" w:lastRow="0" w:noHBand="0" w:noVBand="1" w:val="04A0"/>
      </w:tblPr>
      <w:tblGrid>
        <w:gridCol w:w="9792"/>
      </w:tblGrid>
      <w:tr>
        <w:trPr>
          <w:trHeight w:val="60"/>
        </w:trPr>
        <w:tc>
          <w:tcPr>
            <w:tcW w:type="dxa" w:w="10080"/>
            <w:shd w:fill="17324D"/>
          </w:tcPr>
          <w:p>
            <w:r/>
          </w:p>
        </w:tc>
      </w:tr>
    </w:tbl>
    <w:p>
      <w:pPr>
        <w:spacing w:before="480"/>
      </w:pPr>
      <w:r>
        <w:rPr>
          <w:rFonts w:ascii="Clear Sans" w:hAnsi="Clear Sans"/>
          <w:b/>
          <w:color w:val="17324D"/>
          <w:sz w:val="24"/>
        </w:rPr>
        <w:t>Property-level investigation and financial model</w:t>
      </w:r>
    </w:p>
    <w:p>
      <w:pPr>
        <w:keepNext/>
        <w:spacing w:before="80"/>
      </w:pPr>
      <w:r>
        <w:rPr>
          <w:b/>
        </w:rPr>
        <w:t xml:space="preserve">Primary record: </w:t>
      </w:r>
      <w:r>
        <w:t xml:space="preserve">two completed evidence memoranda, underlying source ledger, and a six-property normalized cash-flow model. </w:t>
      </w:r>
      <w:r>
        <w:rPr>
          <w:i/>
        </w:rPr>
        <w:t>As of July 2026.</w:t>
      </w:r>
    </w:p>
    <w:p>
      <w:pPr>
        <w:spacing w:before="2400"/>
      </w:pPr>
      <w:r>
        <w:rPr>
          <w:rFonts w:ascii="Carlito" w:hAnsi="Carlito"/>
          <w:color w:val="5B6570"/>
          <w:sz w:val="20"/>
        </w:rPr>
        <w:t>July 2026</w:t>
      </w:r>
    </w:p>
    <w:p>
      <w:r>
        <w:br w:type="page"/>
      </w:r>
    </w:p>
    <w:p>
      <w:pPr>
        <w:pStyle w:val="Heading1"/>
      </w:pPr>
      <w:r>
        <w:t>Supporting package</w:t>
      </w:r>
    </w:p>
    <w:p>
      <w:pPr>
        <w:spacing w:after="40"/>
      </w:pPr>
      <w:r>
        <w:rPr>
          <w:b/>
          <w:color w:val="D6A84B"/>
        </w:rPr>
        <w:t xml:space="preserve">01  </w:t>
      </w:r>
      <w:r>
        <w:t>Property dossiers</w:t>
      </w:r>
    </w:p>
    <w:p>
      <w:pPr>
        <w:spacing w:after="40"/>
      </w:pPr>
      <w:r>
        <w:rPr>
          <w:b/>
          <w:color w:val="D6A84B"/>
        </w:rPr>
        <w:t xml:space="preserve">02  </w:t>
      </w:r>
      <w:r>
        <w:t>Methodology appendix</w:t>
      </w:r>
    </w:p>
    <w:p>
      <w:pPr>
        <w:spacing w:after="40"/>
      </w:pPr>
      <w:r>
        <w:rPr>
          <w:b/>
          <w:color w:val="D6A84B"/>
        </w:rPr>
        <w:t xml:space="preserve">03  </w:t>
      </w:r>
      <w:r>
        <w:t>Claims and evidence matrix</w:t>
      </w:r>
    </w:p>
    <w:p>
      <w:pPr>
        <w:spacing w:after="40"/>
      </w:pPr>
      <w:r>
        <w:rPr>
          <w:b/>
          <w:color w:val="D6A84B"/>
        </w:rPr>
        <w:t xml:space="preserve">04  </w:t>
      </w:r>
      <w:r>
        <w:t>Source ledger</w:t>
      </w:r>
    </w:p>
    <w:p>
      <w:pPr>
        <w:spacing w:after="40"/>
      </w:pPr>
      <w:r>
        <w:rPr>
          <w:b/>
          <w:color w:val="D6A84B"/>
        </w:rPr>
        <w:t xml:space="preserve">05  </w:t>
      </w:r>
      <w:r>
        <w:t>Research gaps and interview targets</w:t>
      </w:r>
    </w:p>
    <w:p>
      <w:r>
        <w:br w:type="page"/>
      </w:r>
    </w:p>
    <w:p>
      <w:pPr>
        <w:pStyle w:val="Heading1"/>
      </w:pPr>
      <w:r>
        <w:t>Property dossiers</w:t>
      </w:r>
    </w:p>
    <w:p>
      <w:pPr>
        <w:spacing w:after="200"/>
      </w:pPr>
      <w:r>
        <w:t>Each dossier separates reported facts from normalized model outputs. Current debt is actual only for SkyLoft’s disclosed 2019 whole loan; other debt cases are illustrative until lender or county records establish the live stack.</w:t>
      </w:r>
    </w:p>
    <w:p>
      <w:pPr>
        <w:pStyle w:val="Heading1"/>
      </w:pPr>
      <w:r>
        <w:t>SkyLoft</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507 W 23rd St</w:t>
            </w:r>
          </w:p>
          <w:p>
            <w:pPr>
              <w:spacing w:after="0"/>
            </w:pPr>
            <w:r>
              <w:rPr>
                <w:rFonts w:ascii="Carlito" w:hAnsi="Carlito"/>
                <w:sz w:val="19"/>
              </w:rPr>
              <w:t>212 units | 674 beds | built 2018 | NP Skyloft, DST at 2019 origination; current control unresolved | manager: SkyLoft brand; master tenant NP Skyloft Leaseco, LLC at origination</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674 beds; Studio to 5BR; 2019 rent roll weighted toward 3BR/4BR beds; parking not confirmed; retail 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12 installments; Aug. 20, 2026-Jul. 31, 2027 current cycle</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$1,330/bed/installment; effective $1,188; economic occupancy 89.3%</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$10.35m; revenue/bed $15,351; other income 7.2%</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$6,277/bed before reserve; replacement reserve $202,200.00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$6.12m; $9,074/bed; margin 59.1%; break-even occupancy 34.3%</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$119.5m / central $124.4m / high $129.2m. Actual purchase price $119.55m; central basis includes disclosed reserves and closing costs.</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$76.4m / central $87.4m / high $94.1m; central $129,631/bed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$66.1m at 4.45%; Actual 2019 whole loan; 120-month interest-only; preferred $35.0m</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2.08x; debt yield 9.2%; LTV 75.7%; common cash flow $171,198.31</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4.5%; common levered IRR -10.3%; equity multiple 0.45x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$3.94m; DSCR 1.87x; value $50.9m; equity $-12.1m; refi paydown $38.1m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Property cash flow, then common equity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EP-OP-001; EP-OWN-001; S04; S05; S21</w:t>
            </w:r>
          </w:p>
        </w:tc>
      </w:tr>
    </w:tbl>
    <w:p>
      <w:pPr>
        <w:spacing w:after="20"/>
      </w:pPr>
    </w:p>
    <w:p>
      <w:pPr>
        <w:pStyle w:val="Heading2"/>
      </w:pPr>
      <w:r>
        <w:t>Evidence reading</w:t>
      </w:r>
    </w:p>
    <w:p>
      <w:pPr>
        <w:keepLines w:val="0"/>
        <w:spacing w:after="100"/>
        <w:ind w:firstLine="0"/>
      </w:pPr>
      <w:r>
        <w:t>The operating statement and 2019 capital stack are the strongest in the sample. The latest located surveillance reports special servicing and 42% occupancy as of March 2025. Current control, preferred enforcement and any later workout remain unresolved. Model value covers the mortgage in the base case but not mortgage plus preferred principal; combined stress reaches the subordinate mortgage.</w:t>
      </w:r>
    </w:p>
    <w:p>
      <w:pPr>
        <w:pStyle w:val="Heading2"/>
      </w:pPr>
      <w:r>
        <w:t>Open items</w:t>
      </w:r>
    </w:p>
    <w:p>
      <w:pPr>
        <w:pStyle w:val="ListBullet"/>
        <w:spacing w:after="40"/>
      </w:pPr>
      <w:r>
        <w:t>Current borrower/control and special-servicer resolution</w:t>
      </w:r>
    </w:p>
    <w:p>
      <w:pPr>
        <w:pStyle w:val="ListBullet"/>
        <w:spacing w:after="40"/>
      </w:pPr>
      <w:r>
        <w:t>Whether preferred control or loan-purchase rights were exercised</w:t>
      </w:r>
    </w:p>
    <w:p>
      <w:pPr>
        <w:pStyle w:val="ListBullet"/>
        <w:spacing w:after="40"/>
      </w:pPr>
      <w:r>
        <w:t>Current occupancy, executed rents and reserve draws</w:t>
      </w:r>
    </w:p>
    <w:p>
      <w:r>
        <w:br w:type="page"/>
      </w:r>
    </w:p>
    <w:p>
      <w:pPr>
        <w:pStyle w:val="Heading1"/>
      </w:pPr>
      <w:r>
        <w:t>2400 Nueces</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2400 Nueces St</w:t>
            </w:r>
          </w:p>
          <w:p>
            <w:pPr>
              <w:spacing w:after="0"/>
            </w:pPr>
            <w:r>
              <w:rPr>
                <w:rFonts w:ascii="Carlito" w:hAnsi="Carlito"/>
                <w:sz w:val="19"/>
              </w:rPr>
              <w:t>304 units | 622 beds | built 2013 | Board of Regents of The University of Texas System | manager: UT University Housing and Dining</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622 beds; Studios, 1BR, 2BR, 3BR and 4BR; per-person university rates; parking 560; retail 20,560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9- or 12-month contracts; model uses 12-month weighted case</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$1,250/bed/installment; effective $1,216; economic occupancy 97.2%</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$9.48m; revenue/bed $15,245; other income 4.3%</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$6,342/bed before reserve; replacement reserve $217,700.00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$5.54m; $8,903/bed; margin 58.4%; break-even occupancy 40.2%</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$70.0m / central $74.8m / high $80.0m. Actual 2018 UT System purchase price; original 2013 development cost reported at $63.9m.</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$96.3m / central $105.5m / high $116.6m; central $169,584/bed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$42.0m at 4.25%; Illustrative current RFS-bond allocation; actual project balance not public; preferred $0.0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2.23x; debt yield 13.2%; LTV 39.8%; common cash flow $2.84m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11.8%; common levered IRR 17.6%; equity multiple 3.83x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$3.74m; DSCR 1.48x; value $62.3m; equity $28.0m; refi paydown $7.8m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Project rental-income cushion, then UT System support</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EP-OP-001; EP-OWN-001; S06; S07; S08</w:t>
            </w:r>
          </w:p>
        </w:tc>
      </w:tr>
    </w:tbl>
    <w:p>
      <w:pPr>
        <w:spacing w:after="20"/>
      </w:pPr>
    </w:p>
    <w:p>
      <w:pPr>
        <w:pStyle w:val="Heading2"/>
      </w:pPr>
      <w:r>
        <w:t>Evidence reading</w:t>
      </w:r>
    </w:p>
    <w:p>
      <w:pPr>
        <w:keepLines w:val="0"/>
        <w:spacing w:after="100"/>
        <w:ind w:firstLine="0"/>
      </w:pPr>
      <w:r>
        <w:t>The purchase price and ground-lease takeout are primary-record facts. The university’s tax treatment, lease flexibility and utility inclusion make the asset a useful student-cost control and a poor direct private-owner return comparable. Modeled debt and IRR depend on an illustrative RFS allocation.</w:t>
      </w:r>
    </w:p>
    <w:p>
      <w:pPr>
        <w:pStyle w:val="Heading2"/>
      </w:pPr>
      <w:r>
        <w:t>Open items</w:t>
      </w:r>
    </w:p>
    <w:p>
      <w:pPr>
        <w:pStyle w:val="ListBullet"/>
        <w:spacing w:after="40"/>
      </w:pPr>
      <w:r>
        <w:t>Ground-lease memorandum and 2018 option mechanics</w:t>
      </w:r>
    </w:p>
    <w:p>
      <w:pPr>
        <w:pStyle w:val="ListBullet"/>
        <w:spacing w:after="40"/>
      </w:pPr>
      <w:r>
        <w:t>Actual asset-level RFS bond allocation and outstanding balance</w:t>
      </w:r>
    </w:p>
    <w:p>
      <w:pPr>
        <w:pStyle w:val="ListBullet"/>
        <w:spacing w:after="40"/>
      </w:pPr>
      <w:r>
        <w:t>Reconciled 600-versus-622 bed count</w:t>
      </w:r>
    </w:p>
    <w:p>
      <w:r>
        <w:br w:type="page"/>
      </w:r>
    </w:p>
    <w:p>
      <w:pPr>
        <w:pStyle w:val="Heading1"/>
      </w:pPr>
      <w:r>
        <w:t>Waterloo</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2400 Seton Ave</w:t>
            </w:r>
          </w:p>
          <w:p>
            <w:pPr>
              <w:spacing w:after="0"/>
            </w:pPr>
            <w:r>
              <w:rPr>
                <w:rFonts w:ascii="Carlito" w:hAnsi="Carlito"/>
                <w:sz w:val="19"/>
              </w:rPr>
              <w:t>241 units | 796 beds | built 2022 | Global Student Accommodation | manager: Yugo Austin Waterloo</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796 beds; Primarily 4BR-6BR beds plus smaller private layouts; parking 101; retail 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Individual 12-installment student leases; model uses 12 months</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$1,500/bed/installment; effective $1,393; economic occupancy 92.9%</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$13.99m; revenue/bed $17,570; other income 4.9%</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$6,771/bed before reserve; replacement reserve $238,800.00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$8.60m; $10,799/bed; margin 61.5%; break-even occupancy 34.5%</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$140.0m / central $160.0m / high $180.0m. Sale price not disclosed; range triangulates cap-rate, price-per-bed and development-cost methods.</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$143.3m / central $156.3m / high $171.9m; central $196,349/bed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$88.0m at 6.75%; Illustrative current leverage; actual GSA debt not public; preferred $0.0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1.26x; debt yield 9.8%; LTV 56.3%; common cash flow $1.51m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7.5%; common levered IRR 8.3%; equity multiple 2.07x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$5.69m; DSCR 1.30x; value $91.1m; equity $44.7m; refi paydown $41.6m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Property cash flow, then common equity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EP-OWN-001; S09; S10; S22; S24</w:t>
            </w:r>
          </w:p>
        </w:tc>
      </w:tr>
    </w:tbl>
    <w:p>
      <w:pPr>
        <w:spacing w:after="20"/>
      </w:pPr>
    </w:p>
    <w:p>
      <w:pPr>
        <w:pStyle w:val="Heading2"/>
      </w:pPr>
      <w:r>
        <w:t>Evidence reading</w:t>
      </w:r>
    </w:p>
    <w:p>
      <w:pPr>
        <w:keepLines w:val="0"/>
        <w:spacing w:after="100"/>
        <w:ind w:firstLine="0"/>
      </w:pPr>
      <w:r>
        <w:t>Waterloo is the best entitlement-and-development case. Site, bed count, affordable set-aside, timeline, buyer and a reported $76.3 million construction loan are established. Land basis, total cost and sale price are not. The model therefore shows a range and a thin central development spread rather than a single profit claim.</w:t>
      </w:r>
    </w:p>
    <w:p>
      <w:pPr>
        <w:pStyle w:val="Heading2"/>
      </w:pPr>
      <w:r>
        <w:t>Open items</w:t>
      </w:r>
    </w:p>
    <w:p>
      <w:pPr>
        <w:pStyle w:val="ListBullet"/>
        <w:spacing w:after="40"/>
      </w:pPr>
      <w:r>
        <w:t>Actual land basis, total development cost and sale price</w:t>
      </w:r>
    </w:p>
    <w:p>
      <w:pPr>
        <w:pStyle w:val="ListBullet"/>
        <w:spacing w:after="40"/>
      </w:pPr>
      <w:r>
        <w:t>Current GSA debt, rate and maturity</w:t>
      </w:r>
    </w:p>
    <w:p>
      <w:pPr>
        <w:pStyle w:val="ListBullet"/>
        <w:spacing w:after="40"/>
      </w:pPr>
      <w:r>
        <w:t>Recorded affordability covenant and entitlement file</w:t>
      </w:r>
    </w:p>
    <w:p>
      <w:r>
        <w:br w:type="page"/>
      </w:r>
    </w:p>
    <w:p>
      <w:pPr>
        <w:pStyle w:val="Heading1"/>
      </w:pPr>
      <w:r>
        <w:t>The Standard</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715 W 23rd St</w:t>
            </w:r>
          </w:p>
          <w:p>
            <w:pPr>
              <w:spacing w:after="0"/>
            </w:pPr>
            <w:r>
              <w:rPr>
                <w:rFonts w:ascii="Carlito" w:hAnsi="Carlito"/>
                <w:sz w:val="19"/>
              </w:rPr>
              <w:t>287 units | 934 beds | built 2021 | Landmark Properties (retained ownership in 2023 recap) | manager: Landmark Properties</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934 beds; Studios through 6BR; 934-bed transaction count selected; parking not confirmed; retail 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Individual 12-installment student leases</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$1,525/bed/installment; effective $1,299; economic occupancy 85.2%</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$15.44m; revenue/bed $16,535; other income 5.7%</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$6,481/bed before reserve; replacement reserve $280,200.00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$9.39m; $10,054/bed; margin 60.8%; break-even occupancy 31.9%</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$144.4m / central $155.5m / high $168.5m. Range implied by $101.1m construction loan at 60%-70% LTC; current recap amount not disclosed.</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$150.2m / central $163.3m / high $178.9m; central $174,849/bed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$95.0m at 6.75%; Illustrative current recap balance; 2018 construction loan was $101.1m; preferred $0.0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1.27x; debt yield 9.9%; LTV 58.2%; common cash flow $1.72m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8.7%; common levered IRR 10.6%; equity multiple 2.44x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$5.97m; DSCR 1.30x; value $91.9m; equity $43.2m; refi paydown $46.3m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Property cash flow, then common equity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EP-OWN-001; S11; S19</w:t>
            </w:r>
          </w:p>
        </w:tc>
      </w:tr>
    </w:tbl>
    <w:p>
      <w:pPr>
        <w:spacing w:after="20"/>
      </w:pPr>
    </w:p>
    <w:p>
      <w:pPr>
        <w:pStyle w:val="Heading2"/>
      </w:pPr>
      <w:r>
        <w:t>Evidence reading</w:t>
      </w:r>
    </w:p>
    <w:p>
      <w:pPr>
        <w:keepLines w:val="0"/>
        <w:spacing w:after="100"/>
        <w:ind w:firstLine="0"/>
      </w:pPr>
      <w:r>
        <w:t>Landmark ownership and the 2018 construction loan are established; current recap debt is not. The model shows a high-margin property whose illustrative current debt sits near a 1.30x refinancing constraint. The risk finding is conditional on the debt assumption.</w:t>
      </w:r>
    </w:p>
    <w:p>
      <w:pPr>
        <w:pStyle w:val="Heading2"/>
      </w:pPr>
      <w:r>
        <w:t>Open items</w:t>
      </w:r>
    </w:p>
    <w:p>
      <w:pPr>
        <w:pStyle w:val="ListBullet"/>
        <w:spacing w:after="40"/>
      </w:pPr>
      <w:r>
        <w:t>Current recap balance, lender, rate and maturity</w:t>
      </w:r>
    </w:p>
    <w:p>
      <w:pPr>
        <w:pStyle w:val="ListBullet"/>
        <w:spacing w:after="40"/>
      </w:pPr>
      <w:r>
        <w:t>Parcel-owning LLC and reconciled bed count</w:t>
      </w:r>
    </w:p>
    <w:p>
      <w:pPr>
        <w:pStyle w:val="ListBullet"/>
        <w:spacing w:after="40"/>
      </w:pPr>
      <w:r>
        <w:t>Property-wide executed concessions and SMART Housing mix</w:t>
      </w:r>
    </w:p>
    <w:p>
      <w:r>
        <w:br w:type="page"/>
      </w:r>
    </w:p>
    <w:p>
      <w:pPr>
        <w:pStyle w:val="Heading1"/>
      </w:pPr>
      <w:r>
        <w:t>Callaway</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505 W 22nd St</w:t>
            </w:r>
          </w:p>
          <w:p>
            <w:pPr>
              <w:spacing w:after="0"/>
            </w:pPr>
            <w:r>
              <w:rPr>
                <w:rFonts w:ascii="Carlito" w:hAnsi="Carlito"/>
                <w:sz w:val="19"/>
              </w:rPr>
              <w:t>219 units | 753 beds | built 2013 | American Campus Communities / Blackstone platform | manager: American Campus Communities</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753 beds; Private-dorm suites; shared/private bedrooms with meal plan; parking not confirmed; retail 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About 9.5 months of occupancy, billed in 10 installments</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$2,450/bed/installment; effective $2,305; economic occupancy 94.1%</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$17.74m; revenue/bed $23,552; other income 2.1%</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$12,725/bed before reserve; replacement reserve $225,900.00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$8.15m; $10,827/bed; margin 46.0%; break-even occupancy 51.1%</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$110.0m / central $125.0m / high $145.0m. Basis not public; range triangulates disclosed revenue, modeled NOI and price-per-bed controls.</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$135.9m / central $148.2m / high $163.1m; central $196,861/bed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$62.5m at 6.25%; Illustrative asset leverage; ACC/Blackstone property-level debt not public; preferred $0.0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1.77x; debt yield 13.0%; LTV 42.2%; common cash flow $3.31m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10.2%; common levered IRR 13.0%; equity multiple 2.86x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$4.24m; DSCR 1.30x; value $67.9m; equity $31.7m; refi paydown $26.3m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Property cash flow, then common equity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EP-OP-001; EP-OWN-001; S03; S12; S13; S20</w:t>
            </w:r>
          </w:p>
        </w:tc>
      </w:tr>
    </w:tbl>
    <w:p>
      <w:pPr>
        <w:spacing w:after="20"/>
      </w:pPr>
    </w:p>
    <w:p>
      <w:pPr>
        <w:pStyle w:val="Heading2"/>
      </w:pPr>
      <w:r>
        <w:t>Evidence reading</w:t>
      </w:r>
    </w:p>
    <w:p>
      <w:pPr>
        <w:keepLines w:val="0"/>
        <w:spacing w:after="100"/>
        <w:ind w:firstLine="0"/>
      </w:pPr>
      <w:r>
        <w:t>Callaway demonstrates that a high student price can fund a costly service package rather than a superior margin. Its guarantor and installment structure create collection support and post-signing lock-in. Basis and asset-level debt remain the principal return gaps.</w:t>
      </w:r>
    </w:p>
    <w:p>
      <w:pPr>
        <w:pStyle w:val="Heading2"/>
      </w:pPr>
      <w:r>
        <w:t>Open items</w:t>
      </w:r>
    </w:p>
    <w:p>
      <w:pPr>
        <w:pStyle w:val="ListBullet"/>
        <w:spacing w:after="40"/>
      </w:pPr>
      <w:r>
        <w:t>Acquisition basis and asset-level debt</w:t>
      </w:r>
    </w:p>
    <w:p>
      <w:pPr>
        <w:pStyle w:val="ListBullet"/>
        <w:spacing w:after="40"/>
      </w:pPr>
      <w:r>
        <w:t>Current parking, insurance and one-time fee schedule</w:t>
      </w:r>
    </w:p>
    <w:p>
      <w:pPr>
        <w:pStyle w:val="ListBullet"/>
        <w:spacing w:after="40"/>
      </w:pPr>
      <w:r>
        <w:t>Measured bad-debt performance under guarantor policy</w:t>
      </w:r>
    </w:p>
    <w:p>
      <w:r>
        <w:br w:type="page"/>
      </w:r>
    </w:p>
    <w:p>
      <w:pPr>
        <w:pStyle w:val="Heading1"/>
      </w:pPr>
      <w:r>
        <w:t>26 West</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600 W 26th St</w:t>
            </w:r>
          </w:p>
          <w:p>
            <w:pPr>
              <w:spacing w:after="0"/>
            </w:pPr>
            <w:r>
              <w:rPr>
                <w:rFonts w:ascii="Carlito" w:hAnsi="Carlito"/>
                <w:sz w:val="19"/>
              </w:rPr>
              <w:t>367 units | 1,026 beds | built 2008 | American Campus Communities / Blackstone platform | manager: American Campus Communities</w:t>
            </w:r>
          </w:p>
        </w:tc>
      </w:tr>
    </w:tbl>
    <w:p>
      <w:pPr>
        <w:spacing w:after="0"/>
      </w:pPr>
    </w:p>
    <w:tbl>
      <w:tblPr>
        <w:tblStyle w:val="TableGrid"/>
        <w:tblW w:type="auto" w:w="0"/>
        <w:jc w:val="center"/>
        <w:tblLayout w:type="fixed"/>
        <w:tblLook w:firstColumn="1" w:firstRow="1" w:lastColumn="0" w:lastRow="0" w:noHBand="0" w:noVBand="1" w:val="04A0"/>
      </w:tblPr>
      <w:tblGrid>
        <w:gridCol w:w="1728"/>
        <w:gridCol w:w="7776"/>
      </w:tblGrid>
      <w:tr>
        <w:trPr>
          <w:tblHeader w:val="true"/>
        </w:trPr>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Item</w:t>
            </w:r>
          </w:p>
        </w:tc>
        <w:tc>
          <w:tcPr>
            <w:tcW w:type="dxa" w:w="5040"/>
            <w:shd w:fill="17324D"/>
            <w:tcMar>
              <w:top w:w="70" w:type="dxa"/>
              <w:start w:w="70" w:type="dxa"/>
              <w:bottom w:w="70" w:type="dxa"/>
              <w:end w:w="70" w:type="dxa"/>
            </w:tcMar>
            <w:vAlign w:val="center"/>
          </w:tcPr>
          <w:p>
            <w:pPr>
              <w:jc w:val="left"/>
            </w:pPr>
            <w:r>
              <w:rPr>
                <w:rFonts w:ascii="Clear Sans" w:hAnsi="Clear Sans"/>
                <w:b/>
                <w:color w:val="FFFFFF"/>
                <w:sz w:val="15"/>
              </w:rPr>
              <w:t>Dossier</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Physical</w:t>
            </w:r>
          </w:p>
        </w:tc>
        <w:tc>
          <w:tcPr>
            <w:tcW w:type="dxa" w:w="7776"/>
            <w:tcMar>
              <w:top w:w="55" w:type="dxa"/>
              <w:start w:w="65" w:type="dxa"/>
              <w:bottom w:w="55" w:type="dxa"/>
              <w:end w:w="65" w:type="dxa"/>
            </w:tcMar>
            <w:vAlign w:val="top"/>
          </w:tcPr>
          <w:p>
            <w:pPr>
              <w:spacing w:after="0"/>
            </w:pPr>
            <w:r>
              <w:rPr>
                <w:rFonts w:ascii="Carlito" w:hAnsi="Carlito"/>
                <w:sz w:val="15"/>
              </w:rPr>
              <w:t>1,026 beds; 2BR-4BR purpose-built student apartments; parking 1000; retail 0 sf</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Lease</w:t>
            </w:r>
          </w:p>
        </w:tc>
        <w:tc>
          <w:tcPr>
            <w:tcW w:type="dxa" w:w="7776"/>
            <w:shd w:fill="F3F5F7"/>
            <w:tcMar>
              <w:top w:w="55" w:type="dxa"/>
              <w:start w:w="65" w:type="dxa"/>
              <w:bottom w:w="55" w:type="dxa"/>
              <w:end w:w="65" w:type="dxa"/>
            </w:tcMar>
            <w:vAlign w:val="top"/>
          </w:tcPr>
          <w:p>
            <w:pPr>
              <w:spacing w:after="0"/>
            </w:pPr>
            <w:r>
              <w:rPr>
                <w:rFonts w:ascii="Carlito" w:hAnsi="Carlito"/>
                <w:sz w:val="15"/>
              </w:rPr>
              <w:t>Individual 12-installment student leases</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Normalized rent</w:t>
            </w:r>
          </w:p>
        </w:tc>
        <w:tc>
          <w:tcPr>
            <w:tcW w:type="dxa" w:w="7776"/>
            <w:tcMar>
              <w:top w:w="55" w:type="dxa"/>
              <w:start w:w="65" w:type="dxa"/>
              <w:bottom w:w="55" w:type="dxa"/>
              <w:end w:w="65" w:type="dxa"/>
            </w:tcMar>
            <w:vAlign w:val="top"/>
          </w:tcPr>
          <w:p>
            <w:pPr>
              <w:spacing w:after="0"/>
            </w:pPr>
            <w:r>
              <w:rPr>
                <w:rFonts w:ascii="Carlito" w:hAnsi="Carlito"/>
                <w:sz w:val="15"/>
              </w:rPr>
              <w:t>Face $1,400/bed/installment; effective $1,342; economic occupancy 95.9%</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Revenue</w:t>
            </w:r>
          </w:p>
        </w:tc>
        <w:tc>
          <w:tcPr>
            <w:tcW w:type="dxa" w:w="7776"/>
            <w:shd w:fill="F3F5F7"/>
            <w:tcMar>
              <w:top w:w="55" w:type="dxa"/>
              <w:start w:w="65" w:type="dxa"/>
              <w:bottom w:w="55" w:type="dxa"/>
              <w:end w:w="65" w:type="dxa"/>
            </w:tcMar>
            <w:vAlign w:val="top"/>
          </w:tcPr>
          <w:p>
            <w:pPr>
              <w:spacing w:after="0"/>
            </w:pPr>
            <w:r>
              <w:rPr>
                <w:rFonts w:ascii="Carlito" w:hAnsi="Carlito"/>
                <w:sz w:val="15"/>
              </w:rPr>
              <w:t>EGI $17.24m; revenue/bed $16,806; other income 4.2%</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Expenses</w:t>
            </w:r>
          </w:p>
        </w:tc>
        <w:tc>
          <w:tcPr>
            <w:tcW w:type="dxa" w:w="7776"/>
            <w:tcMar>
              <w:top w:w="55" w:type="dxa"/>
              <w:start w:w="65" w:type="dxa"/>
              <w:bottom w:w="55" w:type="dxa"/>
              <w:end w:w="65" w:type="dxa"/>
            </w:tcMar>
            <w:vAlign w:val="top"/>
          </w:tcPr>
          <w:p>
            <w:pPr>
              <w:spacing w:after="0"/>
            </w:pPr>
            <w:r>
              <w:rPr>
                <w:rFonts w:ascii="Carlito" w:hAnsi="Carlito"/>
                <w:sz w:val="15"/>
              </w:rPr>
              <w:t>$6,479/bed before reserve; replacement reserve $307,800.00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NOI</w:t>
            </w:r>
          </w:p>
        </w:tc>
        <w:tc>
          <w:tcPr>
            <w:tcW w:type="dxa" w:w="7776"/>
            <w:shd w:fill="F3F5F7"/>
            <w:tcMar>
              <w:top w:w="55" w:type="dxa"/>
              <w:start w:w="65" w:type="dxa"/>
              <w:bottom w:w="55" w:type="dxa"/>
              <w:end w:w="65" w:type="dxa"/>
            </w:tcMar>
            <w:vAlign w:val="top"/>
          </w:tcPr>
          <w:p>
            <w:pPr>
              <w:spacing w:after="0"/>
            </w:pPr>
            <w:r>
              <w:rPr>
                <w:rFonts w:ascii="Carlito" w:hAnsi="Carlito"/>
                <w:sz w:val="15"/>
              </w:rPr>
              <w:t>$10.60m; $10,327/bed; margin 61.4%; break-even occupancy 36.2%</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Basis</w:t>
            </w:r>
          </w:p>
        </w:tc>
        <w:tc>
          <w:tcPr>
            <w:tcW w:type="dxa" w:w="7776"/>
            <w:tcMar>
              <w:top w:w="55" w:type="dxa"/>
              <w:start w:w="65" w:type="dxa"/>
              <w:bottom w:w="55" w:type="dxa"/>
              <w:end w:w="65" w:type="dxa"/>
            </w:tcMar>
            <w:vAlign w:val="top"/>
          </w:tcPr>
          <w:p>
            <w:pPr>
              <w:spacing w:after="0"/>
            </w:pPr>
            <w:r>
              <w:rPr>
                <w:rFonts w:ascii="Carlito" w:hAnsi="Carlito"/>
                <w:sz w:val="15"/>
              </w:rPr>
              <w:t>Low $82.0m / central $86.2m / high $92.0m. Actual December 2011 purchase price was $86.2m; range allows transaction/initial-capex uncertainty.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Value</w:t>
            </w:r>
          </w:p>
        </w:tc>
        <w:tc>
          <w:tcPr>
            <w:tcW w:type="dxa" w:w="7776"/>
            <w:shd w:fill="F3F5F7"/>
            <w:tcMar>
              <w:top w:w="55" w:type="dxa"/>
              <w:start w:w="65" w:type="dxa"/>
              <w:bottom w:w="55" w:type="dxa"/>
              <w:end w:w="65" w:type="dxa"/>
            </w:tcMar>
            <w:vAlign w:val="top"/>
          </w:tcPr>
          <w:p>
            <w:pPr>
              <w:spacing w:after="0"/>
            </w:pPr>
            <w:r>
              <w:rPr>
                <w:rFonts w:ascii="Carlito" w:hAnsi="Carlito"/>
                <w:sz w:val="15"/>
              </w:rPr>
              <w:t>Low $163.0m / central $176.6m / high $192.6m; central $172,119/bed</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Capital</w:t>
            </w:r>
          </w:p>
        </w:tc>
        <w:tc>
          <w:tcPr>
            <w:tcW w:type="dxa" w:w="7776"/>
            <w:tcMar>
              <w:top w:w="55" w:type="dxa"/>
              <w:start w:w="65" w:type="dxa"/>
              <w:bottom w:w="55" w:type="dxa"/>
              <w:end w:w="65" w:type="dxa"/>
            </w:tcMar>
            <w:vAlign w:val="top"/>
          </w:tcPr>
          <w:p>
            <w:pPr>
              <w:spacing w:after="0"/>
            </w:pPr>
            <w:r>
              <w:rPr>
                <w:rFonts w:ascii="Carlito" w:hAnsi="Carlito"/>
                <w:sz w:val="15"/>
              </w:rPr>
              <w:t>Debt $38.8m at 6.25%; Illustrative asset leverage; current ACC/Blackstone debt not public; preferred $0.0</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Base metrics</w:t>
            </w:r>
          </w:p>
        </w:tc>
        <w:tc>
          <w:tcPr>
            <w:tcW w:type="dxa" w:w="7776"/>
            <w:shd w:fill="F3F5F7"/>
            <w:tcMar>
              <w:top w:w="55" w:type="dxa"/>
              <w:start w:w="65" w:type="dxa"/>
              <w:bottom w:w="55" w:type="dxa"/>
              <w:end w:w="65" w:type="dxa"/>
            </w:tcMar>
            <w:vAlign w:val="top"/>
          </w:tcPr>
          <w:p>
            <w:pPr>
              <w:spacing w:after="0"/>
            </w:pPr>
            <w:r>
              <w:rPr>
                <w:rFonts w:ascii="Carlito" w:hAnsi="Carlito"/>
                <w:sz w:val="15"/>
              </w:rPr>
              <w:t>DSCR 3.70x; debt yield 27.3%; LTV 22.0%; common cash flow $7.42m</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Return</w:t>
            </w:r>
          </w:p>
        </w:tc>
        <w:tc>
          <w:tcPr>
            <w:tcW w:type="dxa" w:w="7776"/>
            <w:tcMar>
              <w:top w:w="55" w:type="dxa"/>
              <w:start w:w="65" w:type="dxa"/>
              <w:bottom w:w="55" w:type="dxa"/>
              <w:end w:w="65" w:type="dxa"/>
            </w:tcMar>
            <w:vAlign w:val="top"/>
          </w:tcPr>
          <w:p>
            <w:pPr>
              <w:spacing w:after="0"/>
            </w:pPr>
            <w:r>
              <w:rPr>
                <w:rFonts w:ascii="Carlito" w:hAnsi="Carlito"/>
                <w:sz w:val="15"/>
              </w:rPr>
              <w:t>Central unlevered IRR 18.9%; common levered IRR 25.5%; equity multiple 5.62x</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Combined stress</w:t>
            </w:r>
          </w:p>
        </w:tc>
        <w:tc>
          <w:tcPr>
            <w:tcW w:type="dxa" w:w="7776"/>
            <w:shd w:fill="F3F5F7"/>
            <w:tcMar>
              <w:top w:w="55" w:type="dxa"/>
              <w:start w:w="65" w:type="dxa"/>
              <w:bottom w:w="55" w:type="dxa"/>
              <w:end w:w="65" w:type="dxa"/>
            </w:tcMar>
            <w:vAlign w:val="top"/>
          </w:tcPr>
          <w:p>
            <w:pPr>
              <w:spacing w:after="0"/>
            </w:pPr>
            <w:r>
              <w:rPr>
                <w:rFonts w:ascii="Carlito" w:hAnsi="Carlito"/>
                <w:sz w:val="15"/>
              </w:rPr>
              <w:t>NOI $7.07m; DSCR 1.36x; value $104.7m; equity $47.1m; refi paydown $0.0</w:t>
            </w:r>
          </w:p>
        </w:tc>
      </w:tr>
      <w:tr>
        <w:trPr>
          <w:cantSplit/>
        </w:trPr>
        <w:tc>
          <w:tcPr>
            <w:tcW w:type="dxa" w:w="1728"/>
            <w:tcMar>
              <w:top w:w="55" w:type="dxa"/>
              <w:start w:w="65" w:type="dxa"/>
              <w:bottom w:w="55" w:type="dxa"/>
              <w:end w:w="65" w:type="dxa"/>
            </w:tcMar>
            <w:vAlign w:val="top"/>
          </w:tcPr>
          <w:p>
            <w:pPr>
              <w:spacing w:after="0"/>
            </w:pPr>
            <w:r>
              <w:rPr>
                <w:rFonts w:ascii="Carlito" w:hAnsi="Carlito"/>
                <w:b/>
                <w:color w:val="17324D"/>
                <w:sz w:val="15"/>
              </w:rPr>
              <w:t>First loss</w:t>
            </w:r>
          </w:p>
        </w:tc>
        <w:tc>
          <w:tcPr>
            <w:tcW w:type="dxa" w:w="7776"/>
            <w:tcMar>
              <w:top w:w="55" w:type="dxa"/>
              <w:start w:w="65" w:type="dxa"/>
              <w:bottom w:w="55" w:type="dxa"/>
              <w:end w:w="65" w:type="dxa"/>
            </w:tcMar>
            <w:vAlign w:val="top"/>
          </w:tcPr>
          <w:p>
            <w:pPr>
              <w:spacing w:after="0"/>
            </w:pPr>
            <w:r>
              <w:rPr>
                <w:rFonts w:ascii="Carlito" w:hAnsi="Carlito"/>
                <w:sz w:val="15"/>
              </w:rPr>
              <w:t>Property cash flow, then common equity</w:t>
            </w:r>
          </w:p>
        </w:tc>
      </w:tr>
      <w:tr>
        <w:trPr>
          <w:cantSplit/>
        </w:trPr>
        <w:tc>
          <w:tcPr>
            <w:tcW w:type="dxa" w:w="1728"/>
            <w:shd w:fill="F3F5F7"/>
            <w:tcMar>
              <w:top w:w="55" w:type="dxa"/>
              <w:start w:w="65" w:type="dxa"/>
              <w:bottom w:w="55" w:type="dxa"/>
              <w:end w:w="65" w:type="dxa"/>
            </w:tcMar>
            <w:vAlign w:val="top"/>
          </w:tcPr>
          <w:p>
            <w:pPr>
              <w:spacing w:after="0"/>
            </w:pPr>
            <w:r>
              <w:rPr>
                <w:rFonts w:ascii="Carlito" w:hAnsi="Carlito"/>
                <w:b/>
                <w:color w:val="17324D"/>
                <w:sz w:val="15"/>
              </w:rPr>
              <w:t>Source IDs</w:t>
            </w:r>
          </w:p>
        </w:tc>
        <w:tc>
          <w:tcPr>
            <w:tcW w:type="dxa" w:w="7776"/>
            <w:shd w:fill="F3F5F7"/>
            <w:tcMar>
              <w:top w:w="55" w:type="dxa"/>
              <w:start w:w="65" w:type="dxa"/>
              <w:bottom w:w="55" w:type="dxa"/>
              <w:end w:w="65" w:type="dxa"/>
            </w:tcMar>
            <w:vAlign w:val="top"/>
          </w:tcPr>
          <w:p>
            <w:pPr>
              <w:spacing w:after="0"/>
            </w:pPr>
            <w:r>
              <w:rPr>
                <w:rFonts w:ascii="Carlito" w:hAnsi="Carlito"/>
                <w:sz w:val="15"/>
              </w:rPr>
              <w:t>EP-OWN-001; S12; S13; S14</w:t>
            </w:r>
          </w:p>
        </w:tc>
      </w:tr>
    </w:tbl>
    <w:p>
      <w:pPr>
        <w:spacing w:after="20"/>
      </w:pPr>
    </w:p>
    <w:p>
      <w:pPr>
        <w:pStyle w:val="Heading2"/>
      </w:pPr>
      <w:r>
        <w:t>Evidence reading</w:t>
      </w:r>
    </w:p>
    <w:p>
      <w:pPr>
        <w:keepLines w:val="0"/>
        <w:spacing w:after="100"/>
        <w:ind w:firstLine="0"/>
      </w:pPr>
      <w:r>
        <w:t>26 West is the strongest basis case. The 2011 acquisition price is established and far below modeled current value. The resulting IRR is sensitive to omitted renovation spending, current debt and historical distributions, so it should be read as normalized upside rather than realized sponsor performance.</w:t>
      </w:r>
    </w:p>
    <w:p>
      <w:pPr>
        <w:pStyle w:val="Heading2"/>
      </w:pPr>
      <w:r>
        <w:t>Open items</w:t>
      </w:r>
    </w:p>
    <w:p>
      <w:pPr>
        <w:pStyle w:val="ListBullet"/>
        <w:spacing w:after="40"/>
      </w:pPr>
      <w:r>
        <w:t>Current property debt and capital-improvement history</w:t>
      </w:r>
    </w:p>
    <w:p>
      <w:pPr>
        <w:pStyle w:val="ListBullet"/>
        <w:spacing w:after="40"/>
      </w:pPr>
      <w:r>
        <w:t>Current parcel-owning LP after Blackstone take-private</w:t>
      </w:r>
    </w:p>
    <w:p>
      <w:pPr>
        <w:pStyle w:val="ListBullet"/>
        <w:spacing w:after="40"/>
      </w:pPr>
      <w:r>
        <w:t>Historical distributions needed for realized sponsor IRR</w:t>
      </w:r>
    </w:p>
    <w:p>
      <w:r>
        <w:br w:type="page"/>
      </w:r>
    </w:p>
    <w:p>
      <w:pPr>
        <w:pStyle w:val="Heading1"/>
      </w:pPr>
      <w:r>
        <w:t>Methodology appendix</w:t>
      </w:r>
    </w:p>
    <w:p>
      <w:pPr>
        <w:pStyle w:val="Heading2"/>
      </w:pPr>
      <w:r>
        <w:t>Property selection</w:t>
      </w:r>
    </w:p>
    <w:p>
      <w:pPr>
        <w:keepLines w:val="0"/>
        <w:spacing w:after="100"/>
        <w:ind w:firstLine="0"/>
      </w:pPr>
      <w:r>
        <w:t>The six assets maximize primary-source coverage and structural variety. SkyLoft supplies a securitized lender file; Waterloo is the recent merchant development; 2400 Nueces is the ground-lease/public takeout; The Standard is a recapitalization; Callaway is a service-heavy private dorm; 26 West is an older basis control. Properties with unresolved economics were not selected solely for prominence.</w:t>
      </w:r>
    </w:p>
    <w:p>
      <w:pPr>
        <w:pStyle w:val="Heading2"/>
      </w:pPr>
      <w:r>
        <w:t>Ownership tracing</w:t>
      </w:r>
    </w:p>
    <w:p>
      <w:pPr>
        <w:keepLines w:val="0"/>
        <w:spacing w:after="100"/>
        <w:ind w:firstLine="0"/>
      </w:pPr>
      <w:r>
        <w:t>Owner, developer and manager are recorded separately. Sponsor websites establish platform roles but do not substitute for title. SkyLoft entity roles come from the CMBS term sheet; 2400 Nueces ownership comes from UT System board materials; Waterloo and The Standard use developer and transaction evidence; ACC assets are confirmed at sponsor level, with parcel entities still open.</w:t>
      </w:r>
    </w:p>
    <w:p>
      <w:pPr>
        <w:pStyle w:val="Heading2"/>
      </w:pPr>
      <w:r>
        <w:t>Rent normalization</w:t>
      </w:r>
    </w:p>
    <w:p>
      <w:pPr>
        <w:keepLines w:val="0"/>
        <w:spacing w:after="100"/>
        <w:ind w:firstLine="0"/>
      </w:pPr>
      <w:r>
        <w:t>The model begins with rentable beds multiplied by average face installment and contracted months. It deducts structural vacancy, unleased beds, bad debt, recurring concessions and one-time concessions. Mandatory fees, parking, reimbursements, retail, application income and recurring other income are added. Current asks are not described as collected rent. Effective student cost is calculated separately from property revenue.</w:t>
      </w:r>
    </w:p>
    <w:p>
      <w:pPr>
        <w:pStyle w:val="Heading2"/>
      </w:pPr>
      <w:r>
        <w:t>Operating costs</w:t>
      </w:r>
    </w:p>
    <w:p>
      <w:pPr>
        <w:keepLines w:val="0"/>
        <w:spacing w:after="100"/>
        <w:ind w:firstLine="0"/>
      </w:pPr>
      <w:r>
        <w:t>Reported SkyLoft expense data anchor apartment expense ratios. Property-specific taxes, insurance, payroll, utilities, service intensity, turnover and management assumptions are then applied. Callaway receives materially higher payroll, utilities, cleaning and contracted-service costs because its rate includes meals and housekeeping. 2400 Nueces is modeled without property tax under university ownership.</w:t>
      </w:r>
    </w:p>
    <w:p>
      <w:pPr>
        <w:pStyle w:val="Heading2"/>
      </w:pPr>
      <w:r>
        <w:t>Acquisition basis</w:t>
      </w:r>
    </w:p>
    <w:p>
      <w:pPr>
        <w:keepLines w:val="0"/>
        <w:spacing w:after="100"/>
        <w:ind w:firstLine="0"/>
      </w:pPr>
      <w:r>
        <w:t>Actual price is used for SkyLoft, 2400 Nueces and 26 West. SkyLoft central basis adds disclosed reserves and closing costs. Waterloo, The Standard and Callaway use low, central and high ranges triangulated from disclosed loans, modeled NOI and cap rates, price-per-bed controls and development-cost logic. Tax appraisals are not treated as transaction values.</w:t>
      </w:r>
    </w:p>
    <w:p>
      <w:pPr>
        <w:pStyle w:val="Heading2"/>
      </w:pPr>
      <w:r>
        <w:t>Current value</w:t>
      </w:r>
    </w:p>
    <w:p>
      <w:pPr>
        <w:keepLines w:val="0"/>
        <w:spacing w:after="100"/>
        <w:ind w:firstLine="0"/>
      </w:pPr>
      <w:r>
        <w:t>Current or normalized NOI is capitalized across a property-specific range. The range is cross-checked against price per bed and available financing or transaction evidence. A wider cap rate is assigned to stressed or uncertain assets. University ownership makes 2400 Nueces an economic benchmark rather than a conventional sale candidate.</w:t>
      </w:r>
    </w:p>
    <w:p>
      <w:pPr>
        <w:pStyle w:val="Heading2"/>
      </w:pPr>
      <w:r>
        <w:t>Capital structure</w:t>
      </w:r>
    </w:p>
    <w:p>
      <w:pPr>
        <w:keepLines w:val="0"/>
        <w:spacing w:after="100"/>
        <w:ind w:firstLine="0"/>
      </w:pPr>
      <w:r>
        <w:t>Senior, subordinate and preferred claims are modeled separately. SkyLoft uses the disclosed $66.125 million whole loan and $35 million preferred equity with 8% current pay and 6% accrual. Non-SkyLoft debt is explicitly illustrative. Preferred equity is not counted as common sponsor equity, and cumulative leverage includes subordinate mortgage debt.</w:t>
      </w:r>
    </w:p>
    <w:p>
      <w:pPr>
        <w:pStyle w:val="Heading2"/>
      </w:pPr>
      <w:r>
        <w:t>IRR calculations</w:t>
      </w:r>
    </w:p>
    <w:p>
      <w:pPr>
        <w:keepLines w:val="0"/>
        <w:spacing w:after="100"/>
        <w:ind w:firstLine="0"/>
      </w:pPr>
      <w:r>
        <w:t>Ten-year cash flows begin at low, central or high basis. NOI and reserves grow at property-specific rates. Debt service follows the stated or illustrative rate and amortization. Exit value uses the next year’s NOI and an exit cap 25 basis points above the central cap, less 2% sale cost. SkyLoft preferred principal accrues at 6%; common terminal proceeds are floored at zero behind the preferred claim.</w:t>
      </w:r>
    </w:p>
    <w:p>
      <w:pPr>
        <w:pStyle w:val="Heading2"/>
      </w:pPr>
      <w:r>
        <w:t>Student effective cost</w:t>
      </w:r>
    </w:p>
    <w:p>
      <w:pPr>
        <w:keepLines w:val="0"/>
        <w:spacing w:after="100"/>
        <w:ind w:firstLine="0"/>
      </w:pPr>
      <w:r>
        <w:t>Advertised installment, mandatory recurring charges, mandatory one-time charges and parking are summed, then concessions are deducted. Contract cost is divided by contracted installments and by likely academic-use months. Academic-use cost is a comparison metric, not the contractual rent.</w:t>
      </w:r>
    </w:p>
    <w:p>
      <w:pPr>
        <w:pStyle w:val="Heading2"/>
      </w:pPr>
      <w:r>
        <w:t>Captive-premium analysis</w:t>
      </w:r>
    </w:p>
    <w:p>
      <w:pPr>
        <w:keepLines w:val="0"/>
        <w:spacing w:after="100"/>
        <w:ind w:firstLine="0"/>
      </w:pPr>
      <w:r>
        <w:t>Controls include 2400 Nueces, UT halls, cooperatives and a split North University apartment. The price bridge assigns ranges to location, furnishings and individual liability, new construction, privacy, fees and concessions. The residual is not labeled market power because executed rent and a hedonic regression are unavailable.</w:t>
      </w:r>
    </w:p>
    <w:p>
      <w:pPr>
        <w:pStyle w:val="Heading2"/>
      </w:pPr>
      <w:r>
        <w:t>Preleasing</w:t>
      </w:r>
    </w:p>
    <w:p>
      <w:pPr>
        <w:keepLines w:val="0"/>
        <w:spacing w:after="100"/>
        <w:ind w:firstLine="0"/>
      </w:pPr>
      <w:r>
        <w:t>Each data point retains its academic year. The chart does not connect observations from different years as a market curve. Public scarcity messages are treated as marketing evidence unless supported by leased-bed counts and remaining inventory.</w:t>
      </w:r>
    </w:p>
    <w:p>
      <w:pPr>
        <w:pStyle w:val="Heading2"/>
      </w:pPr>
      <w:r>
        <w:t>Development model</w:t>
      </w:r>
    </w:p>
    <w:p>
      <w:pPr>
        <w:keepLines w:val="0"/>
        <w:spacing w:after="100"/>
        <w:ind w:firstLine="0"/>
      </w:pPr>
      <w:r>
        <w:t>Waterloo’s land, hard cost, soft cost, financing, interest reserve, developer fee, furniture and lease-up costs are reconstructed. Yield on cost equals stabilized NOI divided by total development cost. Stabilized value equals NOI divided by market cap rate. The spread and profit are stressed for cost, timing, occupancy, concessions, expenses and exit cap.</w:t>
      </w:r>
    </w:p>
    <w:p>
      <w:pPr>
        <w:pStyle w:val="Heading2"/>
      </w:pPr>
      <w:r>
        <w:t>Zoning model</w:t>
      </w:r>
    </w:p>
    <w:p>
      <w:pPr>
        <w:keepLines w:val="0"/>
        <w:spacing w:after="100"/>
        <w:ind w:firstLine="0"/>
      </w:pPr>
      <w:r>
        <w:t>Residual land value equals completed property value less non-land costs and required developer profit. A 225-foot, 600-bed proxy is compared with the documented 300-foot, 796-bed density-bonus case. The old case is not an approved alternate plan and the result is not an appraisal.</w:t>
      </w:r>
    </w:p>
    <w:p>
      <w:pPr>
        <w:pStyle w:val="Heading2"/>
      </w:pPr>
      <w:r>
        <w:t>Scenarios</w:t>
      </w:r>
    </w:p>
    <w:p>
      <w:pPr>
        <w:keepLines w:val="0"/>
        <w:spacing w:after="100"/>
        <w:ind w:firstLine="0"/>
      </w:pPr>
      <w:r>
        <w:t>All assets receive the same operating shocks. Supply cases reduce rent and occupancy and add concessions. Cost cases increase taxes, insurance, payroll and repairs or add replacement spending. Refinance cases raise the rate 200 basis points and constrain proceeds to the lower of 55% LTV or 1.30x DSCR. The combined stress applies all major shocks and a 75-basis-point cap-rate increase.</w:t>
      </w:r>
    </w:p>
    <w:p>
      <w:pPr>
        <w:pStyle w:val="Heading2"/>
      </w:pPr>
      <w:r>
        <w:t>Loss waterfall</w:t>
      </w:r>
    </w:p>
    <w:p>
      <w:pPr>
        <w:keepLines w:val="0"/>
        <w:spacing w:after="100"/>
        <w:ind w:firstLine="0"/>
      </w:pPr>
      <w:r>
        <w:t>Signed tenant and guarantor obligations apply only to their own contracts. Market vacancy reduces property cash flow. Common equity absorbs value loss before preferred equity, then mezzanine or subordinate debt, then senior debt, subject to contract-specific rights. SkyLoft’s preferred investor may exercise control before a full economic loss.</w:t>
      </w:r>
    </w:p>
    <w:p>
      <w:pPr>
        <w:pStyle w:val="Heading1"/>
      </w:pPr>
      <w:r>
        <w:t>Claims and evidence matrix</w:t>
      </w:r>
    </w:p>
    <w:p>
      <w:pPr>
        <w:sectPr>
          <w:headerReference w:type="default" r:id="rId9"/>
          <w:footerReference w:type="default" r:id="rId10"/>
          <w:pgSz w:w="12240" w:h="15840"/>
          <w:pgMar w:top="1008" w:right="1080" w:bottom="936" w:left="1080" w:header="403" w:footer="403" w:gutter="0"/>
          <w:cols w:space="720"/>
          <w:docGrid w:linePitch="360"/>
        </w:sectPr>
      </w:pPr>
    </w:p>
    <w:tbl>
      <w:tblPr>
        <w:tblStyle w:val="TableGrid"/>
        <w:tblW w:type="auto" w:w="0"/>
        <w:jc w:val="center"/>
        <w:tblLayout w:type="fixed"/>
        <w:tblLook w:firstColumn="1" w:firstRow="1" w:lastColumn="0" w:lastRow="0" w:noHBand="0" w:noVBand="1" w:val="04A0"/>
      </w:tblPr>
      <w:tblGrid>
        <w:gridCol w:w="3672"/>
        <w:gridCol w:w="1656"/>
        <w:gridCol w:w="1656"/>
        <w:gridCol w:w="1008"/>
        <w:gridCol w:w="3168"/>
        <w:gridCol w:w="3456"/>
      </w:tblGrid>
      <w:tr>
        <w:trPr>
          <w:tblHeader w:val="true"/>
        </w:trPr>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Claim</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Source IDs</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Status</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Confidence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Contradictory evidence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3"/>
              </w:rPr>
              <w:t>Qualification</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West Campus is platform-concentrated but not shown to be a parcel-level cartel.</w:t>
            </w:r>
          </w:p>
        </w:tc>
        <w:tc>
          <w:tcPr>
            <w:tcW w:type="dxa" w:w="1656"/>
            <w:tcMar>
              <w:top w:w="55" w:type="dxa"/>
              <w:start w:w="65" w:type="dxa"/>
              <w:bottom w:w="55" w:type="dxa"/>
              <w:end w:w="65" w:type="dxa"/>
            </w:tcMar>
            <w:vAlign w:val="top"/>
          </w:tcPr>
          <w:p>
            <w:pPr>
              <w:spacing w:after="0"/>
            </w:pPr>
            <w:r>
              <w:rPr>
                <w:rFonts w:ascii="Carlito" w:hAnsi="Carlito"/>
                <w:sz w:val="13"/>
              </w:rPr>
              <w:t>EP-OWN-001; S12</w:t>
            </w:r>
          </w:p>
        </w:tc>
        <w:tc>
          <w:tcPr>
            <w:tcW w:type="dxa" w:w="1656"/>
            <w:tcMar>
              <w:top w:w="55" w:type="dxa"/>
              <w:start w:w="65" w:type="dxa"/>
              <w:bottom w:w="55" w:type="dxa"/>
              <w:end w:w="65" w:type="dxa"/>
            </w:tcMar>
            <w:vAlign w:val="top"/>
          </w:tcPr>
          <w:p>
            <w:pPr>
              <w:spacing w:after="0"/>
            </w:pPr>
            <w:r>
              <w:rPr>
                <w:rFonts w:ascii="Carlito" w:hAnsi="Carlito"/>
                <w:sz w:val="13"/>
              </w:rPr>
              <w:t>Direct plus inference</w:t>
            </w:r>
          </w:p>
        </w:tc>
        <w:tc>
          <w:tcPr>
            <w:tcW w:type="dxa" w:w="1008"/>
            <w:tcMar>
              <w:top w:w="55" w:type="dxa"/>
              <w:start w:w="65" w:type="dxa"/>
              <w:bottom w:w="55" w:type="dxa"/>
              <w:end w:w="65" w:type="dxa"/>
            </w:tcMar>
            <w:vAlign w:val="top"/>
          </w:tcPr>
          <w:p>
            <w:pPr>
              <w:spacing w:after="0"/>
            </w:pPr>
            <w:r>
              <w:rPr>
                <w:rFonts w:ascii="Carlito" w:hAnsi="Carlito"/>
                <w:sz w:val="13"/>
              </w:rPr>
              <w:t>High</w:t>
            </w:r>
          </w:p>
        </w:tc>
        <w:tc>
          <w:tcPr>
            <w:tcW w:type="dxa" w:w="3168"/>
            <w:tcMar>
              <w:top w:w="55" w:type="dxa"/>
              <w:start w:w="65" w:type="dxa"/>
              <w:bottom w:w="55" w:type="dxa"/>
              <w:end w:w="65" w:type="dxa"/>
            </w:tcMar>
            <w:vAlign w:val="top"/>
          </w:tcPr>
          <w:p>
            <w:pPr>
              <w:spacing w:after="0"/>
            </w:pPr>
            <w:r>
              <w:rPr>
                <w:rFonts w:ascii="Carlito" w:hAnsi="Carlito"/>
                <w:sz w:val="13"/>
              </w:rPr>
              <w:t>Multiple local and institutional owners; unresolved parcels</w:t>
            </w:r>
          </w:p>
        </w:tc>
        <w:tc>
          <w:tcPr>
            <w:tcW w:type="dxa" w:w="3456"/>
            <w:tcMar>
              <w:top w:w="55" w:type="dxa"/>
              <w:start w:w="65" w:type="dxa"/>
              <w:bottom w:w="55" w:type="dxa"/>
              <w:end w:w="65" w:type="dxa"/>
            </w:tcMar>
            <w:vAlign w:val="top"/>
          </w:tcPr>
          <w:p>
            <w:pPr>
              <w:spacing w:after="0"/>
            </w:pPr>
            <w:r>
              <w:rPr>
                <w:rFonts w:ascii="Carlito" w:hAnsi="Carlito"/>
                <w:sz w:val="13"/>
              </w:rPr>
              <w:t>Do not report a concentration ratio until unresolved beds are counted.</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Several properties sell individual bed obligations rather than joint apartment leases.</w:t>
            </w:r>
          </w:p>
        </w:tc>
        <w:tc>
          <w:tcPr>
            <w:tcW w:type="dxa" w:w="1656"/>
            <w:shd w:fill="F3F5F7"/>
            <w:tcMar>
              <w:top w:w="55" w:type="dxa"/>
              <w:start w:w="65" w:type="dxa"/>
              <w:bottom w:w="55" w:type="dxa"/>
              <w:end w:w="65" w:type="dxa"/>
            </w:tcMar>
            <w:vAlign w:val="top"/>
          </w:tcPr>
          <w:p>
            <w:pPr>
              <w:spacing w:after="0"/>
            </w:pPr>
            <w:r>
              <w:rPr>
                <w:rFonts w:ascii="Carlito" w:hAnsi="Carlito"/>
                <w:sz w:val="13"/>
              </w:rPr>
              <w:t>EP-OP-001; S01; S03; S14; S21</w:t>
            </w:r>
          </w:p>
        </w:tc>
        <w:tc>
          <w:tcPr>
            <w:tcW w:type="dxa" w:w="1656"/>
            <w:shd w:fill="F3F5F7"/>
            <w:tcMar>
              <w:top w:w="55" w:type="dxa"/>
              <w:start w:w="65" w:type="dxa"/>
              <w:bottom w:w="55" w:type="dxa"/>
              <w:end w:w="65" w:type="dxa"/>
            </w:tcMar>
            <w:vAlign w:val="top"/>
          </w:tcPr>
          <w:p>
            <w:pPr>
              <w:spacing w:after="0"/>
            </w:pPr>
            <w:r>
              <w:rPr>
                <w:rFonts w:ascii="Carlito" w:hAnsi="Carlito"/>
                <w:sz w:val="13"/>
              </w:rPr>
              <w:t>Direct</w:t>
            </w:r>
          </w:p>
        </w:tc>
        <w:tc>
          <w:tcPr>
            <w:tcW w:type="dxa" w:w="1008"/>
            <w:shd w:fill="F3F5F7"/>
            <w:tcMar>
              <w:top w:w="55" w:type="dxa"/>
              <w:start w:w="65" w:type="dxa"/>
              <w:bottom w:w="55" w:type="dxa"/>
              <w:end w:w="65" w:type="dxa"/>
            </w:tcMar>
            <w:vAlign w:val="top"/>
          </w:tcPr>
          <w:p>
            <w:pPr>
              <w:spacing w:after="0"/>
            </w:pPr>
            <w:r>
              <w:rPr>
                <w:rFonts w:ascii="Carlito" w:hAnsi="Carlito"/>
                <w:sz w:val="13"/>
              </w:rPr>
              <w:t>High</w:t>
            </w:r>
          </w:p>
        </w:tc>
        <w:tc>
          <w:tcPr>
            <w:tcW w:type="dxa" w:w="3168"/>
            <w:shd w:fill="F3F5F7"/>
            <w:tcMar>
              <w:top w:w="55" w:type="dxa"/>
              <w:start w:w="65" w:type="dxa"/>
              <w:bottom w:w="55" w:type="dxa"/>
              <w:end w:w="65" w:type="dxa"/>
            </w:tcMar>
            <w:vAlign w:val="top"/>
          </w:tcPr>
          <w:p>
            <w:pPr>
              <w:spacing w:after="0"/>
            </w:pPr>
            <w:r>
              <w:rPr>
                <w:rFonts w:ascii="Carlito" w:hAnsi="Carlito"/>
                <w:sz w:val="13"/>
              </w:rPr>
              <w:t>2400 Nueces uses university apartment contracts</w:t>
            </w:r>
          </w:p>
        </w:tc>
        <w:tc>
          <w:tcPr>
            <w:tcW w:type="dxa" w:w="3456"/>
            <w:shd w:fill="F3F5F7"/>
            <w:tcMar>
              <w:top w:w="55" w:type="dxa"/>
              <w:start w:w="65" w:type="dxa"/>
              <w:bottom w:w="55" w:type="dxa"/>
              <w:end w:w="65" w:type="dxa"/>
            </w:tcMar>
            <w:vAlign w:val="top"/>
          </w:tcPr>
          <w:p>
            <w:pPr>
              <w:spacing w:after="0"/>
            </w:pPr>
            <w:r>
              <w:rPr>
                <w:rFonts w:ascii="Carlito" w:hAnsi="Carlito"/>
                <w:sz w:val="13"/>
              </w:rPr>
              <w:t>Lease forms differ by property and year.</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Installment language can make a school-year obligation look like ordinary monthly rent.</w:t>
            </w:r>
          </w:p>
        </w:tc>
        <w:tc>
          <w:tcPr>
            <w:tcW w:type="dxa" w:w="1656"/>
            <w:tcMar>
              <w:top w:w="55" w:type="dxa"/>
              <w:start w:w="65" w:type="dxa"/>
              <w:bottom w:w="55" w:type="dxa"/>
              <w:end w:w="65" w:type="dxa"/>
            </w:tcMar>
            <w:vAlign w:val="top"/>
          </w:tcPr>
          <w:p>
            <w:pPr>
              <w:spacing w:after="0"/>
            </w:pPr>
            <w:r>
              <w:rPr>
                <w:rFonts w:ascii="Carlito" w:hAnsi="Carlito"/>
                <w:sz w:val="13"/>
              </w:rPr>
              <w:t>EP-OP-001; S01; S03; S06</w:t>
            </w:r>
          </w:p>
        </w:tc>
        <w:tc>
          <w:tcPr>
            <w:tcW w:type="dxa" w:w="1656"/>
            <w:tcMar>
              <w:top w:w="55" w:type="dxa"/>
              <w:start w:w="65" w:type="dxa"/>
              <w:bottom w:w="55" w:type="dxa"/>
              <w:end w:w="65" w:type="dxa"/>
            </w:tcMar>
            <w:vAlign w:val="top"/>
          </w:tcPr>
          <w:p>
            <w:pPr>
              <w:spacing w:after="0"/>
            </w:pPr>
            <w:r>
              <w:rPr>
                <w:rFonts w:ascii="Carlito" w:hAnsi="Carlito"/>
                <w:sz w:val="13"/>
              </w:rPr>
              <w:t>Direct</w:t>
            </w:r>
          </w:p>
        </w:tc>
        <w:tc>
          <w:tcPr>
            <w:tcW w:type="dxa" w:w="1008"/>
            <w:tcMar>
              <w:top w:w="55" w:type="dxa"/>
              <w:start w:w="65" w:type="dxa"/>
              <w:bottom w:w="55" w:type="dxa"/>
              <w:end w:w="65" w:type="dxa"/>
            </w:tcMar>
            <w:vAlign w:val="top"/>
          </w:tcPr>
          <w:p>
            <w:pPr>
              <w:spacing w:after="0"/>
            </w:pPr>
            <w:r>
              <w:rPr>
                <w:rFonts w:ascii="Carlito" w:hAnsi="Carlito"/>
                <w:sz w:val="13"/>
              </w:rPr>
              <w:t>High</w:t>
            </w:r>
          </w:p>
        </w:tc>
        <w:tc>
          <w:tcPr>
            <w:tcW w:type="dxa" w:w="3168"/>
            <w:tcMar>
              <w:top w:w="55" w:type="dxa"/>
              <w:start w:w="65" w:type="dxa"/>
              <w:bottom w:w="55" w:type="dxa"/>
              <w:end w:w="65" w:type="dxa"/>
            </w:tcMar>
            <w:vAlign w:val="top"/>
          </w:tcPr>
          <w:p>
            <w:pPr>
              <w:spacing w:after="0"/>
            </w:pPr>
            <w:r>
              <w:rPr>
                <w:rFonts w:ascii="Carlito" w:hAnsi="Carlito"/>
                <w:sz w:val="13"/>
              </w:rPr>
              <w:t>2400 discloses both 9- and 12-month alternatives</w:t>
            </w:r>
          </w:p>
        </w:tc>
        <w:tc>
          <w:tcPr>
            <w:tcW w:type="dxa" w:w="3456"/>
            <w:tcMar>
              <w:top w:w="55" w:type="dxa"/>
              <w:start w:w="65" w:type="dxa"/>
              <w:bottom w:w="55" w:type="dxa"/>
              <w:end w:w="65" w:type="dxa"/>
            </w:tcMar>
            <w:vAlign w:val="top"/>
          </w:tcPr>
          <w:p>
            <w:pPr>
              <w:spacing w:after="0"/>
            </w:pPr>
            <w:r>
              <w:rPr>
                <w:rFonts w:ascii="Carlito" w:hAnsi="Carlito"/>
                <w:sz w:val="13"/>
              </w:rPr>
              <w:t>An installment is not necessarily a month of possession.</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Guarantors and prepayment reduce collection exposure but do not remove property-level demand risk.</w:t>
            </w:r>
          </w:p>
        </w:tc>
        <w:tc>
          <w:tcPr>
            <w:tcW w:type="dxa" w:w="1656"/>
            <w:shd w:fill="F3F5F7"/>
            <w:tcMar>
              <w:top w:w="55" w:type="dxa"/>
              <w:start w:w="65" w:type="dxa"/>
              <w:bottom w:w="55" w:type="dxa"/>
              <w:end w:w="65" w:type="dxa"/>
            </w:tcMar>
            <w:vAlign w:val="top"/>
          </w:tcPr>
          <w:p>
            <w:pPr>
              <w:spacing w:after="0"/>
            </w:pPr>
            <w:r>
              <w:rPr>
                <w:rFonts w:ascii="Carlito" w:hAnsi="Carlito"/>
                <w:sz w:val="13"/>
              </w:rPr>
              <w:t>EP-OP-001; S01; S03; S04; S05</w:t>
            </w:r>
          </w:p>
        </w:tc>
        <w:tc>
          <w:tcPr>
            <w:tcW w:type="dxa" w:w="1656"/>
            <w:shd w:fill="F3F5F7"/>
            <w:tcMar>
              <w:top w:w="55" w:type="dxa"/>
              <w:start w:w="65" w:type="dxa"/>
              <w:bottom w:w="55" w:type="dxa"/>
              <w:end w:w="65" w:type="dxa"/>
            </w:tcMar>
            <w:vAlign w:val="top"/>
          </w:tcPr>
          <w:p>
            <w:pPr>
              <w:spacing w:after="0"/>
            </w:pPr>
            <w:r>
              <w:rPr>
                <w:rFonts w:ascii="Carlito" w:hAnsi="Carlito"/>
                <w:sz w:val="13"/>
              </w:rPr>
              <w:t>Direct mechanism; outcome supported by SkyLoft</w:t>
            </w:r>
          </w:p>
        </w:tc>
        <w:tc>
          <w:tcPr>
            <w:tcW w:type="dxa" w:w="1008"/>
            <w:shd w:fill="F3F5F7"/>
            <w:tcMar>
              <w:top w:w="55" w:type="dxa"/>
              <w:start w:w="65" w:type="dxa"/>
              <w:bottom w:w="55" w:type="dxa"/>
              <w:end w:w="65" w:type="dxa"/>
            </w:tcMar>
            <w:vAlign w:val="top"/>
          </w:tcPr>
          <w:p>
            <w:pPr>
              <w:spacing w:after="0"/>
            </w:pPr>
            <w:r>
              <w:rPr>
                <w:rFonts w:ascii="Carlito" w:hAnsi="Carlito"/>
                <w:sz w:val="13"/>
              </w:rPr>
              <w:t>High</w:t>
            </w:r>
          </w:p>
        </w:tc>
        <w:tc>
          <w:tcPr>
            <w:tcW w:type="dxa" w:w="3168"/>
            <w:shd w:fill="F3F5F7"/>
            <w:tcMar>
              <w:top w:w="55" w:type="dxa"/>
              <w:start w:w="65" w:type="dxa"/>
              <w:bottom w:w="55" w:type="dxa"/>
              <w:end w:w="65" w:type="dxa"/>
            </w:tcMar>
            <w:vAlign w:val="top"/>
          </w:tcPr>
          <w:p>
            <w:pPr>
              <w:spacing w:after="0"/>
            </w:pPr>
            <w:r>
              <w:rPr>
                <w:rFonts w:ascii="Carlito" w:hAnsi="Carlito"/>
                <w:sz w:val="13"/>
              </w:rPr>
              <w:t>No property-level bad-debt comparison by guarantee policy</w:t>
            </w:r>
          </w:p>
        </w:tc>
        <w:tc>
          <w:tcPr>
            <w:tcW w:type="dxa" w:w="3456"/>
            <w:shd w:fill="F3F5F7"/>
            <w:tcMar>
              <w:top w:w="55" w:type="dxa"/>
              <w:start w:w="65" w:type="dxa"/>
              <w:bottom w:w="55" w:type="dxa"/>
              <w:end w:w="65" w:type="dxa"/>
            </w:tcMar>
            <w:vAlign w:val="top"/>
          </w:tcPr>
          <w:p>
            <w:pPr>
              <w:spacing w:after="0"/>
            </w:pPr>
            <w:r>
              <w:rPr>
                <w:rFonts w:ascii="Carlito" w:hAnsi="Carlito"/>
                <w:sz w:val="13"/>
              </w:rPr>
              <w:t>Effect on bad debt is not measured across the sample.</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SkyLoft’s underwritten property economics were strong before the full capital stack.</w:t>
            </w:r>
          </w:p>
        </w:tc>
        <w:tc>
          <w:tcPr>
            <w:tcW w:type="dxa" w:w="1656"/>
            <w:tcMar>
              <w:top w:w="55" w:type="dxa"/>
              <w:start w:w="65" w:type="dxa"/>
              <w:bottom w:w="55" w:type="dxa"/>
              <w:end w:w="65" w:type="dxa"/>
            </w:tcMar>
            <w:vAlign w:val="top"/>
          </w:tcPr>
          <w:p>
            <w:pPr>
              <w:spacing w:after="0"/>
            </w:pPr>
            <w:r>
              <w:rPr>
                <w:rFonts w:ascii="Carlito" w:hAnsi="Carlito"/>
                <w:sz w:val="13"/>
              </w:rPr>
              <w:t>S04</w:t>
            </w:r>
          </w:p>
        </w:tc>
        <w:tc>
          <w:tcPr>
            <w:tcW w:type="dxa" w:w="1656"/>
            <w:tcMar>
              <w:top w:w="55" w:type="dxa"/>
              <w:start w:w="65" w:type="dxa"/>
              <w:bottom w:w="55" w:type="dxa"/>
              <w:end w:w="65" w:type="dxa"/>
            </w:tcMar>
            <w:vAlign w:val="top"/>
          </w:tcPr>
          <w:p>
            <w:pPr>
              <w:spacing w:after="0"/>
            </w:pPr>
            <w:r>
              <w:rPr>
                <w:rFonts w:ascii="Carlito" w:hAnsi="Carlito"/>
                <w:sz w:val="13"/>
              </w:rPr>
              <w:t>Direct</w:t>
            </w:r>
          </w:p>
        </w:tc>
        <w:tc>
          <w:tcPr>
            <w:tcW w:type="dxa" w:w="1008"/>
            <w:tcMar>
              <w:top w:w="55" w:type="dxa"/>
              <w:start w:w="65" w:type="dxa"/>
              <w:bottom w:w="55" w:type="dxa"/>
              <w:end w:w="65" w:type="dxa"/>
            </w:tcMar>
            <w:vAlign w:val="top"/>
          </w:tcPr>
          <w:p>
            <w:pPr>
              <w:spacing w:after="0"/>
            </w:pPr>
            <w:r>
              <w:rPr>
                <w:rFonts w:ascii="Carlito" w:hAnsi="Carlito"/>
                <w:sz w:val="13"/>
              </w:rPr>
              <w:t>High</w:t>
            </w:r>
          </w:p>
        </w:tc>
        <w:tc>
          <w:tcPr>
            <w:tcW w:type="dxa" w:w="3168"/>
            <w:tcMar>
              <w:top w:w="55" w:type="dxa"/>
              <w:start w:w="65" w:type="dxa"/>
              <w:bottom w:w="55" w:type="dxa"/>
              <w:end w:w="65" w:type="dxa"/>
            </w:tcMar>
            <w:vAlign w:val="top"/>
          </w:tcPr>
          <w:p>
            <w:pPr>
              <w:spacing w:after="0"/>
            </w:pPr>
            <w:r>
              <w:rPr>
                <w:rFonts w:ascii="Carlito" w:hAnsi="Carlito"/>
                <w:sz w:val="13"/>
              </w:rPr>
              <w:t>Later surveillance showed severe occupancy stress</w:t>
            </w:r>
          </w:p>
        </w:tc>
        <w:tc>
          <w:tcPr>
            <w:tcW w:type="dxa" w:w="3456"/>
            <w:tcMar>
              <w:top w:w="55" w:type="dxa"/>
              <w:start w:w="65" w:type="dxa"/>
              <w:bottom w:w="55" w:type="dxa"/>
              <w:end w:w="65" w:type="dxa"/>
            </w:tcMar>
            <w:vAlign w:val="top"/>
          </w:tcPr>
          <w:p>
            <w:pPr>
              <w:spacing w:after="0"/>
            </w:pPr>
            <w:r>
              <w:rPr>
                <w:rFonts w:ascii="Carlito" w:hAnsi="Carlito"/>
                <w:sz w:val="13"/>
              </w:rPr>
              <w:t>2019 underwriting is not current performance.</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SkyLoft’s common-equity cash cushion was thin after whole-loan interest and preferred current pay.</w:t>
            </w:r>
          </w:p>
        </w:tc>
        <w:tc>
          <w:tcPr>
            <w:tcW w:type="dxa" w:w="1656"/>
            <w:shd w:fill="F3F5F7"/>
            <w:tcMar>
              <w:top w:w="55" w:type="dxa"/>
              <w:start w:w="65" w:type="dxa"/>
              <w:bottom w:w="55" w:type="dxa"/>
              <w:end w:w="65" w:type="dxa"/>
            </w:tcMar>
            <w:vAlign w:val="top"/>
          </w:tcPr>
          <w:p>
            <w:pPr>
              <w:spacing w:after="0"/>
            </w:pPr>
            <w:r>
              <w:rPr>
                <w:rFonts w:ascii="Carlito" w:hAnsi="Carlito"/>
                <w:sz w:val="13"/>
              </w:rPr>
              <w:t>S04; model</w:t>
            </w:r>
          </w:p>
        </w:tc>
        <w:tc>
          <w:tcPr>
            <w:tcW w:type="dxa" w:w="1656"/>
            <w:shd w:fill="F3F5F7"/>
            <w:tcMar>
              <w:top w:w="55" w:type="dxa"/>
              <w:start w:w="65" w:type="dxa"/>
              <w:bottom w:w="55" w:type="dxa"/>
              <w:end w:w="65" w:type="dxa"/>
            </w:tcMar>
            <w:vAlign w:val="top"/>
          </w:tcPr>
          <w:p>
            <w:pPr>
              <w:spacing w:after="0"/>
            </w:pPr>
            <w:r>
              <w:rPr>
                <w:rFonts w:ascii="Carlito" w:hAnsi="Carlito"/>
                <w:sz w:val="13"/>
              </w:rPr>
              <w:t>Calculated</w:t>
            </w:r>
          </w:p>
        </w:tc>
        <w:tc>
          <w:tcPr>
            <w:tcW w:type="dxa" w:w="1008"/>
            <w:shd w:fill="F3F5F7"/>
            <w:tcMar>
              <w:top w:w="55" w:type="dxa"/>
              <w:start w:w="65" w:type="dxa"/>
              <w:bottom w:w="55" w:type="dxa"/>
              <w:end w:w="65" w:type="dxa"/>
            </w:tcMar>
            <w:vAlign w:val="top"/>
          </w:tcPr>
          <w:p>
            <w:pPr>
              <w:spacing w:after="0"/>
            </w:pPr>
            <w:r>
              <w:rPr>
                <w:rFonts w:ascii="Carlito" w:hAnsi="Carlito"/>
                <w:sz w:val="13"/>
              </w:rPr>
              <w:t>High</w:t>
            </w:r>
          </w:p>
        </w:tc>
        <w:tc>
          <w:tcPr>
            <w:tcW w:type="dxa" w:w="3168"/>
            <w:shd w:fill="F3F5F7"/>
            <w:tcMar>
              <w:top w:w="55" w:type="dxa"/>
              <w:start w:w="65" w:type="dxa"/>
              <w:bottom w:w="55" w:type="dxa"/>
              <w:end w:w="65" w:type="dxa"/>
            </w:tcMar>
            <w:vAlign w:val="top"/>
          </w:tcPr>
          <w:p>
            <w:pPr>
              <w:spacing w:after="0"/>
            </w:pPr>
            <w:r>
              <w:rPr>
                <w:rFonts w:ascii="Carlito" w:hAnsi="Carlito"/>
                <w:sz w:val="13"/>
              </w:rPr>
              <w:t>Actual distributions/reserve draws not public</w:t>
            </w:r>
          </w:p>
        </w:tc>
        <w:tc>
          <w:tcPr>
            <w:tcW w:type="dxa" w:w="3456"/>
            <w:shd w:fill="F3F5F7"/>
            <w:tcMar>
              <w:top w:w="55" w:type="dxa"/>
              <w:start w:w="65" w:type="dxa"/>
              <w:bottom w:w="55" w:type="dxa"/>
              <w:end w:w="65" w:type="dxa"/>
            </w:tcMar>
            <w:vAlign w:val="top"/>
          </w:tcPr>
          <w:p>
            <w:pPr>
              <w:spacing w:after="0"/>
            </w:pPr>
            <w:r>
              <w:rPr>
                <w:rFonts w:ascii="Carlito" w:hAnsi="Carlito"/>
                <w:sz w:val="13"/>
              </w:rPr>
              <w:t>Excludes taxes on ownership entities and assumes stated preferred terms were current.</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2400 Nueces provides a lower-rate, tax-exempt university control near the same location.</w:t>
            </w:r>
          </w:p>
        </w:tc>
        <w:tc>
          <w:tcPr>
            <w:tcW w:type="dxa" w:w="1656"/>
            <w:tcMar>
              <w:top w:w="55" w:type="dxa"/>
              <w:start w:w="65" w:type="dxa"/>
              <w:bottom w:w="55" w:type="dxa"/>
              <w:end w:w="65" w:type="dxa"/>
            </w:tcMar>
            <w:vAlign w:val="top"/>
          </w:tcPr>
          <w:p>
            <w:pPr>
              <w:spacing w:after="0"/>
            </w:pPr>
            <w:r>
              <w:rPr>
                <w:rFonts w:ascii="Carlito" w:hAnsi="Carlito"/>
                <w:sz w:val="13"/>
              </w:rPr>
              <w:t>S06; S07; S08</w:t>
            </w:r>
          </w:p>
        </w:tc>
        <w:tc>
          <w:tcPr>
            <w:tcW w:type="dxa" w:w="1656"/>
            <w:tcMar>
              <w:top w:w="55" w:type="dxa"/>
              <w:start w:w="65" w:type="dxa"/>
              <w:bottom w:w="55" w:type="dxa"/>
              <w:end w:w="65" w:type="dxa"/>
            </w:tcMar>
            <w:vAlign w:val="top"/>
          </w:tcPr>
          <w:p>
            <w:pPr>
              <w:spacing w:after="0"/>
            </w:pPr>
            <w:r>
              <w:rPr>
                <w:rFonts w:ascii="Carlito" w:hAnsi="Carlito"/>
                <w:sz w:val="13"/>
              </w:rPr>
              <w:t>Direct plus model</w:t>
            </w:r>
          </w:p>
        </w:tc>
        <w:tc>
          <w:tcPr>
            <w:tcW w:type="dxa" w:w="1008"/>
            <w:tcMar>
              <w:top w:w="55" w:type="dxa"/>
              <w:start w:w="65" w:type="dxa"/>
              <w:bottom w:w="55" w:type="dxa"/>
              <w:end w:w="65" w:type="dxa"/>
            </w:tcMar>
            <w:vAlign w:val="top"/>
          </w:tcPr>
          <w:p>
            <w:pPr>
              <w:spacing w:after="0"/>
            </w:pPr>
            <w:r>
              <w:rPr>
                <w:rFonts w:ascii="Carlito" w:hAnsi="Carlito"/>
                <w:sz w:val="13"/>
              </w:rPr>
              <w:t>Medium-high</w:t>
            </w:r>
          </w:p>
        </w:tc>
        <w:tc>
          <w:tcPr>
            <w:tcW w:type="dxa" w:w="3168"/>
            <w:tcMar>
              <w:top w:w="55" w:type="dxa"/>
              <w:start w:w="65" w:type="dxa"/>
              <w:bottom w:w="55" w:type="dxa"/>
              <w:end w:w="65" w:type="dxa"/>
            </w:tcMar>
            <w:vAlign w:val="top"/>
          </w:tcPr>
          <w:p>
            <w:pPr>
              <w:spacing w:after="0"/>
            </w:pPr>
            <w:r>
              <w:rPr>
                <w:rFonts w:ascii="Carlito" w:hAnsi="Carlito"/>
                <w:sz w:val="13"/>
              </w:rPr>
              <w:t>Different service, governance and tenant-selection model</w:t>
            </w:r>
          </w:p>
        </w:tc>
        <w:tc>
          <w:tcPr>
            <w:tcW w:type="dxa" w:w="3456"/>
            <w:tcMar>
              <w:top w:w="55" w:type="dxa"/>
              <w:start w:w="65" w:type="dxa"/>
              <w:bottom w:w="55" w:type="dxa"/>
              <w:end w:w="65" w:type="dxa"/>
            </w:tcMar>
            <w:vAlign w:val="top"/>
          </w:tcPr>
          <w:p>
            <w:pPr>
              <w:spacing w:after="0"/>
            </w:pPr>
            <w:r>
              <w:rPr>
                <w:rFonts w:ascii="Carlito" w:hAnsi="Carlito"/>
                <w:sz w:val="13"/>
              </w:rPr>
              <w:t>Its public ownership and tax treatment make it an imperfect private-market comparable.</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Waterloo’s 2019 density bonus materially increased modeled residual land value.</w:t>
            </w:r>
          </w:p>
        </w:tc>
        <w:tc>
          <w:tcPr>
            <w:tcW w:type="dxa" w:w="1656"/>
            <w:shd w:fill="F3F5F7"/>
            <w:tcMar>
              <w:top w:w="55" w:type="dxa"/>
              <w:start w:w="65" w:type="dxa"/>
              <w:bottom w:w="55" w:type="dxa"/>
              <w:end w:w="65" w:type="dxa"/>
            </w:tcMar>
            <w:vAlign w:val="top"/>
          </w:tcPr>
          <w:p>
            <w:pPr>
              <w:spacing w:after="0"/>
            </w:pPr>
            <w:r>
              <w:rPr>
                <w:rFonts w:ascii="Carlito" w:hAnsi="Carlito"/>
                <w:sz w:val="13"/>
              </w:rPr>
              <w:t>S09; S24; model</w:t>
            </w:r>
          </w:p>
        </w:tc>
        <w:tc>
          <w:tcPr>
            <w:tcW w:type="dxa" w:w="1656"/>
            <w:shd w:fill="F3F5F7"/>
            <w:tcMar>
              <w:top w:w="55" w:type="dxa"/>
              <w:start w:w="65" w:type="dxa"/>
              <w:bottom w:w="55" w:type="dxa"/>
              <w:end w:w="65" w:type="dxa"/>
            </w:tcMar>
            <w:vAlign w:val="top"/>
          </w:tcPr>
          <w:p>
            <w:pPr>
              <w:spacing w:after="0"/>
            </w:pPr>
            <w:r>
              <w:rPr>
                <w:rFonts w:ascii="Carlito" w:hAnsi="Carlito"/>
                <w:sz w:val="13"/>
              </w:rPr>
              <w:t>Inferred/modelled</w:t>
            </w:r>
          </w:p>
        </w:tc>
        <w:tc>
          <w:tcPr>
            <w:tcW w:type="dxa" w:w="1008"/>
            <w:shd w:fill="F3F5F7"/>
            <w:tcMar>
              <w:top w:w="55" w:type="dxa"/>
              <w:start w:w="65" w:type="dxa"/>
              <w:bottom w:w="55" w:type="dxa"/>
              <w:end w:w="65" w:type="dxa"/>
            </w:tcMar>
            <w:vAlign w:val="top"/>
          </w:tcPr>
          <w:p>
            <w:pPr>
              <w:spacing w:after="0"/>
            </w:pPr>
            <w:r>
              <w:rPr>
                <w:rFonts w:ascii="Carlito" w:hAnsi="Carlito"/>
                <w:sz w:val="13"/>
              </w:rPr>
              <w:t>Medium</w:t>
            </w:r>
          </w:p>
        </w:tc>
        <w:tc>
          <w:tcPr>
            <w:tcW w:type="dxa" w:w="3168"/>
            <w:shd w:fill="F3F5F7"/>
            <w:tcMar>
              <w:top w:w="55" w:type="dxa"/>
              <w:start w:w="65" w:type="dxa"/>
              <w:bottom w:w="55" w:type="dxa"/>
              <w:end w:w="65" w:type="dxa"/>
            </w:tcMar>
            <w:vAlign w:val="top"/>
          </w:tcPr>
          <w:p>
            <w:pPr>
              <w:spacing w:after="0"/>
            </w:pPr>
            <w:r>
              <w:rPr>
                <w:rFonts w:ascii="Carlito" w:hAnsi="Carlito"/>
                <w:sz w:val="13"/>
              </w:rPr>
              <w:t>No approved 225-foot alternate plan or actual land basis</w:t>
            </w:r>
          </w:p>
        </w:tc>
        <w:tc>
          <w:tcPr>
            <w:tcW w:type="dxa" w:w="3456"/>
            <w:shd w:fill="F3F5F7"/>
            <w:tcMar>
              <w:top w:w="55" w:type="dxa"/>
              <w:start w:w="65" w:type="dxa"/>
              <w:bottom w:w="55" w:type="dxa"/>
              <w:end w:w="65" w:type="dxa"/>
            </w:tcMar>
            <w:vAlign w:val="top"/>
          </w:tcPr>
          <w:p>
            <w:pPr>
              <w:spacing w:after="0"/>
            </w:pPr>
            <w:r>
              <w:rPr>
                <w:rFonts w:ascii="Carlito" w:hAnsi="Carlito"/>
                <w:sz w:val="13"/>
              </w:rPr>
              <w:t>Old-entitlement case is a volumetric proxy, not a counterfactual appraisal.</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Current asking-rate spreads reflect location, room privacy, services and building quality, not just market power.</w:t>
            </w:r>
          </w:p>
        </w:tc>
        <w:tc>
          <w:tcPr>
            <w:tcW w:type="dxa" w:w="1656"/>
            <w:tcMar>
              <w:top w:w="55" w:type="dxa"/>
              <w:start w:w="65" w:type="dxa"/>
              <w:bottom w:w="55" w:type="dxa"/>
              <w:end w:w="65" w:type="dxa"/>
            </w:tcMar>
            <w:vAlign w:val="top"/>
          </w:tcPr>
          <w:p>
            <w:pPr>
              <w:spacing w:after="0"/>
            </w:pPr>
            <w:r>
              <w:rPr>
                <w:rFonts w:ascii="Carlito" w:hAnsi="Carlito"/>
                <w:sz w:val="13"/>
              </w:rPr>
              <w:t>EP-OP-001; S06; S14; S19; S20; S21; S22; S23</w:t>
            </w:r>
          </w:p>
        </w:tc>
        <w:tc>
          <w:tcPr>
            <w:tcW w:type="dxa" w:w="1656"/>
            <w:tcMar>
              <w:top w:w="55" w:type="dxa"/>
              <w:start w:w="65" w:type="dxa"/>
              <w:bottom w:w="55" w:type="dxa"/>
              <w:end w:w="65" w:type="dxa"/>
            </w:tcMar>
            <w:vAlign w:val="top"/>
          </w:tcPr>
          <w:p>
            <w:pPr>
              <w:spacing w:after="0"/>
            </w:pPr>
            <w:r>
              <w:rPr>
                <w:rFonts w:ascii="Carlito" w:hAnsi="Carlito"/>
                <w:sz w:val="13"/>
              </w:rPr>
              <w:t>Direct comparisons plus inference</w:t>
            </w:r>
          </w:p>
        </w:tc>
        <w:tc>
          <w:tcPr>
            <w:tcW w:type="dxa" w:w="1008"/>
            <w:tcMar>
              <w:top w:w="55" w:type="dxa"/>
              <w:start w:w="65" w:type="dxa"/>
              <w:bottom w:w="55" w:type="dxa"/>
              <w:end w:w="65" w:type="dxa"/>
            </w:tcMar>
            <w:vAlign w:val="top"/>
          </w:tcPr>
          <w:p>
            <w:pPr>
              <w:spacing w:after="0"/>
            </w:pPr>
            <w:r>
              <w:rPr>
                <w:rFonts w:ascii="Carlito" w:hAnsi="Carlito"/>
                <w:sz w:val="13"/>
              </w:rPr>
              <w:t>Medium-high</w:t>
            </w:r>
          </w:p>
        </w:tc>
        <w:tc>
          <w:tcPr>
            <w:tcW w:type="dxa" w:w="3168"/>
            <w:tcMar>
              <w:top w:w="55" w:type="dxa"/>
              <w:start w:w="65" w:type="dxa"/>
              <w:bottom w:w="55" w:type="dxa"/>
              <w:end w:w="65" w:type="dxa"/>
            </w:tcMar>
            <w:vAlign w:val="top"/>
          </w:tcPr>
          <w:p>
            <w:pPr>
              <w:spacing w:after="0"/>
            </w:pPr>
            <w:r>
              <w:rPr>
                <w:rFonts w:ascii="Carlito" w:hAnsi="Carlito"/>
                <w:sz w:val="13"/>
              </w:rPr>
              <w:t>Executed lease rates and hedonic regression unavailable</w:t>
            </w:r>
          </w:p>
        </w:tc>
        <w:tc>
          <w:tcPr>
            <w:tcW w:type="dxa" w:w="3456"/>
            <w:tcMar>
              <w:top w:w="55" w:type="dxa"/>
              <w:start w:w="65" w:type="dxa"/>
              <w:bottom w:w="55" w:type="dxa"/>
              <w:end w:w="65" w:type="dxa"/>
            </w:tcMar>
            <w:vAlign w:val="top"/>
          </w:tcPr>
          <w:p>
            <w:pPr>
              <w:spacing w:after="0"/>
            </w:pPr>
            <w:r>
              <w:rPr>
                <w:rFonts w:ascii="Carlito" w:hAnsi="Carlito"/>
                <w:sz w:val="13"/>
              </w:rPr>
              <w:t>Residual premium is not labeled market power.</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Concessions can erase a meaningful part of the headline rent premium.</w:t>
            </w:r>
          </w:p>
        </w:tc>
        <w:tc>
          <w:tcPr>
            <w:tcW w:type="dxa" w:w="1656"/>
            <w:shd w:fill="F3F5F7"/>
            <w:tcMar>
              <w:top w:w="55" w:type="dxa"/>
              <w:start w:w="65" w:type="dxa"/>
              <w:bottom w:w="55" w:type="dxa"/>
              <w:end w:w="65" w:type="dxa"/>
            </w:tcMar>
            <w:vAlign w:val="top"/>
          </w:tcPr>
          <w:p>
            <w:pPr>
              <w:spacing w:after="0"/>
            </w:pPr>
            <w:r>
              <w:rPr>
                <w:rFonts w:ascii="Carlito" w:hAnsi="Carlito"/>
                <w:sz w:val="13"/>
              </w:rPr>
              <w:t>EP-OP-001; S19; S21</w:t>
            </w:r>
          </w:p>
        </w:tc>
        <w:tc>
          <w:tcPr>
            <w:tcW w:type="dxa" w:w="1656"/>
            <w:shd w:fill="F3F5F7"/>
            <w:tcMar>
              <w:top w:w="55" w:type="dxa"/>
              <w:start w:w="65" w:type="dxa"/>
              <w:bottom w:w="55" w:type="dxa"/>
              <w:end w:w="65" w:type="dxa"/>
            </w:tcMar>
            <w:vAlign w:val="top"/>
          </w:tcPr>
          <w:p>
            <w:pPr>
              <w:spacing w:after="0"/>
            </w:pPr>
            <w:r>
              <w:rPr>
                <w:rFonts w:ascii="Carlito" w:hAnsi="Carlito"/>
                <w:sz w:val="13"/>
              </w:rPr>
              <w:t>Direct and calculated</w:t>
            </w:r>
          </w:p>
        </w:tc>
        <w:tc>
          <w:tcPr>
            <w:tcW w:type="dxa" w:w="1008"/>
            <w:shd w:fill="F3F5F7"/>
            <w:tcMar>
              <w:top w:w="55" w:type="dxa"/>
              <w:start w:w="65" w:type="dxa"/>
              <w:bottom w:w="55" w:type="dxa"/>
              <w:end w:w="65" w:type="dxa"/>
            </w:tcMar>
            <w:vAlign w:val="top"/>
          </w:tcPr>
          <w:p>
            <w:pPr>
              <w:spacing w:after="0"/>
            </w:pPr>
            <w:r>
              <w:rPr>
                <w:rFonts w:ascii="Carlito" w:hAnsi="Carlito"/>
                <w:sz w:val="13"/>
              </w:rPr>
              <w:t>High</w:t>
            </w:r>
          </w:p>
        </w:tc>
        <w:tc>
          <w:tcPr>
            <w:tcW w:type="dxa" w:w="3168"/>
            <w:shd w:fill="F3F5F7"/>
            <w:tcMar>
              <w:top w:w="55" w:type="dxa"/>
              <w:start w:w="65" w:type="dxa"/>
              <w:bottom w:w="55" w:type="dxa"/>
              <w:end w:w="65" w:type="dxa"/>
            </w:tcMar>
            <w:vAlign w:val="top"/>
          </w:tcPr>
          <w:p>
            <w:pPr>
              <w:spacing w:after="0"/>
            </w:pPr>
            <w:r>
              <w:rPr>
                <w:rFonts w:ascii="Carlito" w:hAnsi="Carlito"/>
                <w:sz w:val="13"/>
              </w:rPr>
              <w:t>Promotions may apply only to selected inventory</w:t>
            </w:r>
          </w:p>
        </w:tc>
        <w:tc>
          <w:tcPr>
            <w:tcW w:type="dxa" w:w="3456"/>
            <w:shd w:fill="F3F5F7"/>
            <w:tcMar>
              <w:top w:w="55" w:type="dxa"/>
              <w:start w:w="65" w:type="dxa"/>
              <w:bottom w:w="55" w:type="dxa"/>
              <w:end w:w="65" w:type="dxa"/>
            </w:tcMar>
            <w:vAlign w:val="top"/>
          </w:tcPr>
          <w:p>
            <w:pPr>
              <w:spacing w:after="0"/>
            </w:pPr>
            <w:r>
              <w:rPr>
                <w:rFonts w:ascii="Carlito" w:hAnsi="Carlito"/>
                <w:sz w:val="13"/>
              </w:rPr>
              <w:t>Property-wide effective concessions are modeled ranges.</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Early preleasing can coexist with later distress.</w:t>
            </w:r>
          </w:p>
        </w:tc>
        <w:tc>
          <w:tcPr>
            <w:tcW w:type="dxa" w:w="1656"/>
            <w:tcMar>
              <w:top w:w="55" w:type="dxa"/>
              <w:start w:w="65" w:type="dxa"/>
              <w:bottom w:w="55" w:type="dxa"/>
              <w:end w:w="65" w:type="dxa"/>
            </w:tcMar>
            <w:vAlign w:val="top"/>
          </w:tcPr>
          <w:p>
            <w:pPr>
              <w:spacing w:after="0"/>
            </w:pPr>
            <w:r>
              <w:rPr>
                <w:rFonts w:ascii="Carlito" w:hAnsi="Carlito"/>
                <w:sz w:val="13"/>
              </w:rPr>
              <w:t>S04; S05; S13</w:t>
            </w:r>
          </w:p>
        </w:tc>
        <w:tc>
          <w:tcPr>
            <w:tcW w:type="dxa" w:w="1656"/>
            <w:tcMar>
              <w:top w:w="55" w:type="dxa"/>
              <w:start w:w="65" w:type="dxa"/>
              <w:bottom w:w="55" w:type="dxa"/>
              <w:end w:w="65" w:type="dxa"/>
            </w:tcMar>
            <w:vAlign w:val="top"/>
          </w:tcPr>
          <w:p>
            <w:pPr>
              <w:spacing w:after="0"/>
            </w:pPr>
            <w:r>
              <w:rPr>
                <w:rFonts w:ascii="Carlito" w:hAnsi="Carlito"/>
                <w:sz w:val="13"/>
              </w:rPr>
              <w:t>Direct</w:t>
            </w:r>
          </w:p>
        </w:tc>
        <w:tc>
          <w:tcPr>
            <w:tcW w:type="dxa" w:w="1008"/>
            <w:tcMar>
              <w:top w:w="55" w:type="dxa"/>
              <w:start w:w="65" w:type="dxa"/>
              <w:bottom w:w="55" w:type="dxa"/>
              <w:end w:w="65" w:type="dxa"/>
            </w:tcMar>
            <w:vAlign w:val="top"/>
          </w:tcPr>
          <w:p>
            <w:pPr>
              <w:spacing w:after="0"/>
            </w:pPr>
            <w:r>
              <w:rPr>
                <w:rFonts w:ascii="Carlito" w:hAnsi="Carlito"/>
                <w:sz w:val="13"/>
              </w:rPr>
              <w:t>High</w:t>
            </w:r>
          </w:p>
        </w:tc>
        <w:tc>
          <w:tcPr>
            <w:tcW w:type="dxa" w:w="3168"/>
            <w:tcMar>
              <w:top w:w="55" w:type="dxa"/>
              <w:start w:w="65" w:type="dxa"/>
              <w:bottom w:w="55" w:type="dxa"/>
              <w:end w:w="65" w:type="dxa"/>
            </w:tcMar>
            <w:vAlign w:val="top"/>
          </w:tcPr>
          <w:p>
            <w:pPr>
              <w:spacing w:after="0"/>
            </w:pPr>
            <w:r>
              <w:rPr>
                <w:rFonts w:ascii="Carlito" w:hAnsi="Carlito"/>
                <w:sz w:val="13"/>
              </w:rPr>
              <w:t>Academic years differ</w:t>
            </w:r>
          </w:p>
        </w:tc>
        <w:tc>
          <w:tcPr>
            <w:tcW w:type="dxa" w:w="3456"/>
            <w:tcMar>
              <w:top w:w="55" w:type="dxa"/>
              <w:start w:w="65" w:type="dxa"/>
              <w:bottom w:w="55" w:type="dxa"/>
              <w:end w:w="65" w:type="dxa"/>
            </w:tcMar>
            <w:vAlign w:val="top"/>
          </w:tcPr>
          <w:p>
            <w:pPr>
              <w:spacing w:after="0"/>
            </w:pPr>
            <w:r>
              <w:rPr>
                <w:rFonts w:ascii="Carlito" w:hAnsi="Carlito"/>
                <w:sz w:val="13"/>
              </w:rPr>
              <w:t>Prelease points must not be pooled as one continuous curve.</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Older 26 West likely benefits from a much lower acquisition basis than current tower economics.</w:t>
            </w:r>
          </w:p>
        </w:tc>
        <w:tc>
          <w:tcPr>
            <w:tcW w:type="dxa" w:w="1656"/>
            <w:shd w:fill="F3F5F7"/>
            <w:tcMar>
              <w:top w:w="55" w:type="dxa"/>
              <w:start w:w="65" w:type="dxa"/>
              <w:bottom w:w="55" w:type="dxa"/>
              <w:end w:w="65" w:type="dxa"/>
            </w:tcMar>
            <w:vAlign w:val="top"/>
          </w:tcPr>
          <w:p>
            <w:pPr>
              <w:spacing w:after="0"/>
            </w:pPr>
            <w:r>
              <w:rPr>
                <w:rFonts w:ascii="Carlito" w:hAnsi="Carlito"/>
                <w:sz w:val="13"/>
              </w:rPr>
              <w:t>EP-OWN-001; S14; model</w:t>
            </w:r>
          </w:p>
        </w:tc>
        <w:tc>
          <w:tcPr>
            <w:tcW w:type="dxa" w:w="1656"/>
            <w:shd w:fill="F3F5F7"/>
            <w:tcMar>
              <w:top w:w="55" w:type="dxa"/>
              <w:start w:w="65" w:type="dxa"/>
              <w:bottom w:w="55" w:type="dxa"/>
              <w:end w:w="65" w:type="dxa"/>
            </w:tcMar>
            <w:vAlign w:val="top"/>
          </w:tcPr>
          <w:p>
            <w:pPr>
              <w:spacing w:after="0"/>
            </w:pPr>
            <w:r>
              <w:rPr>
                <w:rFonts w:ascii="Carlito" w:hAnsi="Carlito"/>
                <w:sz w:val="13"/>
              </w:rPr>
              <w:t>Direct basis plus model</w:t>
            </w:r>
          </w:p>
        </w:tc>
        <w:tc>
          <w:tcPr>
            <w:tcW w:type="dxa" w:w="1008"/>
            <w:shd w:fill="F3F5F7"/>
            <w:tcMar>
              <w:top w:w="55" w:type="dxa"/>
              <w:start w:w="65" w:type="dxa"/>
              <w:bottom w:w="55" w:type="dxa"/>
              <w:end w:w="65" w:type="dxa"/>
            </w:tcMar>
            <w:vAlign w:val="top"/>
          </w:tcPr>
          <w:p>
            <w:pPr>
              <w:spacing w:after="0"/>
            </w:pPr>
            <w:r>
              <w:rPr>
                <w:rFonts w:ascii="Carlito" w:hAnsi="Carlito"/>
                <w:sz w:val="13"/>
              </w:rPr>
              <w:t>Medium-high</w:t>
            </w:r>
          </w:p>
        </w:tc>
        <w:tc>
          <w:tcPr>
            <w:tcW w:type="dxa" w:w="3168"/>
            <w:shd w:fill="F3F5F7"/>
            <w:tcMar>
              <w:top w:w="55" w:type="dxa"/>
              <w:start w:w="65" w:type="dxa"/>
              <w:bottom w:w="55" w:type="dxa"/>
              <w:end w:w="65" w:type="dxa"/>
            </w:tcMar>
            <w:vAlign w:val="top"/>
          </w:tcPr>
          <w:p>
            <w:pPr>
              <w:spacing w:after="0"/>
            </w:pPr>
            <w:r>
              <w:rPr>
                <w:rFonts w:ascii="Carlito" w:hAnsi="Carlito"/>
                <w:sz w:val="13"/>
              </w:rPr>
              <w:t>Current debt, capital improvements and realized cash flows unavailable</w:t>
            </w:r>
          </w:p>
        </w:tc>
        <w:tc>
          <w:tcPr>
            <w:tcW w:type="dxa" w:w="3456"/>
            <w:shd w:fill="F3F5F7"/>
            <w:tcMar>
              <w:top w:w="55" w:type="dxa"/>
              <w:start w:w="65" w:type="dxa"/>
              <w:bottom w:w="55" w:type="dxa"/>
              <w:end w:w="65" w:type="dxa"/>
            </w:tcMar>
            <w:vAlign w:val="top"/>
          </w:tcPr>
          <w:p>
            <w:pPr>
              <w:spacing w:after="0"/>
            </w:pPr>
            <w:r>
              <w:rPr>
                <w:rFonts w:ascii="Carlito" w:hAnsi="Carlito"/>
                <w:sz w:val="13"/>
              </w:rPr>
              <w:t>The reported return is a normalized hold, not a realized sponsor IRR.</w:t>
            </w:r>
          </w:p>
        </w:tc>
      </w:tr>
      <w:tr>
        <w:trPr>
          <w:cantSplit/>
        </w:trPr>
        <w:tc>
          <w:tcPr>
            <w:tcW w:type="dxa" w:w="3672"/>
            <w:tcMar>
              <w:top w:w="55" w:type="dxa"/>
              <w:start w:w="65" w:type="dxa"/>
              <w:bottom w:w="55" w:type="dxa"/>
              <w:end w:w="65" w:type="dxa"/>
            </w:tcMar>
            <w:vAlign w:val="top"/>
          </w:tcPr>
          <w:p>
            <w:pPr>
              <w:spacing w:after="0"/>
            </w:pPr>
            <w:r>
              <w:rPr>
                <w:rFonts w:ascii="Carlito" w:hAnsi="Carlito"/>
                <w:sz w:val="13"/>
              </w:rPr>
              <w:t>A combined leasing, expense and refinancing shock can require equity paydown even while NOI remains positive.</w:t>
            </w:r>
          </w:p>
        </w:tc>
        <w:tc>
          <w:tcPr>
            <w:tcW w:type="dxa" w:w="1656"/>
            <w:tcMar>
              <w:top w:w="55" w:type="dxa"/>
              <w:start w:w="65" w:type="dxa"/>
              <w:bottom w:w="55" w:type="dxa"/>
              <w:end w:w="65" w:type="dxa"/>
            </w:tcMar>
            <w:vAlign w:val="top"/>
          </w:tcPr>
          <w:p>
            <w:pPr>
              <w:spacing w:after="0"/>
            </w:pPr>
            <w:r>
              <w:rPr>
                <w:rFonts w:ascii="Carlito" w:hAnsi="Carlito"/>
                <w:sz w:val="13"/>
              </w:rPr>
              <w:t>Model; S04; S05</w:t>
            </w:r>
          </w:p>
        </w:tc>
        <w:tc>
          <w:tcPr>
            <w:tcW w:type="dxa" w:w="1656"/>
            <w:tcMar>
              <w:top w:w="55" w:type="dxa"/>
              <w:start w:w="65" w:type="dxa"/>
              <w:bottom w:w="55" w:type="dxa"/>
              <w:end w:w="65" w:type="dxa"/>
            </w:tcMar>
            <w:vAlign w:val="top"/>
          </w:tcPr>
          <w:p>
            <w:pPr>
              <w:spacing w:after="0"/>
            </w:pPr>
            <w:r>
              <w:rPr>
                <w:rFonts w:ascii="Carlito" w:hAnsi="Carlito"/>
                <w:sz w:val="13"/>
              </w:rPr>
              <w:t>Modelled</w:t>
            </w:r>
          </w:p>
        </w:tc>
        <w:tc>
          <w:tcPr>
            <w:tcW w:type="dxa" w:w="1008"/>
            <w:tcMar>
              <w:top w:w="55" w:type="dxa"/>
              <w:start w:w="65" w:type="dxa"/>
              <w:bottom w:w="55" w:type="dxa"/>
              <w:end w:w="65" w:type="dxa"/>
            </w:tcMar>
            <w:vAlign w:val="top"/>
          </w:tcPr>
          <w:p>
            <w:pPr>
              <w:spacing w:after="0"/>
            </w:pPr>
            <w:r>
              <w:rPr>
                <w:rFonts w:ascii="Carlito" w:hAnsi="Carlito"/>
                <w:sz w:val="13"/>
              </w:rPr>
              <w:t>Medium-high</w:t>
            </w:r>
          </w:p>
        </w:tc>
        <w:tc>
          <w:tcPr>
            <w:tcW w:type="dxa" w:w="3168"/>
            <w:tcMar>
              <w:top w:w="55" w:type="dxa"/>
              <w:start w:w="65" w:type="dxa"/>
              <w:bottom w:w="55" w:type="dxa"/>
              <w:end w:w="65" w:type="dxa"/>
            </w:tcMar>
            <w:vAlign w:val="top"/>
          </w:tcPr>
          <w:p>
            <w:pPr>
              <w:spacing w:after="0"/>
            </w:pPr>
            <w:r>
              <w:rPr>
                <w:rFonts w:ascii="Carlito" w:hAnsi="Carlito"/>
                <w:sz w:val="13"/>
              </w:rPr>
              <w:t>Actual loan covenants unknown for five assets</w:t>
            </w:r>
          </w:p>
        </w:tc>
        <w:tc>
          <w:tcPr>
            <w:tcW w:type="dxa" w:w="3456"/>
            <w:tcMar>
              <w:top w:w="55" w:type="dxa"/>
              <w:start w:w="65" w:type="dxa"/>
              <w:bottom w:w="55" w:type="dxa"/>
              <w:end w:w="65" w:type="dxa"/>
            </w:tcMar>
            <w:vAlign w:val="top"/>
          </w:tcPr>
          <w:p>
            <w:pPr>
              <w:spacing w:after="0"/>
            </w:pPr>
            <w:r>
              <w:rPr>
                <w:rFonts w:ascii="Carlito" w:hAnsi="Carlito"/>
                <w:sz w:val="13"/>
              </w:rPr>
              <w:t>Non-SkyLoft leverage is illustrative.</w:t>
            </w:r>
          </w:p>
        </w:tc>
      </w:tr>
      <w:tr>
        <w:trPr>
          <w:cantSplit/>
        </w:trPr>
        <w:tc>
          <w:tcPr>
            <w:tcW w:type="dxa" w:w="3672"/>
            <w:shd w:fill="F3F5F7"/>
            <w:tcMar>
              <w:top w:w="55" w:type="dxa"/>
              <w:start w:w="65" w:type="dxa"/>
              <w:bottom w:w="55" w:type="dxa"/>
              <w:end w:w="65" w:type="dxa"/>
            </w:tcMar>
            <w:vAlign w:val="top"/>
          </w:tcPr>
          <w:p>
            <w:pPr>
              <w:spacing w:after="0"/>
            </w:pPr>
            <w:r>
              <w:rPr>
                <w:rFonts w:ascii="Carlito" w:hAnsi="Carlito"/>
                <w:sz w:val="13"/>
              </w:rPr>
              <w:t>The first economic loss from unleased beds falls on property cash flow and common equity, not on tenants who never signed.</w:t>
            </w:r>
          </w:p>
        </w:tc>
        <w:tc>
          <w:tcPr>
            <w:tcW w:type="dxa" w:w="1656"/>
            <w:shd w:fill="F3F5F7"/>
            <w:tcMar>
              <w:top w:w="55" w:type="dxa"/>
              <w:start w:w="65" w:type="dxa"/>
              <w:bottom w:w="55" w:type="dxa"/>
              <w:end w:w="65" w:type="dxa"/>
            </w:tcMar>
            <w:vAlign w:val="top"/>
          </w:tcPr>
          <w:p>
            <w:pPr>
              <w:spacing w:after="0"/>
            </w:pPr>
            <w:r>
              <w:rPr>
                <w:rFonts w:ascii="Carlito" w:hAnsi="Carlito"/>
                <w:sz w:val="13"/>
              </w:rPr>
              <w:t>Lease mechanics; model</w:t>
            </w:r>
          </w:p>
        </w:tc>
        <w:tc>
          <w:tcPr>
            <w:tcW w:type="dxa" w:w="1656"/>
            <w:shd w:fill="F3F5F7"/>
            <w:tcMar>
              <w:top w:w="55" w:type="dxa"/>
              <w:start w:w="65" w:type="dxa"/>
              <w:bottom w:w="55" w:type="dxa"/>
              <w:end w:w="65" w:type="dxa"/>
            </w:tcMar>
            <w:vAlign w:val="top"/>
          </w:tcPr>
          <w:p>
            <w:pPr>
              <w:spacing w:after="0"/>
            </w:pPr>
            <w:r>
              <w:rPr>
                <w:rFonts w:ascii="Carlito" w:hAnsi="Carlito"/>
                <w:sz w:val="13"/>
              </w:rPr>
              <w:t>Inferred</w:t>
            </w:r>
          </w:p>
        </w:tc>
        <w:tc>
          <w:tcPr>
            <w:tcW w:type="dxa" w:w="1008"/>
            <w:shd w:fill="F3F5F7"/>
            <w:tcMar>
              <w:top w:w="55" w:type="dxa"/>
              <w:start w:w="65" w:type="dxa"/>
              <w:bottom w:w="55" w:type="dxa"/>
              <w:end w:w="65" w:type="dxa"/>
            </w:tcMar>
            <w:vAlign w:val="top"/>
          </w:tcPr>
          <w:p>
            <w:pPr>
              <w:spacing w:after="0"/>
            </w:pPr>
            <w:r>
              <w:rPr>
                <w:rFonts w:ascii="Carlito" w:hAnsi="Carlito"/>
                <w:sz w:val="13"/>
              </w:rPr>
              <w:t>High</w:t>
            </w:r>
          </w:p>
        </w:tc>
        <w:tc>
          <w:tcPr>
            <w:tcW w:type="dxa" w:w="3168"/>
            <w:shd w:fill="F3F5F7"/>
            <w:tcMar>
              <w:top w:w="55" w:type="dxa"/>
              <w:start w:w="65" w:type="dxa"/>
              <w:bottom w:w="55" w:type="dxa"/>
              <w:end w:w="65" w:type="dxa"/>
            </w:tcMar>
            <w:vAlign w:val="top"/>
          </w:tcPr>
          <w:p>
            <w:pPr>
              <w:spacing w:after="0"/>
            </w:pPr>
            <w:r>
              <w:rPr>
                <w:rFonts w:ascii="Carlito" w:hAnsi="Carlito"/>
                <w:sz w:val="13"/>
              </w:rPr>
              <w:t>Signed tenants/guarantors remain liable for their own obligations</w:t>
            </w:r>
          </w:p>
        </w:tc>
        <w:tc>
          <w:tcPr>
            <w:tcW w:type="dxa" w:w="3456"/>
            <w:shd w:fill="F3F5F7"/>
            <w:tcMar>
              <w:top w:w="55" w:type="dxa"/>
              <w:start w:w="65" w:type="dxa"/>
              <w:bottom w:w="55" w:type="dxa"/>
              <w:end w:w="65" w:type="dxa"/>
            </w:tcMar>
            <w:vAlign w:val="top"/>
          </w:tcPr>
          <w:p>
            <w:pPr>
              <w:spacing w:after="0"/>
            </w:pPr>
            <w:r>
              <w:rPr>
                <w:rFonts w:ascii="Carlito" w:hAnsi="Carlito"/>
                <w:sz w:val="13"/>
              </w:rPr>
              <w:t>Distinguish tenant default from market vacancy.</w:t>
            </w:r>
          </w:p>
        </w:tc>
      </w:tr>
    </w:tbl>
    <w:p>
      <w:pPr>
        <w:spacing w:after="20"/>
      </w:pPr>
    </w:p>
    <w:p>
      <w:pPr>
        <w:pStyle w:val="Heading1"/>
      </w:pPr>
      <w:r>
        <w:t>Source ledger</w:t>
      </w:r>
    </w:p>
    <w:tbl>
      <w:tblPr>
        <w:tblStyle w:val="TableGrid"/>
        <w:tblW w:type="auto" w:w="0"/>
        <w:jc w:val="center"/>
        <w:tblLayout w:type="fixed"/>
        <w:tblLook w:firstColumn="1" w:firstRow="1" w:lastColumn="0" w:lastRow="0" w:noHBand="0" w:noVBand="1" w:val="04A0"/>
      </w:tblPr>
      <w:tblGrid>
        <w:gridCol w:w="792"/>
        <w:gridCol w:w="3240"/>
        <w:gridCol w:w="1944"/>
        <w:gridCol w:w="1152"/>
        <w:gridCol w:w="3600"/>
        <w:gridCol w:w="3888"/>
      </w:tblGrid>
      <w:tr>
        <w:trPr>
          <w:tblHeader w:val="true"/>
        </w:trPr>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ID</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Title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Type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Date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Model use</w:t>
            </w:r>
          </w:p>
        </w:tc>
        <w:tc>
          <w:tcPr>
            <w:tcW w:type="dxa" w:w="2424"/>
            <w:shd w:fill="17324D"/>
            <w:tcMar>
              <w:top w:w="70" w:type="dxa"/>
              <w:start w:w="70" w:type="dxa"/>
              <w:bottom w:w="70" w:type="dxa"/>
              <w:end w:w="70" w:type="dxa"/>
            </w:tcMar>
            <w:vAlign w:val="center"/>
          </w:tcPr>
          <w:p>
            <w:pPr>
              <w:jc w:val="left"/>
            </w:pPr>
            <w:r>
              <w:rPr>
                <w:rFonts w:ascii="Clear Sans" w:hAnsi="Clear Sans"/>
                <w:b/>
                <w:color w:val="FFFFFF"/>
                <w:sz w:val="12"/>
              </w:rPr>
              <w:t>URL</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EP-OP-001</w:t>
            </w:r>
          </w:p>
        </w:tc>
        <w:tc>
          <w:tcPr>
            <w:tcW w:type="dxa" w:w="3240"/>
            <w:tcMar>
              <w:top w:w="55" w:type="dxa"/>
              <w:start w:w="65" w:type="dxa"/>
              <w:bottom w:w="55" w:type="dxa"/>
              <w:end w:w="65" w:type="dxa"/>
            </w:tcMar>
            <w:vAlign w:val="top"/>
          </w:tcPr>
          <w:p>
            <w:pPr>
              <w:spacing w:after="0"/>
            </w:pPr>
            <w:r>
              <w:rPr>
                <w:rFonts w:ascii="Carlito" w:hAnsi="Carlito"/>
                <w:sz w:val="12"/>
              </w:rPr>
              <w:t>West Campus Student Housing Lease and Operating Economics</w:t>
            </w:r>
          </w:p>
        </w:tc>
        <w:tc>
          <w:tcPr>
            <w:tcW w:type="dxa" w:w="1944"/>
            <w:tcMar>
              <w:top w:w="55" w:type="dxa"/>
              <w:start w:w="65" w:type="dxa"/>
              <w:bottom w:w="55" w:type="dxa"/>
              <w:end w:w="65" w:type="dxa"/>
            </w:tcMar>
            <w:vAlign w:val="top"/>
          </w:tcPr>
          <w:p>
            <w:pPr>
              <w:spacing w:after="0"/>
            </w:pPr>
            <w:r>
              <w:rPr>
                <w:rFonts w:ascii="Carlito" w:hAnsi="Carlito"/>
                <w:sz w:val="12"/>
              </w:rPr>
              <w:t>Uploaded evidence memo</w:t>
            </w:r>
          </w:p>
        </w:tc>
        <w:tc>
          <w:tcPr>
            <w:tcW w:type="dxa" w:w="1152"/>
            <w:tcMar>
              <w:top w:w="55" w:type="dxa"/>
              <w:start w:w="65" w:type="dxa"/>
              <w:bottom w:w="55" w:type="dxa"/>
              <w:end w:w="65" w:type="dxa"/>
            </w:tcMar>
            <w:vAlign w:val="top"/>
          </w:tcPr>
          <w:p>
            <w:pPr>
              <w:spacing w:after="0"/>
            </w:pPr>
            <w:r>
              <w:rPr>
                <w:rFonts w:ascii="Carlito" w:hAnsi="Carlito"/>
                <w:sz w:val="12"/>
              </w:rPr>
              <w:t>2026 evidence package</w:t>
            </w:r>
          </w:p>
        </w:tc>
        <w:tc>
          <w:tcPr>
            <w:tcW w:type="dxa" w:w="3600"/>
            <w:tcMar>
              <w:top w:w="55" w:type="dxa"/>
              <w:start w:w="65" w:type="dxa"/>
              <w:bottom w:w="55" w:type="dxa"/>
              <w:end w:w="65" w:type="dxa"/>
            </w:tcMar>
            <w:vAlign w:val="top"/>
          </w:tcPr>
          <w:p>
            <w:pPr>
              <w:spacing w:after="0"/>
            </w:pPr>
            <w:r>
              <w:rPr>
                <w:rFonts w:ascii="Carlito" w:hAnsi="Carlito"/>
                <w:sz w:val="12"/>
              </w:rPr>
              <w:t>Lease terms, fees, rates, SkyLoft operating statement, demand/supply controls</w:t>
            </w:r>
          </w:p>
        </w:tc>
        <w:tc>
          <w:tcPr>
            <w:tcW w:type="dxa" w:w="3888"/>
            <w:tcMar>
              <w:top w:w="55" w:type="dxa"/>
              <w:start w:w="65" w:type="dxa"/>
              <w:bottom w:w="55" w:type="dxa"/>
              <w:end w:w="65" w:type="dxa"/>
            </w:tcMar>
            <w:vAlign w:val="top"/>
          </w:tcPr>
          <w:p>
            <w:pPr>
              <w:spacing w:after="0"/>
            </w:pPr>
            <w:r>
              <w:rPr>
                <w:rFonts w:ascii="Carlito" w:hAnsi="Carlito"/>
                <w:sz w:val="12"/>
              </w:rPr>
              <w:t>User-supplied DOCX</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EP-OWN-001</w:t>
            </w:r>
          </w:p>
        </w:tc>
        <w:tc>
          <w:tcPr>
            <w:tcW w:type="dxa" w:w="3240"/>
            <w:shd w:fill="F3F5F7"/>
            <w:tcMar>
              <w:top w:w="55" w:type="dxa"/>
              <w:start w:w="65" w:type="dxa"/>
              <w:bottom w:w="55" w:type="dxa"/>
              <w:end w:w="65" w:type="dxa"/>
            </w:tcMar>
            <w:vAlign w:val="top"/>
          </w:tcPr>
          <w:p>
            <w:pPr>
              <w:spacing w:after="0"/>
            </w:pPr>
            <w:r>
              <w:rPr>
                <w:rFonts w:ascii="Carlito" w:hAnsi="Carlito"/>
                <w:sz w:val="12"/>
              </w:rPr>
              <w:t>Who Owns and Finances West Campus</w:t>
            </w:r>
          </w:p>
        </w:tc>
        <w:tc>
          <w:tcPr>
            <w:tcW w:type="dxa" w:w="1944"/>
            <w:shd w:fill="F3F5F7"/>
            <w:tcMar>
              <w:top w:w="55" w:type="dxa"/>
              <w:start w:w="65" w:type="dxa"/>
              <w:bottom w:w="55" w:type="dxa"/>
              <w:end w:w="65" w:type="dxa"/>
            </w:tcMar>
            <w:vAlign w:val="top"/>
          </w:tcPr>
          <w:p>
            <w:pPr>
              <w:spacing w:after="0"/>
            </w:pPr>
            <w:r>
              <w:rPr>
                <w:rFonts w:ascii="Carlito" w:hAnsi="Carlito"/>
                <w:sz w:val="12"/>
              </w:rPr>
              <w:t>Uploaded evidence memo</w:t>
            </w:r>
          </w:p>
        </w:tc>
        <w:tc>
          <w:tcPr>
            <w:tcW w:type="dxa" w:w="1152"/>
            <w:shd w:fill="F3F5F7"/>
            <w:tcMar>
              <w:top w:w="55" w:type="dxa"/>
              <w:start w:w="65" w:type="dxa"/>
              <w:bottom w:w="55" w:type="dxa"/>
              <w:end w:w="65" w:type="dxa"/>
            </w:tcMar>
            <w:vAlign w:val="top"/>
          </w:tcPr>
          <w:p>
            <w:pPr>
              <w:spacing w:after="0"/>
            </w:pPr>
            <w:r>
              <w:rPr>
                <w:rFonts w:ascii="Carlito" w:hAnsi="Carlito"/>
                <w:sz w:val="12"/>
              </w:rPr>
              <w:t>2026 evidence package</w:t>
            </w:r>
          </w:p>
        </w:tc>
        <w:tc>
          <w:tcPr>
            <w:tcW w:type="dxa" w:w="3600"/>
            <w:shd w:fill="F3F5F7"/>
            <w:tcMar>
              <w:top w:w="55" w:type="dxa"/>
              <w:start w:w="65" w:type="dxa"/>
              <w:bottom w:w="55" w:type="dxa"/>
              <w:end w:w="65" w:type="dxa"/>
            </w:tcMar>
            <w:vAlign w:val="top"/>
          </w:tcPr>
          <w:p>
            <w:pPr>
              <w:spacing w:after="0"/>
            </w:pPr>
            <w:r>
              <w:rPr>
                <w:rFonts w:ascii="Carlito" w:hAnsi="Carlito"/>
                <w:sz w:val="12"/>
              </w:rPr>
              <w:t>Ownership, financing, development timelines, zoning and dossiers</w:t>
            </w:r>
          </w:p>
        </w:tc>
        <w:tc>
          <w:tcPr>
            <w:tcW w:type="dxa" w:w="3888"/>
            <w:shd w:fill="F3F5F7"/>
            <w:tcMar>
              <w:top w:w="55" w:type="dxa"/>
              <w:start w:w="65" w:type="dxa"/>
              <w:bottom w:w="55" w:type="dxa"/>
              <w:end w:w="65" w:type="dxa"/>
            </w:tcMar>
            <w:vAlign w:val="top"/>
          </w:tcPr>
          <w:p>
            <w:pPr>
              <w:spacing w:after="0"/>
            </w:pPr>
            <w:r>
              <w:rPr>
                <w:rFonts w:ascii="Carlito" w:hAnsi="Carlito"/>
                <w:sz w:val="12"/>
              </w:rPr>
              <w:t>User-supplied DOCX</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S01</w:t>
            </w:r>
          </w:p>
        </w:tc>
        <w:tc>
          <w:tcPr>
            <w:tcW w:type="dxa" w:w="3240"/>
            <w:tcMar>
              <w:top w:w="55" w:type="dxa"/>
              <w:start w:w="65" w:type="dxa"/>
              <w:bottom w:w="55" w:type="dxa"/>
              <w:end w:w="65" w:type="dxa"/>
            </w:tcMar>
            <w:vAlign w:val="top"/>
          </w:tcPr>
          <w:p>
            <w:pPr>
              <w:spacing w:after="0"/>
            </w:pPr>
            <w:r>
              <w:rPr>
                <w:rFonts w:ascii="Carlito" w:hAnsi="Carlito"/>
                <w:sz w:val="12"/>
              </w:rPr>
              <w:t>Torre 2022-23 lease agreement</w:t>
            </w:r>
          </w:p>
        </w:tc>
        <w:tc>
          <w:tcPr>
            <w:tcW w:type="dxa" w:w="1944"/>
            <w:tcMar>
              <w:top w:w="55" w:type="dxa"/>
              <w:start w:w="65" w:type="dxa"/>
              <w:bottom w:w="55" w:type="dxa"/>
              <w:end w:w="65" w:type="dxa"/>
            </w:tcMar>
            <w:vAlign w:val="top"/>
          </w:tcPr>
          <w:p>
            <w:pPr>
              <w:spacing w:after="0"/>
            </w:pPr>
            <w:r>
              <w:rPr>
                <w:rFonts w:ascii="Carlito" w:hAnsi="Carlito"/>
                <w:sz w:val="12"/>
              </w:rPr>
              <w:t>Primary lease</w:t>
            </w:r>
          </w:p>
        </w:tc>
        <w:tc>
          <w:tcPr>
            <w:tcW w:type="dxa" w:w="1152"/>
            <w:tcMar>
              <w:top w:w="55" w:type="dxa"/>
              <w:start w:w="65" w:type="dxa"/>
              <w:bottom w:w="55" w:type="dxa"/>
              <w:end w:w="65" w:type="dxa"/>
            </w:tcMar>
            <w:vAlign w:val="top"/>
          </w:tcPr>
          <w:p>
            <w:pPr>
              <w:spacing w:after="0"/>
            </w:pPr>
            <w:r>
              <w:rPr>
                <w:rFonts w:ascii="Carlito" w:hAnsi="Carlito"/>
                <w:sz w:val="12"/>
              </w:rPr>
              <w:t>2022</w:t>
            </w:r>
          </w:p>
        </w:tc>
        <w:tc>
          <w:tcPr>
            <w:tcW w:type="dxa" w:w="3600"/>
            <w:tcMar>
              <w:top w:w="55" w:type="dxa"/>
              <w:start w:w="65" w:type="dxa"/>
              <w:bottom w:w="55" w:type="dxa"/>
              <w:end w:w="65" w:type="dxa"/>
            </w:tcMar>
            <w:vAlign w:val="top"/>
          </w:tcPr>
          <w:p>
            <w:pPr>
              <w:spacing w:after="0"/>
            </w:pPr>
            <w:r>
              <w:rPr>
                <w:rFonts w:ascii="Carlito" w:hAnsi="Carlito"/>
                <w:sz w:val="12"/>
              </w:rPr>
              <w:t>By-the-bed term, installment, relet and guarantor mechanics</w:t>
            </w:r>
          </w:p>
        </w:tc>
        <w:tc>
          <w:tcPr>
            <w:tcW w:type="dxa" w:w="3888"/>
            <w:tcMar>
              <w:top w:w="55" w:type="dxa"/>
              <w:start w:w="65" w:type="dxa"/>
              <w:bottom w:w="55" w:type="dxa"/>
              <w:end w:w="65" w:type="dxa"/>
            </w:tcMar>
            <w:vAlign w:val="top"/>
          </w:tcPr>
          <w:p>
            <w:pPr>
              <w:spacing w:after="0"/>
            </w:pPr>
            <w:r>
              <w:rPr>
                <w:rFonts w:ascii="Carlito" w:hAnsi="Carlito"/>
                <w:sz w:val="12"/>
              </w:rPr>
              <w:t>https://torreatx.com/wp-content/uploads/2025/09/Form-Fill-2022-23-GMH-Lease-Agreement_Torre.pdf</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S02</w:t>
            </w:r>
          </w:p>
        </w:tc>
        <w:tc>
          <w:tcPr>
            <w:tcW w:type="dxa" w:w="3240"/>
            <w:shd w:fill="F3F5F7"/>
            <w:tcMar>
              <w:top w:w="55" w:type="dxa"/>
              <w:start w:w="65" w:type="dxa"/>
              <w:bottom w:w="55" w:type="dxa"/>
              <w:end w:w="65" w:type="dxa"/>
            </w:tcMar>
            <w:vAlign w:val="top"/>
          </w:tcPr>
          <w:p>
            <w:pPr>
              <w:spacing w:after="0"/>
            </w:pPr>
            <w:r>
              <w:rPr>
                <w:rFonts w:ascii="Carlito" w:hAnsi="Carlito"/>
                <w:sz w:val="12"/>
              </w:rPr>
              <w:t>Torre price calculator</w:t>
            </w:r>
          </w:p>
        </w:tc>
        <w:tc>
          <w:tcPr>
            <w:tcW w:type="dxa" w:w="1944"/>
            <w:shd w:fill="F3F5F7"/>
            <w:tcMar>
              <w:top w:w="55" w:type="dxa"/>
              <w:start w:w="65" w:type="dxa"/>
              <w:bottom w:w="55" w:type="dxa"/>
              <w:end w:w="65" w:type="dxa"/>
            </w:tcMar>
            <w:vAlign w:val="top"/>
          </w:tcPr>
          <w:p>
            <w:pPr>
              <w:spacing w:after="0"/>
            </w:pPr>
            <w:r>
              <w:rPr>
                <w:rFonts w:ascii="Carlito" w:hAnsi="Carlito"/>
                <w:sz w:val="12"/>
              </w:rPr>
              <w:t>Property source</w:t>
            </w:r>
          </w:p>
        </w:tc>
        <w:tc>
          <w:tcPr>
            <w:tcW w:type="dxa" w:w="1152"/>
            <w:shd w:fill="F3F5F7"/>
            <w:tcMar>
              <w:top w:w="55" w:type="dxa"/>
              <w:start w:w="65" w:type="dxa"/>
              <w:bottom w:w="55" w:type="dxa"/>
              <w:end w:w="65" w:type="dxa"/>
            </w:tcMar>
            <w:vAlign w:val="top"/>
          </w:tcPr>
          <w:p>
            <w:pPr>
              <w:spacing w:after="0"/>
            </w:pPr>
            <w:r>
              <w:rPr>
                <w:rFonts w:ascii="Carlito" w:hAnsi="Carlito"/>
                <w:sz w:val="12"/>
              </w:rPr>
              <w:t>Current crawl in evidence package</w:t>
            </w:r>
          </w:p>
        </w:tc>
        <w:tc>
          <w:tcPr>
            <w:tcW w:type="dxa" w:w="3600"/>
            <w:shd w:fill="F3F5F7"/>
            <w:tcMar>
              <w:top w:w="55" w:type="dxa"/>
              <w:start w:w="65" w:type="dxa"/>
              <w:bottom w:w="55" w:type="dxa"/>
              <w:end w:w="65" w:type="dxa"/>
            </w:tcMar>
            <w:vAlign w:val="top"/>
          </w:tcPr>
          <w:p>
            <w:pPr>
              <w:spacing w:after="0"/>
            </w:pPr>
            <w:r>
              <w:rPr>
                <w:rFonts w:ascii="Carlito" w:hAnsi="Carlito"/>
                <w:sz w:val="12"/>
              </w:rPr>
              <w:t>Administrative, application and utility-administration fees</w:t>
            </w:r>
          </w:p>
        </w:tc>
        <w:tc>
          <w:tcPr>
            <w:tcW w:type="dxa" w:w="3888"/>
            <w:shd w:fill="F3F5F7"/>
            <w:tcMar>
              <w:top w:w="55" w:type="dxa"/>
              <w:start w:w="65" w:type="dxa"/>
              <w:bottom w:w="55" w:type="dxa"/>
              <w:end w:w="65" w:type="dxa"/>
            </w:tcMar>
            <w:vAlign w:val="top"/>
          </w:tcPr>
          <w:p>
            <w:pPr>
              <w:spacing w:after="0"/>
            </w:pPr>
            <w:r>
              <w:rPr>
                <w:rFonts w:ascii="Carlito" w:hAnsi="Carlito"/>
                <w:sz w:val="12"/>
              </w:rPr>
              <w:t>https://torreatx.com/price-calculator/</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S03</w:t>
            </w:r>
          </w:p>
        </w:tc>
        <w:tc>
          <w:tcPr>
            <w:tcW w:type="dxa" w:w="3240"/>
            <w:tcMar>
              <w:top w:w="55" w:type="dxa"/>
              <w:start w:w="65" w:type="dxa"/>
              <w:bottom w:w="55" w:type="dxa"/>
              <w:end w:w="65" w:type="dxa"/>
            </w:tcMar>
            <w:vAlign w:val="top"/>
          </w:tcPr>
          <w:p>
            <w:pPr>
              <w:spacing w:after="0"/>
            </w:pPr>
            <w:r>
              <w:rPr>
                <w:rFonts w:ascii="Carlito" w:hAnsi="Carlito"/>
                <w:sz w:val="12"/>
              </w:rPr>
              <w:t>The Callaway House Austin property/FAQ</w:t>
            </w:r>
          </w:p>
        </w:tc>
        <w:tc>
          <w:tcPr>
            <w:tcW w:type="dxa" w:w="1944"/>
            <w:tcMar>
              <w:top w:w="55" w:type="dxa"/>
              <w:start w:w="65" w:type="dxa"/>
              <w:bottom w:w="55" w:type="dxa"/>
              <w:end w:w="65" w:type="dxa"/>
            </w:tcMar>
            <w:vAlign w:val="top"/>
          </w:tcPr>
          <w:p>
            <w:pPr>
              <w:spacing w:after="0"/>
            </w:pPr>
            <w:r>
              <w:rPr>
                <w:rFonts w:ascii="Carlito" w:hAnsi="Carlito"/>
                <w:sz w:val="12"/>
              </w:rPr>
              <w:t>Owner/operator source</w:t>
            </w:r>
          </w:p>
        </w:tc>
        <w:tc>
          <w:tcPr>
            <w:tcW w:type="dxa" w:w="1152"/>
            <w:tcMar>
              <w:top w:w="55" w:type="dxa"/>
              <w:start w:w="65" w:type="dxa"/>
              <w:bottom w:w="55" w:type="dxa"/>
              <w:end w:w="65" w:type="dxa"/>
            </w:tcMar>
            <w:vAlign w:val="top"/>
          </w:tcPr>
          <w:p>
            <w:pPr>
              <w:spacing w:after="0"/>
            </w:pPr>
            <w:r>
              <w:rPr>
                <w:rFonts w:ascii="Carlito" w:hAnsi="Carlito"/>
                <w:sz w:val="12"/>
              </w:rPr>
              <w:t>Current</w:t>
            </w:r>
          </w:p>
        </w:tc>
        <w:tc>
          <w:tcPr>
            <w:tcW w:type="dxa" w:w="3600"/>
            <w:tcMar>
              <w:top w:w="55" w:type="dxa"/>
              <w:start w:w="65" w:type="dxa"/>
              <w:bottom w:w="55" w:type="dxa"/>
              <w:end w:w="65" w:type="dxa"/>
            </w:tcMar>
            <w:vAlign w:val="top"/>
          </w:tcPr>
          <w:p>
            <w:pPr>
              <w:spacing w:after="0"/>
            </w:pPr>
            <w:r>
              <w:rPr>
                <w:rFonts w:ascii="Carlito" w:hAnsi="Carlito"/>
                <w:sz w:val="12"/>
              </w:rPr>
              <w:t>10-installment structure, guarantor, included services</w:t>
            </w:r>
          </w:p>
        </w:tc>
        <w:tc>
          <w:tcPr>
            <w:tcW w:type="dxa" w:w="3888"/>
            <w:tcMar>
              <w:top w:w="55" w:type="dxa"/>
              <w:start w:w="65" w:type="dxa"/>
              <w:bottom w:w="55" w:type="dxa"/>
              <w:end w:w="65" w:type="dxa"/>
            </w:tcMar>
            <w:vAlign w:val="top"/>
          </w:tcPr>
          <w:p>
            <w:pPr>
              <w:spacing w:after="0"/>
            </w:pPr>
            <w:r>
              <w:rPr>
                <w:rFonts w:ascii="Carlito" w:hAnsi="Carlito"/>
                <w:sz w:val="12"/>
              </w:rPr>
              <w:t>https://www.americancampus.com/student-apartments/tx/austin/the-callaway-house-austin</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S04</w:t>
            </w:r>
          </w:p>
        </w:tc>
        <w:tc>
          <w:tcPr>
            <w:tcW w:type="dxa" w:w="3240"/>
            <w:shd w:fill="F3F5F7"/>
            <w:tcMar>
              <w:top w:w="55" w:type="dxa"/>
              <w:start w:w="65" w:type="dxa"/>
              <w:bottom w:w="55" w:type="dxa"/>
              <w:end w:w="65" w:type="dxa"/>
            </w:tcMar>
            <w:vAlign w:val="top"/>
          </w:tcPr>
          <w:p>
            <w:pPr>
              <w:spacing w:after="0"/>
            </w:pPr>
            <w:r>
              <w:rPr>
                <w:rFonts w:ascii="Carlito" w:hAnsi="Carlito"/>
                <w:sz w:val="12"/>
              </w:rPr>
              <w:t>UBS 2019-C16 collateral term sheet - SkyLoft Austin</w:t>
            </w:r>
          </w:p>
        </w:tc>
        <w:tc>
          <w:tcPr>
            <w:tcW w:type="dxa" w:w="1944"/>
            <w:shd w:fill="F3F5F7"/>
            <w:tcMar>
              <w:top w:w="55" w:type="dxa"/>
              <w:start w:w="65" w:type="dxa"/>
              <w:bottom w:w="55" w:type="dxa"/>
              <w:end w:w="65" w:type="dxa"/>
            </w:tcMar>
            <w:vAlign w:val="top"/>
          </w:tcPr>
          <w:p>
            <w:pPr>
              <w:spacing w:after="0"/>
            </w:pPr>
            <w:r>
              <w:rPr>
                <w:rFonts w:ascii="Carlito" w:hAnsi="Carlito"/>
                <w:sz w:val="12"/>
              </w:rPr>
              <w:t>Primary CMBS/SEC</w:t>
            </w:r>
          </w:p>
        </w:tc>
        <w:tc>
          <w:tcPr>
            <w:tcW w:type="dxa" w:w="1152"/>
            <w:shd w:fill="F3F5F7"/>
            <w:tcMar>
              <w:top w:w="55" w:type="dxa"/>
              <w:start w:w="65" w:type="dxa"/>
              <w:bottom w:w="55" w:type="dxa"/>
              <w:end w:w="65" w:type="dxa"/>
            </w:tcMar>
            <w:vAlign w:val="top"/>
          </w:tcPr>
          <w:p>
            <w:pPr>
              <w:spacing w:after="0"/>
            </w:pPr>
            <w:r>
              <w:rPr>
                <w:rFonts w:ascii="Carlito" w:hAnsi="Carlito"/>
                <w:sz w:val="12"/>
              </w:rPr>
              <w:t>2019-03</w:t>
            </w:r>
          </w:p>
        </w:tc>
        <w:tc>
          <w:tcPr>
            <w:tcW w:type="dxa" w:w="3600"/>
            <w:shd w:fill="F3F5F7"/>
            <w:tcMar>
              <w:top w:w="55" w:type="dxa"/>
              <w:start w:w="65" w:type="dxa"/>
              <w:bottom w:w="55" w:type="dxa"/>
              <w:end w:w="65" w:type="dxa"/>
            </w:tcMar>
            <w:vAlign w:val="top"/>
          </w:tcPr>
          <w:p>
            <w:pPr>
              <w:spacing w:after="0"/>
            </w:pPr>
            <w:r>
              <w:rPr>
                <w:rFonts w:ascii="Carlito" w:hAnsi="Carlito"/>
                <w:sz w:val="12"/>
              </w:rPr>
              <w:t>Operating statement, basis, capital stack, rates, maturity, pref and cash management</w:t>
            </w:r>
          </w:p>
        </w:tc>
        <w:tc>
          <w:tcPr>
            <w:tcW w:type="dxa" w:w="3888"/>
            <w:shd w:fill="F3F5F7"/>
            <w:tcMar>
              <w:top w:w="55" w:type="dxa"/>
              <w:start w:w="65" w:type="dxa"/>
              <w:bottom w:w="55" w:type="dxa"/>
              <w:end w:w="65" w:type="dxa"/>
            </w:tcMar>
            <w:vAlign w:val="top"/>
          </w:tcPr>
          <w:p>
            <w:pPr>
              <w:spacing w:after="0"/>
            </w:pPr>
            <w:r>
              <w:rPr>
                <w:rFonts w:ascii="Carlito" w:hAnsi="Carlito"/>
                <w:sz w:val="12"/>
              </w:rPr>
              <w:t>https://www.sec.gov/Archives/edgar/data/1532799/000153949719000414/n1550_x2-ts.htm</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S05</w:t>
            </w:r>
          </w:p>
        </w:tc>
        <w:tc>
          <w:tcPr>
            <w:tcW w:type="dxa" w:w="3240"/>
            <w:tcMar>
              <w:top w:w="55" w:type="dxa"/>
              <w:start w:w="65" w:type="dxa"/>
              <w:bottom w:w="55" w:type="dxa"/>
              <w:end w:w="65" w:type="dxa"/>
            </w:tcMar>
            <w:vAlign w:val="top"/>
          </w:tcPr>
          <w:p>
            <w:pPr>
              <w:spacing w:after="0"/>
            </w:pPr>
            <w:r>
              <w:rPr>
                <w:rFonts w:ascii="Carlito" w:hAnsi="Carlito"/>
                <w:sz w:val="12"/>
              </w:rPr>
              <w:t>Fitch Downgrades UBS 2019-C16</w:t>
            </w:r>
          </w:p>
        </w:tc>
        <w:tc>
          <w:tcPr>
            <w:tcW w:type="dxa" w:w="1944"/>
            <w:tcMar>
              <w:top w:w="55" w:type="dxa"/>
              <w:start w:w="65" w:type="dxa"/>
              <w:bottom w:w="55" w:type="dxa"/>
              <w:end w:w="65" w:type="dxa"/>
            </w:tcMar>
            <w:vAlign w:val="top"/>
          </w:tcPr>
          <w:p>
            <w:pPr>
              <w:spacing w:after="0"/>
            </w:pPr>
            <w:r>
              <w:rPr>
                <w:rFonts w:ascii="Carlito" w:hAnsi="Carlito"/>
                <w:sz w:val="12"/>
              </w:rPr>
              <w:t>Rating surveillance</w:t>
            </w:r>
          </w:p>
        </w:tc>
        <w:tc>
          <w:tcPr>
            <w:tcW w:type="dxa" w:w="1152"/>
            <w:tcMar>
              <w:top w:w="55" w:type="dxa"/>
              <w:start w:w="65" w:type="dxa"/>
              <w:bottom w:w="55" w:type="dxa"/>
              <w:end w:w="65" w:type="dxa"/>
            </w:tcMar>
            <w:vAlign w:val="top"/>
          </w:tcPr>
          <w:p>
            <w:pPr>
              <w:spacing w:after="0"/>
            </w:pPr>
            <w:r>
              <w:rPr>
                <w:rFonts w:ascii="Carlito" w:hAnsi="Carlito"/>
                <w:sz w:val="12"/>
              </w:rPr>
              <w:t>2025-08-27</w:t>
            </w:r>
          </w:p>
        </w:tc>
        <w:tc>
          <w:tcPr>
            <w:tcW w:type="dxa" w:w="3600"/>
            <w:tcMar>
              <w:top w:w="55" w:type="dxa"/>
              <w:start w:w="65" w:type="dxa"/>
              <w:bottom w:w="55" w:type="dxa"/>
              <w:end w:w="65" w:type="dxa"/>
            </w:tcMar>
            <w:vAlign w:val="top"/>
          </w:tcPr>
          <w:p>
            <w:pPr>
              <w:spacing w:after="0"/>
            </w:pPr>
            <w:r>
              <w:rPr>
                <w:rFonts w:ascii="Carlito" w:hAnsi="Carlito"/>
                <w:sz w:val="12"/>
              </w:rPr>
              <w:t>Special servicing and March 2025 occupancy</w:t>
            </w:r>
          </w:p>
        </w:tc>
        <w:tc>
          <w:tcPr>
            <w:tcW w:type="dxa" w:w="3888"/>
            <w:tcMar>
              <w:top w:w="55" w:type="dxa"/>
              <w:start w:w="65" w:type="dxa"/>
              <w:bottom w:w="55" w:type="dxa"/>
              <w:end w:w="65" w:type="dxa"/>
            </w:tcMar>
            <w:vAlign w:val="top"/>
          </w:tcPr>
          <w:p>
            <w:pPr>
              <w:spacing w:after="0"/>
            </w:pPr>
            <w:r>
              <w:rPr>
                <w:rFonts w:ascii="Carlito" w:hAnsi="Carlito"/>
                <w:sz w:val="12"/>
              </w:rPr>
              <w:t>https://www.fitchratings.com/research/structured-finance/fitch-downgrades-ubs-2019-c16-27-08-2025</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S06</w:t>
            </w:r>
          </w:p>
        </w:tc>
        <w:tc>
          <w:tcPr>
            <w:tcW w:type="dxa" w:w="3240"/>
            <w:shd w:fill="F3F5F7"/>
            <w:tcMar>
              <w:top w:w="55" w:type="dxa"/>
              <w:start w:w="65" w:type="dxa"/>
              <w:bottom w:w="55" w:type="dxa"/>
              <w:end w:w="65" w:type="dxa"/>
            </w:tcMar>
            <w:vAlign w:val="top"/>
          </w:tcPr>
          <w:p>
            <w:pPr>
              <w:spacing w:after="0"/>
            </w:pPr>
            <w:r>
              <w:rPr>
                <w:rFonts w:ascii="Carlito" w:hAnsi="Carlito"/>
                <w:sz w:val="12"/>
              </w:rPr>
              <w:t>2400 Nueces 2026-27 rates</w:t>
            </w:r>
          </w:p>
        </w:tc>
        <w:tc>
          <w:tcPr>
            <w:tcW w:type="dxa" w:w="1944"/>
            <w:shd w:fill="F3F5F7"/>
            <w:tcMar>
              <w:top w:w="55" w:type="dxa"/>
              <w:start w:w="65" w:type="dxa"/>
              <w:bottom w:w="55" w:type="dxa"/>
              <w:end w:w="65" w:type="dxa"/>
            </w:tcMar>
            <w:vAlign w:val="top"/>
          </w:tcPr>
          <w:p>
            <w:pPr>
              <w:spacing w:after="0"/>
            </w:pPr>
            <w:r>
              <w:rPr>
                <w:rFonts w:ascii="Carlito" w:hAnsi="Carlito"/>
                <w:sz w:val="12"/>
              </w:rPr>
              <w:t>Official university</w:t>
            </w:r>
          </w:p>
        </w:tc>
        <w:tc>
          <w:tcPr>
            <w:tcW w:type="dxa" w:w="1152"/>
            <w:shd w:fill="F3F5F7"/>
            <w:tcMar>
              <w:top w:w="55" w:type="dxa"/>
              <w:start w:w="65" w:type="dxa"/>
              <w:bottom w:w="55" w:type="dxa"/>
              <w:end w:w="65" w:type="dxa"/>
            </w:tcMar>
            <w:vAlign w:val="top"/>
          </w:tcPr>
          <w:p>
            <w:pPr>
              <w:spacing w:after="0"/>
            </w:pPr>
            <w:r>
              <w:rPr>
                <w:rFonts w:ascii="Carlito" w:hAnsi="Carlito"/>
                <w:sz w:val="12"/>
              </w:rPr>
              <w:t>2026-27</w:t>
            </w:r>
          </w:p>
        </w:tc>
        <w:tc>
          <w:tcPr>
            <w:tcW w:type="dxa" w:w="3600"/>
            <w:shd w:fill="F3F5F7"/>
            <w:tcMar>
              <w:top w:w="55" w:type="dxa"/>
              <w:start w:w="65" w:type="dxa"/>
              <w:bottom w:w="55" w:type="dxa"/>
              <w:end w:w="65" w:type="dxa"/>
            </w:tcMar>
            <w:vAlign w:val="top"/>
          </w:tcPr>
          <w:p>
            <w:pPr>
              <w:spacing w:after="0"/>
            </w:pPr>
            <w:r>
              <w:rPr>
                <w:rFonts w:ascii="Carlito" w:hAnsi="Carlito"/>
                <w:sz w:val="12"/>
              </w:rPr>
              <w:t>9- and 12-month rates and included utilities/internet</w:t>
            </w:r>
          </w:p>
        </w:tc>
        <w:tc>
          <w:tcPr>
            <w:tcW w:type="dxa" w:w="3888"/>
            <w:shd w:fill="F3F5F7"/>
            <w:tcMar>
              <w:top w:w="55" w:type="dxa"/>
              <w:start w:w="65" w:type="dxa"/>
              <w:bottom w:w="55" w:type="dxa"/>
              <w:end w:w="65" w:type="dxa"/>
            </w:tcMar>
            <w:vAlign w:val="top"/>
          </w:tcPr>
          <w:p>
            <w:pPr>
              <w:spacing w:after="0"/>
            </w:pPr>
            <w:r>
              <w:rPr>
                <w:rFonts w:ascii="Carlito" w:hAnsi="Carlito"/>
                <w:sz w:val="12"/>
              </w:rPr>
              <w:t>https://housing.utexas.edu/housing/2400-nueces-apartments/2400-nueces-rates</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S07</w:t>
            </w:r>
          </w:p>
        </w:tc>
        <w:tc>
          <w:tcPr>
            <w:tcW w:type="dxa" w:w="3240"/>
            <w:tcMar>
              <w:top w:w="55" w:type="dxa"/>
              <w:start w:w="65" w:type="dxa"/>
              <w:bottom w:w="55" w:type="dxa"/>
              <w:end w:w="65" w:type="dxa"/>
            </w:tcMar>
            <w:vAlign w:val="top"/>
          </w:tcPr>
          <w:p>
            <w:pPr>
              <w:spacing w:after="0"/>
            </w:pPr>
            <w:r>
              <w:rPr>
                <w:rFonts w:ascii="Carlito" w:hAnsi="Carlito"/>
                <w:sz w:val="12"/>
              </w:rPr>
              <w:t>UT System Board of Regents meeting minutes</w:t>
            </w:r>
          </w:p>
        </w:tc>
        <w:tc>
          <w:tcPr>
            <w:tcW w:type="dxa" w:w="1944"/>
            <w:tcMar>
              <w:top w:w="55" w:type="dxa"/>
              <w:start w:w="65" w:type="dxa"/>
              <w:bottom w:w="55" w:type="dxa"/>
              <w:end w:w="65" w:type="dxa"/>
            </w:tcMar>
            <w:vAlign w:val="top"/>
          </w:tcPr>
          <w:p>
            <w:pPr>
              <w:spacing w:after="0"/>
            </w:pPr>
            <w:r>
              <w:rPr>
                <w:rFonts w:ascii="Carlito" w:hAnsi="Carlito"/>
                <w:sz w:val="12"/>
              </w:rPr>
              <w:t>Primary government record</w:t>
            </w:r>
          </w:p>
        </w:tc>
        <w:tc>
          <w:tcPr>
            <w:tcW w:type="dxa" w:w="1152"/>
            <w:tcMar>
              <w:top w:w="55" w:type="dxa"/>
              <w:start w:w="65" w:type="dxa"/>
              <w:bottom w:w="55" w:type="dxa"/>
              <w:end w:w="65" w:type="dxa"/>
            </w:tcMar>
            <w:vAlign w:val="top"/>
          </w:tcPr>
          <w:p>
            <w:pPr>
              <w:spacing w:after="0"/>
            </w:pPr>
            <w:r>
              <w:rPr>
                <w:rFonts w:ascii="Carlito" w:hAnsi="Carlito"/>
                <w:sz w:val="12"/>
              </w:rPr>
              <w:t>2018-07-11</w:t>
            </w:r>
          </w:p>
        </w:tc>
        <w:tc>
          <w:tcPr>
            <w:tcW w:type="dxa" w:w="3600"/>
            <w:tcMar>
              <w:top w:w="55" w:type="dxa"/>
              <w:start w:w="65" w:type="dxa"/>
              <w:bottom w:w="55" w:type="dxa"/>
              <w:end w:w="65" w:type="dxa"/>
            </w:tcMar>
            <w:vAlign w:val="top"/>
          </w:tcPr>
          <w:p>
            <w:pPr>
              <w:spacing w:after="0"/>
            </w:pPr>
            <w:r>
              <w:rPr>
                <w:rFonts w:ascii="Carlito" w:hAnsi="Carlito"/>
                <w:sz w:val="12"/>
              </w:rPr>
              <w:t>$74.759m purchase, ground-lease option, physical description and RFS bonds</w:t>
            </w:r>
          </w:p>
        </w:tc>
        <w:tc>
          <w:tcPr>
            <w:tcW w:type="dxa" w:w="3888"/>
            <w:tcMar>
              <w:top w:w="55" w:type="dxa"/>
              <w:start w:w="65" w:type="dxa"/>
              <w:bottom w:w="55" w:type="dxa"/>
              <w:end w:w="65" w:type="dxa"/>
            </w:tcMar>
            <w:vAlign w:val="top"/>
          </w:tcPr>
          <w:p>
            <w:pPr>
              <w:spacing w:after="0"/>
            </w:pPr>
            <w:r>
              <w:rPr>
                <w:rFonts w:ascii="Carlito" w:hAnsi="Carlito"/>
                <w:sz w:val="12"/>
              </w:rPr>
              <w:t>https://www.utsystem.edu/sites/default/files/offices/board-of-regents/board-meetings/board-minutes/7-11-2018Meeting1181.pdf</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S08</w:t>
            </w:r>
          </w:p>
        </w:tc>
        <w:tc>
          <w:tcPr>
            <w:tcW w:type="dxa" w:w="3240"/>
            <w:shd w:fill="F3F5F7"/>
            <w:tcMar>
              <w:top w:w="55" w:type="dxa"/>
              <w:start w:w="65" w:type="dxa"/>
              <w:bottom w:w="55" w:type="dxa"/>
              <w:end w:w="65" w:type="dxa"/>
            </w:tcMar>
            <w:vAlign w:val="top"/>
          </w:tcPr>
          <w:p>
            <w:pPr>
              <w:spacing w:after="0"/>
            </w:pPr>
            <w:r>
              <w:rPr>
                <w:rFonts w:ascii="Carlito" w:hAnsi="Carlito"/>
                <w:sz w:val="12"/>
              </w:rPr>
              <w:t>2400 Nueces housing and application pages</w:t>
            </w:r>
          </w:p>
        </w:tc>
        <w:tc>
          <w:tcPr>
            <w:tcW w:type="dxa" w:w="1944"/>
            <w:shd w:fill="F3F5F7"/>
            <w:tcMar>
              <w:top w:w="55" w:type="dxa"/>
              <w:start w:w="65" w:type="dxa"/>
              <w:bottom w:w="55" w:type="dxa"/>
              <w:end w:w="65" w:type="dxa"/>
            </w:tcMar>
            <w:vAlign w:val="top"/>
          </w:tcPr>
          <w:p>
            <w:pPr>
              <w:spacing w:after="0"/>
            </w:pPr>
            <w:r>
              <w:rPr>
                <w:rFonts w:ascii="Carlito" w:hAnsi="Carlito"/>
                <w:sz w:val="12"/>
              </w:rPr>
              <w:t>Official university</w:t>
            </w:r>
          </w:p>
        </w:tc>
        <w:tc>
          <w:tcPr>
            <w:tcW w:type="dxa" w:w="1152"/>
            <w:shd w:fill="F3F5F7"/>
            <w:tcMar>
              <w:top w:w="55" w:type="dxa"/>
              <w:start w:w="65" w:type="dxa"/>
              <w:bottom w:w="55" w:type="dxa"/>
              <w:end w:w="65" w:type="dxa"/>
            </w:tcMar>
            <w:vAlign w:val="top"/>
          </w:tcPr>
          <w:p>
            <w:pPr>
              <w:spacing w:after="0"/>
            </w:pPr>
            <w:r>
              <w:rPr>
                <w:rFonts w:ascii="Carlito" w:hAnsi="Carlito"/>
                <w:sz w:val="12"/>
              </w:rPr>
              <w:t>Current</w:t>
            </w:r>
          </w:p>
        </w:tc>
        <w:tc>
          <w:tcPr>
            <w:tcW w:type="dxa" w:w="3600"/>
            <w:shd w:fill="F3F5F7"/>
            <w:tcMar>
              <w:top w:w="55" w:type="dxa"/>
              <w:start w:w="65" w:type="dxa"/>
              <w:bottom w:w="55" w:type="dxa"/>
              <w:end w:w="65" w:type="dxa"/>
            </w:tcMar>
            <w:vAlign w:val="top"/>
          </w:tcPr>
          <w:p>
            <w:pPr>
              <w:spacing w:after="0"/>
            </w:pPr>
            <w:r>
              <w:rPr>
                <w:rFonts w:ascii="Carlito" w:hAnsi="Carlito"/>
                <w:sz w:val="12"/>
              </w:rPr>
              <w:t>Operations, application cycle and contract choices</w:t>
            </w:r>
          </w:p>
        </w:tc>
        <w:tc>
          <w:tcPr>
            <w:tcW w:type="dxa" w:w="3888"/>
            <w:shd w:fill="F3F5F7"/>
            <w:tcMar>
              <w:top w:w="55" w:type="dxa"/>
              <w:start w:w="65" w:type="dxa"/>
              <w:bottom w:w="55" w:type="dxa"/>
              <w:end w:w="65" w:type="dxa"/>
            </w:tcMar>
            <w:vAlign w:val="top"/>
          </w:tcPr>
          <w:p>
            <w:pPr>
              <w:spacing w:after="0"/>
            </w:pPr>
            <w:r>
              <w:rPr>
                <w:rFonts w:ascii="Carlito" w:hAnsi="Carlito"/>
                <w:sz w:val="12"/>
              </w:rPr>
              <w:t>https://housing.utexas.edu/housing/2400-nueces-apartments</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S09</w:t>
            </w:r>
          </w:p>
        </w:tc>
        <w:tc>
          <w:tcPr>
            <w:tcW w:type="dxa" w:w="3240"/>
            <w:tcMar>
              <w:top w:w="55" w:type="dxa"/>
              <w:start w:w="65" w:type="dxa"/>
              <w:bottom w:w="55" w:type="dxa"/>
              <w:end w:w="65" w:type="dxa"/>
            </w:tcMar>
            <w:vAlign w:val="top"/>
          </w:tcPr>
          <w:p>
            <w:pPr>
              <w:spacing w:after="0"/>
            </w:pPr>
            <w:r>
              <w:rPr>
                <w:rFonts w:ascii="Carlito" w:hAnsi="Carlito"/>
                <w:sz w:val="12"/>
              </w:rPr>
              <w:t>Waterloo case study</w:t>
            </w:r>
          </w:p>
        </w:tc>
        <w:tc>
          <w:tcPr>
            <w:tcW w:type="dxa" w:w="1944"/>
            <w:tcMar>
              <w:top w:w="55" w:type="dxa"/>
              <w:start w:w="65" w:type="dxa"/>
              <w:bottom w:w="55" w:type="dxa"/>
              <w:end w:w="65" w:type="dxa"/>
            </w:tcMar>
            <w:vAlign w:val="top"/>
          </w:tcPr>
          <w:p>
            <w:pPr>
              <w:spacing w:after="0"/>
            </w:pPr>
            <w:r>
              <w:rPr>
                <w:rFonts w:ascii="Carlito" w:hAnsi="Carlito"/>
                <w:sz w:val="12"/>
              </w:rPr>
              <w:t>Developer primary</w:t>
            </w:r>
          </w:p>
        </w:tc>
        <w:tc>
          <w:tcPr>
            <w:tcW w:type="dxa" w:w="1152"/>
            <w:tcMar>
              <w:top w:w="55" w:type="dxa"/>
              <w:start w:w="65" w:type="dxa"/>
              <w:bottom w:w="55" w:type="dxa"/>
              <w:end w:w="65" w:type="dxa"/>
            </w:tcMar>
            <w:vAlign w:val="top"/>
          </w:tcPr>
          <w:p>
            <w:pPr>
              <w:spacing w:after="0"/>
            </w:pPr>
            <w:r>
              <w:rPr>
                <w:rFonts w:ascii="Carlito" w:hAnsi="Carlito"/>
                <w:sz w:val="12"/>
              </w:rPr>
              <w:t>Current case study</w:t>
            </w:r>
          </w:p>
        </w:tc>
        <w:tc>
          <w:tcPr>
            <w:tcW w:type="dxa" w:w="3600"/>
            <w:tcMar>
              <w:top w:w="55" w:type="dxa"/>
              <w:start w:w="65" w:type="dxa"/>
              <w:bottom w:w="55" w:type="dxa"/>
              <w:end w:w="65" w:type="dxa"/>
            </w:tcMar>
            <w:vAlign w:val="top"/>
          </w:tcPr>
          <w:p>
            <w:pPr>
              <w:spacing w:after="0"/>
            </w:pPr>
            <w:r>
              <w:rPr>
                <w:rFonts w:ascii="Carlito" w:hAnsi="Carlito"/>
                <w:sz w:val="12"/>
              </w:rPr>
              <w:t>Site, beds, timeline, density bonus, affordable set-aside and sale</w:t>
            </w:r>
          </w:p>
        </w:tc>
        <w:tc>
          <w:tcPr>
            <w:tcW w:type="dxa" w:w="3888"/>
            <w:tcMar>
              <w:top w:w="55" w:type="dxa"/>
              <w:start w:w="65" w:type="dxa"/>
              <w:bottom w:w="55" w:type="dxa"/>
              <w:end w:w="65" w:type="dxa"/>
            </w:tcMar>
            <w:vAlign w:val="top"/>
          </w:tcPr>
          <w:p>
            <w:pPr>
              <w:spacing w:after="0"/>
            </w:pPr>
            <w:r>
              <w:rPr>
                <w:rFonts w:ascii="Carlito" w:hAnsi="Carlito"/>
                <w:sz w:val="12"/>
              </w:rPr>
              <w:t>https://lvcollective.com/work/waterloo/</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S10</w:t>
            </w:r>
          </w:p>
        </w:tc>
        <w:tc>
          <w:tcPr>
            <w:tcW w:type="dxa" w:w="3240"/>
            <w:shd w:fill="F3F5F7"/>
            <w:tcMar>
              <w:top w:w="55" w:type="dxa"/>
              <w:start w:w="65" w:type="dxa"/>
              <w:bottom w:w="55" w:type="dxa"/>
              <w:end w:w="65" w:type="dxa"/>
            </w:tcMar>
            <w:vAlign w:val="top"/>
          </w:tcPr>
          <w:p>
            <w:pPr>
              <w:spacing w:after="0"/>
            </w:pPr>
            <w:r>
              <w:rPr>
                <w:rFonts w:ascii="Carlito" w:hAnsi="Carlito"/>
                <w:sz w:val="12"/>
              </w:rPr>
              <w:t>GSA acquires Waterloo</w:t>
            </w:r>
          </w:p>
        </w:tc>
        <w:tc>
          <w:tcPr>
            <w:tcW w:type="dxa" w:w="1944"/>
            <w:shd w:fill="F3F5F7"/>
            <w:tcMar>
              <w:top w:w="55" w:type="dxa"/>
              <w:start w:w="65" w:type="dxa"/>
              <w:bottom w:w="55" w:type="dxa"/>
              <w:end w:w="65" w:type="dxa"/>
            </w:tcMar>
            <w:vAlign w:val="top"/>
          </w:tcPr>
          <w:p>
            <w:pPr>
              <w:spacing w:after="0"/>
            </w:pPr>
            <w:r>
              <w:rPr>
                <w:rFonts w:ascii="Carlito" w:hAnsi="Carlito"/>
                <w:sz w:val="12"/>
              </w:rPr>
              <w:t>Transaction report</w:t>
            </w:r>
          </w:p>
        </w:tc>
        <w:tc>
          <w:tcPr>
            <w:tcW w:type="dxa" w:w="1152"/>
            <w:shd w:fill="F3F5F7"/>
            <w:tcMar>
              <w:top w:w="55" w:type="dxa"/>
              <w:start w:w="65" w:type="dxa"/>
              <w:bottom w:w="55" w:type="dxa"/>
              <w:end w:w="65" w:type="dxa"/>
            </w:tcMar>
            <w:vAlign w:val="top"/>
          </w:tcPr>
          <w:p>
            <w:pPr>
              <w:spacing w:after="0"/>
            </w:pPr>
            <w:r>
              <w:rPr>
                <w:rFonts w:ascii="Carlito" w:hAnsi="Carlito"/>
                <w:sz w:val="12"/>
              </w:rPr>
              <w:t>2022-08</w:t>
            </w:r>
          </w:p>
        </w:tc>
        <w:tc>
          <w:tcPr>
            <w:tcW w:type="dxa" w:w="3600"/>
            <w:shd w:fill="F3F5F7"/>
            <w:tcMar>
              <w:top w:w="55" w:type="dxa"/>
              <w:start w:w="65" w:type="dxa"/>
              <w:bottom w:w="55" w:type="dxa"/>
              <w:end w:w="65" w:type="dxa"/>
            </w:tcMar>
            <w:vAlign w:val="top"/>
          </w:tcPr>
          <w:p>
            <w:pPr>
              <w:spacing w:after="0"/>
            </w:pPr>
            <w:r>
              <w:rPr>
                <w:rFonts w:ascii="Carlito" w:hAnsi="Carlito"/>
                <w:sz w:val="12"/>
              </w:rPr>
              <w:t>Buyer and completed sale</w:t>
            </w:r>
          </w:p>
        </w:tc>
        <w:tc>
          <w:tcPr>
            <w:tcW w:type="dxa" w:w="3888"/>
            <w:shd w:fill="F3F5F7"/>
            <w:tcMar>
              <w:top w:w="55" w:type="dxa"/>
              <w:start w:w="65" w:type="dxa"/>
              <w:bottom w:w="55" w:type="dxa"/>
              <w:end w:w="65" w:type="dxa"/>
            </w:tcMar>
            <w:vAlign w:val="top"/>
          </w:tcPr>
          <w:p>
            <w:pPr>
              <w:spacing w:after="0"/>
            </w:pPr>
            <w:r>
              <w:rPr>
                <w:rFonts w:ascii="Carlito" w:hAnsi="Carlito"/>
                <w:sz w:val="12"/>
              </w:rPr>
              <w:t>https://rebusinessonline.com/gsa-acquires-796-bed-student-housing-community-near-ut-austin-2/</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S11</w:t>
            </w:r>
          </w:p>
        </w:tc>
        <w:tc>
          <w:tcPr>
            <w:tcW w:type="dxa" w:w="3240"/>
            <w:tcMar>
              <w:top w:w="55" w:type="dxa"/>
              <w:start w:w="65" w:type="dxa"/>
              <w:bottom w:w="55" w:type="dxa"/>
              <w:end w:w="65" w:type="dxa"/>
            </w:tcMar>
            <w:vAlign w:val="top"/>
          </w:tcPr>
          <w:p>
            <w:pPr>
              <w:spacing w:after="0"/>
            </w:pPr>
            <w:r>
              <w:rPr>
                <w:rFonts w:ascii="Carlito" w:hAnsi="Carlito"/>
                <w:sz w:val="12"/>
              </w:rPr>
              <w:t>The Standard recapitalization</w:t>
            </w:r>
          </w:p>
        </w:tc>
        <w:tc>
          <w:tcPr>
            <w:tcW w:type="dxa" w:w="1944"/>
            <w:tcMar>
              <w:top w:w="55" w:type="dxa"/>
              <w:start w:w="65" w:type="dxa"/>
              <w:bottom w:w="55" w:type="dxa"/>
              <w:end w:w="65" w:type="dxa"/>
            </w:tcMar>
            <w:vAlign w:val="top"/>
          </w:tcPr>
          <w:p>
            <w:pPr>
              <w:spacing w:after="0"/>
            </w:pPr>
            <w:r>
              <w:rPr>
                <w:rFonts w:ascii="Carlito" w:hAnsi="Carlito"/>
                <w:sz w:val="12"/>
              </w:rPr>
              <w:t>Sponsor/deal announcement</w:t>
            </w:r>
          </w:p>
        </w:tc>
        <w:tc>
          <w:tcPr>
            <w:tcW w:type="dxa" w:w="1152"/>
            <w:tcMar>
              <w:top w:w="55" w:type="dxa"/>
              <w:start w:w="65" w:type="dxa"/>
              <w:bottom w:w="55" w:type="dxa"/>
              <w:end w:w="65" w:type="dxa"/>
            </w:tcMar>
            <w:vAlign w:val="top"/>
          </w:tcPr>
          <w:p>
            <w:pPr>
              <w:spacing w:after="0"/>
            </w:pPr>
            <w:r>
              <w:rPr>
                <w:rFonts w:ascii="Carlito" w:hAnsi="Carlito"/>
                <w:sz w:val="12"/>
              </w:rPr>
              <w:t>2023-12</w:t>
            </w:r>
          </w:p>
        </w:tc>
        <w:tc>
          <w:tcPr>
            <w:tcW w:type="dxa" w:w="3600"/>
            <w:tcMar>
              <w:top w:w="55" w:type="dxa"/>
              <w:start w:w="65" w:type="dxa"/>
              <w:bottom w:w="55" w:type="dxa"/>
              <w:end w:w="65" w:type="dxa"/>
            </w:tcMar>
            <w:vAlign w:val="top"/>
          </w:tcPr>
          <w:p>
            <w:pPr>
              <w:spacing w:after="0"/>
            </w:pPr>
            <w:r>
              <w:rPr>
                <w:rFonts w:ascii="Carlito" w:hAnsi="Carlito"/>
                <w:sz w:val="12"/>
              </w:rPr>
              <w:t>Landmark retained ownership and 934-bed recap</w:t>
            </w:r>
          </w:p>
        </w:tc>
        <w:tc>
          <w:tcPr>
            <w:tcW w:type="dxa" w:w="3888"/>
            <w:tcMar>
              <w:top w:w="55" w:type="dxa"/>
              <w:start w:w="65" w:type="dxa"/>
              <w:bottom w:w="55" w:type="dxa"/>
              <w:end w:w="65" w:type="dxa"/>
            </w:tcMar>
            <w:vAlign w:val="top"/>
          </w:tcPr>
          <w:p>
            <w:pPr>
              <w:spacing w:after="0"/>
            </w:pPr>
            <w:r>
              <w:rPr>
                <w:rFonts w:ascii="Carlito" w:hAnsi="Carlito"/>
                <w:sz w:val="12"/>
              </w:rPr>
              <w:t>https://tsbca.com/tsb-capital-advisors-arranges-debt-for-the-recapitalization-of-the-standard-at-austin/</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S12</w:t>
            </w:r>
          </w:p>
        </w:tc>
        <w:tc>
          <w:tcPr>
            <w:tcW w:type="dxa" w:w="3240"/>
            <w:shd w:fill="F3F5F7"/>
            <w:tcMar>
              <w:top w:w="55" w:type="dxa"/>
              <w:start w:w="65" w:type="dxa"/>
              <w:bottom w:w="55" w:type="dxa"/>
              <w:end w:w="65" w:type="dxa"/>
            </w:tcMar>
            <w:vAlign w:val="top"/>
          </w:tcPr>
          <w:p>
            <w:pPr>
              <w:spacing w:after="0"/>
            </w:pPr>
            <w:r>
              <w:rPr>
                <w:rFonts w:ascii="Carlito" w:hAnsi="Carlito"/>
                <w:sz w:val="12"/>
              </w:rPr>
              <w:t>American Campus Communities 2021 Form 10-K</w:t>
            </w:r>
          </w:p>
        </w:tc>
        <w:tc>
          <w:tcPr>
            <w:tcW w:type="dxa" w:w="1944"/>
            <w:shd w:fill="F3F5F7"/>
            <w:tcMar>
              <w:top w:w="55" w:type="dxa"/>
              <w:start w:w="65" w:type="dxa"/>
              <w:bottom w:w="55" w:type="dxa"/>
              <w:end w:w="65" w:type="dxa"/>
            </w:tcMar>
            <w:vAlign w:val="top"/>
          </w:tcPr>
          <w:p>
            <w:pPr>
              <w:spacing w:after="0"/>
            </w:pPr>
            <w:r>
              <w:rPr>
                <w:rFonts w:ascii="Carlito" w:hAnsi="Carlito"/>
                <w:sz w:val="12"/>
              </w:rPr>
              <w:t>Primary SEC</w:t>
            </w:r>
          </w:p>
        </w:tc>
        <w:tc>
          <w:tcPr>
            <w:tcW w:type="dxa" w:w="1152"/>
            <w:shd w:fill="F3F5F7"/>
            <w:tcMar>
              <w:top w:w="55" w:type="dxa"/>
              <w:start w:w="65" w:type="dxa"/>
              <w:bottom w:w="55" w:type="dxa"/>
              <w:end w:w="65" w:type="dxa"/>
            </w:tcMar>
            <w:vAlign w:val="top"/>
          </w:tcPr>
          <w:p>
            <w:pPr>
              <w:spacing w:after="0"/>
            </w:pPr>
            <w:r>
              <w:rPr>
                <w:rFonts w:ascii="Carlito" w:hAnsi="Carlito"/>
                <w:sz w:val="12"/>
              </w:rPr>
              <w:t>2022-02</w:t>
            </w:r>
          </w:p>
        </w:tc>
        <w:tc>
          <w:tcPr>
            <w:tcW w:type="dxa" w:w="3600"/>
            <w:shd w:fill="F3F5F7"/>
            <w:tcMar>
              <w:top w:w="55" w:type="dxa"/>
              <w:start w:w="65" w:type="dxa"/>
              <w:bottom w:w="55" w:type="dxa"/>
              <w:end w:w="65" w:type="dxa"/>
            </w:tcMar>
            <w:vAlign w:val="top"/>
          </w:tcPr>
          <w:p>
            <w:pPr>
              <w:spacing w:after="0"/>
            </w:pPr>
            <w:r>
              <w:rPr>
                <w:rFonts w:ascii="Carlito" w:hAnsi="Carlito"/>
                <w:sz w:val="12"/>
              </w:rPr>
              <w:t>Callaway physical data, revenue and rental payments; ACC property data</w:t>
            </w:r>
          </w:p>
        </w:tc>
        <w:tc>
          <w:tcPr>
            <w:tcW w:type="dxa" w:w="3888"/>
            <w:shd w:fill="F3F5F7"/>
            <w:tcMar>
              <w:top w:w="55" w:type="dxa"/>
              <w:start w:w="65" w:type="dxa"/>
              <w:bottom w:w="55" w:type="dxa"/>
              <w:end w:w="65" w:type="dxa"/>
            </w:tcMar>
            <w:vAlign w:val="top"/>
          </w:tcPr>
          <w:p>
            <w:pPr>
              <w:spacing w:after="0"/>
            </w:pPr>
            <w:r>
              <w:rPr>
                <w:rFonts w:ascii="Carlito" w:hAnsi="Carlito"/>
                <w:sz w:val="12"/>
              </w:rPr>
              <w:t>https://www.sec.gov/Archives/edgar/data/1283630/000128363022000031/acc-20211231.htm</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S13</w:t>
            </w:r>
          </w:p>
        </w:tc>
        <w:tc>
          <w:tcPr>
            <w:tcW w:type="dxa" w:w="3240"/>
            <w:tcMar>
              <w:top w:w="55" w:type="dxa"/>
              <w:start w:w="65" w:type="dxa"/>
              <w:bottom w:w="55" w:type="dxa"/>
              <w:end w:w="65" w:type="dxa"/>
            </w:tcMar>
            <w:vAlign w:val="top"/>
          </w:tcPr>
          <w:p>
            <w:pPr>
              <w:spacing w:after="0"/>
            </w:pPr>
            <w:r>
              <w:rPr>
                <w:rFonts w:ascii="Carlito" w:hAnsi="Carlito"/>
                <w:sz w:val="12"/>
              </w:rPr>
              <w:t>American Campus Communities leasing status updates</w:t>
            </w:r>
          </w:p>
        </w:tc>
        <w:tc>
          <w:tcPr>
            <w:tcW w:type="dxa" w:w="1944"/>
            <w:tcMar>
              <w:top w:w="55" w:type="dxa"/>
              <w:start w:w="65" w:type="dxa"/>
              <w:bottom w:w="55" w:type="dxa"/>
              <w:end w:w="65" w:type="dxa"/>
            </w:tcMar>
            <w:vAlign w:val="top"/>
          </w:tcPr>
          <w:p>
            <w:pPr>
              <w:spacing w:after="0"/>
            </w:pPr>
            <w:r>
              <w:rPr>
                <w:rFonts w:ascii="Carlito" w:hAnsi="Carlito"/>
                <w:sz w:val="12"/>
              </w:rPr>
              <w:t>Primary SEC investor material</w:t>
            </w:r>
          </w:p>
        </w:tc>
        <w:tc>
          <w:tcPr>
            <w:tcW w:type="dxa" w:w="1152"/>
            <w:tcMar>
              <w:top w:w="55" w:type="dxa"/>
              <w:start w:w="65" w:type="dxa"/>
              <w:bottom w:w="55" w:type="dxa"/>
              <w:end w:w="65" w:type="dxa"/>
            </w:tcMar>
            <w:vAlign w:val="top"/>
          </w:tcPr>
          <w:p>
            <w:pPr>
              <w:spacing w:after="0"/>
            </w:pPr>
            <w:r>
              <w:rPr>
                <w:rFonts w:ascii="Carlito" w:hAnsi="Carlito"/>
                <w:sz w:val="12"/>
              </w:rPr>
              <w:t>2014-07 / 2015-04</w:t>
            </w:r>
          </w:p>
        </w:tc>
        <w:tc>
          <w:tcPr>
            <w:tcW w:type="dxa" w:w="3600"/>
            <w:tcMar>
              <w:top w:w="55" w:type="dxa"/>
              <w:start w:w="65" w:type="dxa"/>
              <w:bottom w:w="55" w:type="dxa"/>
              <w:end w:w="65" w:type="dxa"/>
            </w:tcMar>
            <w:vAlign w:val="top"/>
          </w:tcPr>
          <w:p>
            <w:pPr>
              <w:spacing w:after="0"/>
            </w:pPr>
            <w:r>
              <w:rPr>
                <w:rFonts w:ascii="Carlito" w:hAnsi="Carlito"/>
                <w:sz w:val="12"/>
              </w:rPr>
              <w:t>Callaway and 26 West prelease percentages</w:t>
            </w:r>
          </w:p>
        </w:tc>
        <w:tc>
          <w:tcPr>
            <w:tcW w:type="dxa" w:w="3888"/>
            <w:tcMar>
              <w:top w:w="55" w:type="dxa"/>
              <w:start w:w="65" w:type="dxa"/>
              <w:bottom w:w="55" w:type="dxa"/>
              <w:end w:w="65" w:type="dxa"/>
            </w:tcMar>
            <w:vAlign w:val="top"/>
          </w:tcPr>
          <w:p>
            <w:pPr>
              <w:spacing w:after="0"/>
            </w:pPr>
            <w:r>
              <w:rPr>
                <w:rFonts w:ascii="Carlito" w:hAnsi="Carlito"/>
                <w:sz w:val="12"/>
              </w:rPr>
              <w:t>https://www.sec.gov/Archives/edgar/data/1283630/000115752315001347/a51089188ex99_2.htm</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S14</w:t>
            </w:r>
          </w:p>
        </w:tc>
        <w:tc>
          <w:tcPr>
            <w:tcW w:type="dxa" w:w="3240"/>
            <w:shd w:fill="F3F5F7"/>
            <w:tcMar>
              <w:top w:w="55" w:type="dxa"/>
              <w:start w:w="65" w:type="dxa"/>
              <w:bottom w:w="55" w:type="dxa"/>
              <w:end w:w="65" w:type="dxa"/>
            </w:tcMar>
            <w:vAlign w:val="top"/>
          </w:tcPr>
          <w:p>
            <w:pPr>
              <w:spacing w:after="0"/>
            </w:pPr>
            <w:r>
              <w:rPr>
                <w:rFonts w:ascii="Carlito" w:hAnsi="Carlito"/>
                <w:sz w:val="12"/>
              </w:rPr>
              <w:t>26 West property and current pricing</w:t>
            </w:r>
          </w:p>
        </w:tc>
        <w:tc>
          <w:tcPr>
            <w:tcW w:type="dxa" w:w="1944"/>
            <w:shd w:fill="F3F5F7"/>
            <w:tcMar>
              <w:top w:w="55" w:type="dxa"/>
              <w:start w:w="65" w:type="dxa"/>
              <w:bottom w:w="55" w:type="dxa"/>
              <w:end w:w="65" w:type="dxa"/>
            </w:tcMar>
            <w:vAlign w:val="top"/>
          </w:tcPr>
          <w:p>
            <w:pPr>
              <w:spacing w:after="0"/>
            </w:pPr>
            <w:r>
              <w:rPr>
                <w:rFonts w:ascii="Carlito" w:hAnsi="Carlito"/>
                <w:sz w:val="12"/>
              </w:rPr>
              <w:t>Owner/operator source</w:t>
            </w:r>
          </w:p>
        </w:tc>
        <w:tc>
          <w:tcPr>
            <w:tcW w:type="dxa" w:w="1152"/>
            <w:shd w:fill="F3F5F7"/>
            <w:tcMar>
              <w:top w:w="55" w:type="dxa"/>
              <w:start w:w="65" w:type="dxa"/>
              <w:bottom w:w="55" w:type="dxa"/>
              <w:end w:w="65" w:type="dxa"/>
            </w:tcMar>
            <w:vAlign w:val="top"/>
          </w:tcPr>
          <w:p>
            <w:pPr>
              <w:spacing w:after="0"/>
            </w:pPr>
            <w:r>
              <w:rPr>
                <w:rFonts w:ascii="Carlito" w:hAnsi="Carlito"/>
                <w:sz w:val="12"/>
              </w:rPr>
              <w:t>2026-27</w:t>
            </w:r>
          </w:p>
        </w:tc>
        <w:tc>
          <w:tcPr>
            <w:tcW w:type="dxa" w:w="3600"/>
            <w:shd w:fill="F3F5F7"/>
            <w:tcMar>
              <w:top w:w="55" w:type="dxa"/>
              <w:start w:w="65" w:type="dxa"/>
              <w:bottom w:w="55" w:type="dxa"/>
              <w:end w:w="65" w:type="dxa"/>
            </w:tcMar>
            <w:vAlign w:val="top"/>
          </w:tcPr>
          <w:p>
            <w:pPr>
              <w:spacing w:after="0"/>
            </w:pPr>
            <w:r>
              <w:rPr>
                <w:rFonts w:ascii="Carlito" w:hAnsi="Carlito"/>
                <w:sz w:val="12"/>
              </w:rPr>
              <w:t>Current term, rates, individual liability and sponsor</w:t>
            </w:r>
          </w:p>
        </w:tc>
        <w:tc>
          <w:tcPr>
            <w:tcW w:type="dxa" w:w="3888"/>
            <w:shd w:fill="F3F5F7"/>
            <w:tcMar>
              <w:top w:w="55" w:type="dxa"/>
              <w:start w:w="65" w:type="dxa"/>
              <w:bottom w:w="55" w:type="dxa"/>
              <w:end w:w="65" w:type="dxa"/>
            </w:tcMar>
            <w:vAlign w:val="top"/>
          </w:tcPr>
          <w:p>
            <w:pPr>
              <w:spacing w:after="0"/>
            </w:pPr>
            <w:r>
              <w:rPr>
                <w:rFonts w:ascii="Carlito" w:hAnsi="Carlito"/>
                <w:sz w:val="12"/>
              </w:rPr>
              <w:t>https://www.americancampus.com/student-apartments/tx/austin/26-west</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S15</w:t>
            </w:r>
          </w:p>
        </w:tc>
        <w:tc>
          <w:tcPr>
            <w:tcW w:type="dxa" w:w="3240"/>
            <w:tcMar>
              <w:top w:w="55" w:type="dxa"/>
              <w:start w:w="65" w:type="dxa"/>
              <w:bottom w:w="55" w:type="dxa"/>
              <w:end w:w="65" w:type="dxa"/>
            </w:tcMar>
            <w:vAlign w:val="top"/>
          </w:tcPr>
          <w:p>
            <w:pPr>
              <w:spacing w:after="0"/>
            </w:pPr>
            <w:r>
              <w:rPr>
                <w:rFonts w:ascii="Carlito" w:hAnsi="Carlito"/>
                <w:sz w:val="12"/>
              </w:rPr>
              <w:t>UT Sets All-Time Highs for Enrollment and Student Performance</w:t>
            </w:r>
          </w:p>
        </w:tc>
        <w:tc>
          <w:tcPr>
            <w:tcW w:type="dxa" w:w="1944"/>
            <w:tcMar>
              <w:top w:w="55" w:type="dxa"/>
              <w:start w:w="65" w:type="dxa"/>
              <w:bottom w:w="55" w:type="dxa"/>
              <w:end w:w="65" w:type="dxa"/>
            </w:tcMar>
            <w:vAlign w:val="top"/>
          </w:tcPr>
          <w:p>
            <w:pPr>
              <w:spacing w:after="0"/>
            </w:pPr>
            <w:r>
              <w:rPr>
                <w:rFonts w:ascii="Carlito" w:hAnsi="Carlito"/>
                <w:sz w:val="12"/>
              </w:rPr>
              <w:t>Official university news</w:t>
            </w:r>
          </w:p>
        </w:tc>
        <w:tc>
          <w:tcPr>
            <w:tcW w:type="dxa" w:w="1152"/>
            <w:tcMar>
              <w:top w:w="55" w:type="dxa"/>
              <w:start w:w="65" w:type="dxa"/>
              <w:bottom w:w="55" w:type="dxa"/>
              <w:end w:w="65" w:type="dxa"/>
            </w:tcMar>
            <w:vAlign w:val="top"/>
          </w:tcPr>
          <w:p>
            <w:pPr>
              <w:spacing w:after="0"/>
            </w:pPr>
            <w:r>
              <w:rPr>
                <w:rFonts w:ascii="Carlito" w:hAnsi="Carlito"/>
                <w:sz w:val="12"/>
              </w:rPr>
              <w:t>2025-09-18</w:t>
            </w:r>
          </w:p>
        </w:tc>
        <w:tc>
          <w:tcPr>
            <w:tcW w:type="dxa" w:w="3600"/>
            <w:tcMar>
              <w:top w:w="55" w:type="dxa"/>
              <w:start w:w="65" w:type="dxa"/>
              <w:bottom w:w="55" w:type="dxa"/>
              <w:end w:w="65" w:type="dxa"/>
            </w:tcMar>
            <w:vAlign w:val="top"/>
          </w:tcPr>
          <w:p>
            <w:pPr>
              <w:spacing w:after="0"/>
            </w:pPr>
            <w:r>
              <w:rPr>
                <w:rFonts w:ascii="Carlito" w:hAnsi="Carlito"/>
                <w:sz w:val="12"/>
              </w:rPr>
              <w:t>Fall 2025 enrollment and freshman class</w:t>
            </w:r>
          </w:p>
        </w:tc>
        <w:tc>
          <w:tcPr>
            <w:tcW w:type="dxa" w:w="3888"/>
            <w:tcMar>
              <w:top w:w="55" w:type="dxa"/>
              <w:start w:w="65" w:type="dxa"/>
              <w:bottom w:w="55" w:type="dxa"/>
              <w:end w:w="65" w:type="dxa"/>
            </w:tcMar>
            <w:vAlign w:val="top"/>
          </w:tcPr>
          <w:p>
            <w:pPr>
              <w:spacing w:after="0"/>
            </w:pPr>
            <w:r>
              <w:rPr>
                <w:rFonts w:ascii="Carlito" w:hAnsi="Carlito"/>
                <w:sz w:val="12"/>
              </w:rPr>
              <w:t>https://news.utexas.edu/2025/09/18/ut-sets-all-time-highs-for-enrollment-and-student-performance/</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S16</w:t>
            </w:r>
          </w:p>
        </w:tc>
        <w:tc>
          <w:tcPr>
            <w:tcW w:type="dxa" w:w="3240"/>
            <w:shd w:fill="F3F5F7"/>
            <w:tcMar>
              <w:top w:w="55" w:type="dxa"/>
              <w:start w:w="65" w:type="dxa"/>
              <w:bottom w:w="55" w:type="dxa"/>
              <w:end w:w="65" w:type="dxa"/>
            </w:tcMar>
            <w:vAlign w:val="top"/>
          </w:tcPr>
          <w:p>
            <w:pPr>
              <w:spacing w:after="0"/>
            </w:pPr>
            <w:r>
              <w:rPr>
                <w:rFonts w:ascii="Carlito" w:hAnsi="Carlito"/>
                <w:sz w:val="12"/>
              </w:rPr>
              <w:t>Undergraduate Housing on Whitis Avenue</w:t>
            </w:r>
          </w:p>
        </w:tc>
        <w:tc>
          <w:tcPr>
            <w:tcW w:type="dxa" w:w="1944"/>
            <w:shd w:fill="F3F5F7"/>
            <w:tcMar>
              <w:top w:w="55" w:type="dxa"/>
              <w:start w:w="65" w:type="dxa"/>
              <w:bottom w:w="55" w:type="dxa"/>
              <w:end w:w="65" w:type="dxa"/>
            </w:tcMar>
            <w:vAlign w:val="top"/>
          </w:tcPr>
          <w:p>
            <w:pPr>
              <w:spacing w:after="0"/>
            </w:pPr>
            <w:r>
              <w:rPr>
                <w:rFonts w:ascii="Carlito" w:hAnsi="Carlito"/>
                <w:sz w:val="12"/>
              </w:rPr>
              <w:t>Official university</w:t>
            </w:r>
          </w:p>
        </w:tc>
        <w:tc>
          <w:tcPr>
            <w:tcW w:type="dxa" w:w="1152"/>
            <w:shd w:fill="F3F5F7"/>
            <w:tcMar>
              <w:top w:w="55" w:type="dxa"/>
              <w:start w:w="65" w:type="dxa"/>
              <w:bottom w:w="55" w:type="dxa"/>
              <w:end w:w="65" w:type="dxa"/>
            </w:tcMar>
            <w:vAlign w:val="top"/>
          </w:tcPr>
          <w:p>
            <w:pPr>
              <w:spacing w:after="0"/>
            </w:pPr>
            <w:r>
              <w:rPr>
                <w:rFonts w:ascii="Carlito" w:hAnsi="Carlito"/>
                <w:sz w:val="12"/>
              </w:rPr>
              <w:t>Current</w:t>
            </w:r>
          </w:p>
        </w:tc>
        <w:tc>
          <w:tcPr>
            <w:tcW w:type="dxa" w:w="3600"/>
            <w:shd w:fill="F3F5F7"/>
            <w:tcMar>
              <w:top w:w="55" w:type="dxa"/>
              <w:start w:w="65" w:type="dxa"/>
              <w:bottom w:w="55" w:type="dxa"/>
              <w:end w:w="65" w:type="dxa"/>
            </w:tcMar>
            <w:vAlign w:val="top"/>
          </w:tcPr>
          <w:p>
            <w:pPr>
              <w:spacing w:after="0"/>
            </w:pPr>
            <w:r>
              <w:rPr>
                <w:rFonts w:ascii="Carlito" w:hAnsi="Carlito"/>
                <w:sz w:val="12"/>
              </w:rPr>
              <w:t>1,000 gross beds / 800 net new, fall 2027</w:t>
            </w:r>
          </w:p>
        </w:tc>
        <w:tc>
          <w:tcPr>
            <w:tcW w:type="dxa" w:w="3888"/>
            <w:shd w:fill="F3F5F7"/>
            <w:tcMar>
              <w:top w:w="55" w:type="dxa"/>
              <w:start w:w="65" w:type="dxa"/>
              <w:bottom w:w="55" w:type="dxa"/>
              <w:end w:w="65" w:type="dxa"/>
            </w:tcMar>
            <w:vAlign w:val="top"/>
          </w:tcPr>
          <w:p>
            <w:pPr>
              <w:spacing w:after="0"/>
            </w:pPr>
            <w:r>
              <w:rPr>
                <w:rFonts w:ascii="Carlito" w:hAnsi="Carlito"/>
                <w:sz w:val="12"/>
              </w:rPr>
              <w:t>https://housing.utexas.edu/housing/residence-halls/residence-hall-locations/whitis-avenue-hall</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S17</w:t>
            </w:r>
          </w:p>
        </w:tc>
        <w:tc>
          <w:tcPr>
            <w:tcW w:type="dxa" w:w="3240"/>
            <w:tcMar>
              <w:top w:w="55" w:type="dxa"/>
              <w:start w:w="65" w:type="dxa"/>
              <w:bottom w:w="55" w:type="dxa"/>
              <w:end w:w="65" w:type="dxa"/>
            </w:tcMar>
            <w:vAlign w:val="top"/>
          </w:tcPr>
          <w:p>
            <w:pPr>
              <w:spacing w:after="0"/>
            </w:pPr>
            <w:r>
              <w:rPr>
                <w:rFonts w:ascii="Carlito" w:hAnsi="Carlito"/>
                <w:sz w:val="12"/>
              </w:rPr>
              <w:t>Student Housing: A Resilient and Counter-Cyclical Asset Class</w:t>
            </w:r>
          </w:p>
        </w:tc>
        <w:tc>
          <w:tcPr>
            <w:tcW w:type="dxa" w:w="1944"/>
            <w:tcMar>
              <w:top w:w="55" w:type="dxa"/>
              <w:start w:w="65" w:type="dxa"/>
              <w:bottom w:w="55" w:type="dxa"/>
              <w:end w:w="65" w:type="dxa"/>
            </w:tcMar>
            <w:vAlign w:val="top"/>
          </w:tcPr>
          <w:p>
            <w:pPr>
              <w:spacing w:after="0"/>
            </w:pPr>
            <w:r>
              <w:rPr>
                <w:rFonts w:ascii="Carlito" w:hAnsi="Carlito"/>
                <w:sz w:val="12"/>
              </w:rPr>
              <w:t>Valuation research</w:t>
            </w:r>
          </w:p>
        </w:tc>
        <w:tc>
          <w:tcPr>
            <w:tcW w:type="dxa" w:w="1152"/>
            <w:tcMar>
              <w:top w:w="55" w:type="dxa"/>
              <w:start w:w="65" w:type="dxa"/>
              <w:bottom w:w="55" w:type="dxa"/>
              <w:end w:w="65" w:type="dxa"/>
            </w:tcMar>
            <w:vAlign w:val="top"/>
          </w:tcPr>
          <w:p>
            <w:pPr>
              <w:spacing w:after="0"/>
            </w:pPr>
            <w:r>
              <w:rPr>
                <w:rFonts w:ascii="Carlito" w:hAnsi="Carlito"/>
                <w:sz w:val="12"/>
              </w:rPr>
              <w:t>2025-09</w:t>
            </w:r>
          </w:p>
        </w:tc>
        <w:tc>
          <w:tcPr>
            <w:tcW w:type="dxa" w:w="3600"/>
            <w:tcMar>
              <w:top w:w="55" w:type="dxa"/>
              <w:start w:w="65" w:type="dxa"/>
              <w:bottom w:w="55" w:type="dxa"/>
              <w:end w:w="65" w:type="dxa"/>
            </w:tcMar>
            <w:vAlign w:val="top"/>
          </w:tcPr>
          <w:p>
            <w:pPr>
              <w:spacing w:after="0"/>
            </w:pPr>
            <w:r>
              <w:rPr>
                <w:rFonts w:ascii="Carlito" w:hAnsi="Carlito"/>
                <w:sz w:val="12"/>
              </w:rPr>
              <w:t>National price-per-bed and distance premium cross-check</w:t>
            </w:r>
          </w:p>
        </w:tc>
        <w:tc>
          <w:tcPr>
            <w:tcW w:type="dxa" w:w="3888"/>
            <w:tcMar>
              <w:top w:w="55" w:type="dxa"/>
              <w:start w:w="65" w:type="dxa"/>
              <w:bottom w:w="55" w:type="dxa"/>
              <w:end w:w="65" w:type="dxa"/>
            </w:tcMar>
            <w:vAlign w:val="top"/>
          </w:tcPr>
          <w:p>
            <w:pPr>
              <w:spacing w:after="0"/>
            </w:pPr>
            <w:r>
              <w:rPr>
                <w:rFonts w:ascii="Carlito" w:hAnsi="Carlito"/>
                <w:sz w:val="12"/>
              </w:rPr>
              <w:t>https://www.cushmanwakefield.com/en/united-states/insights/student-housing-valuation</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S18</w:t>
            </w:r>
          </w:p>
        </w:tc>
        <w:tc>
          <w:tcPr>
            <w:tcW w:type="dxa" w:w="3240"/>
            <w:shd w:fill="F3F5F7"/>
            <w:tcMar>
              <w:top w:w="55" w:type="dxa"/>
              <w:start w:w="65" w:type="dxa"/>
              <w:bottom w:w="55" w:type="dxa"/>
              <w:end w:w="65" w:type="dxa"/>
            </w:tcMar>
            <w:vAlign w:val="top"/>
          </w:tcPr>
          <w:p>
            <w:pPr>
              <w:spacing w:after="0"/>
            </w:pPr>
            <w:r>
              <w:rPr>
                <w:rFonts w:ascii="Carlito" w:hAnsi="Carlito"/>
                <w:sz w:val="12"/>
              </w:rPr>
              <w:t>Multifamily Marketbeat Q3 2025</w:t>
            </w:r>
          </w:p>
        </w:tc>
        <w:tc>
          <w:tcPr>
            <w:tcW w:type="dxa" w:w="1944"/>
            <w:shd w:fill="F3F5F7"/>
            <w:tcMar>
              <w:top w:w="55" w:type="dxa"/>
              <w:start w:w="65" w:type="dxa"/>
              <w:bottom w:w="55" w:type="dxa"/>
              <w:end w:w="65" w:type="dxa"/>
            </w:tcMar>
            <w:vAlign w:val="top"/>
          </w:tcPr>
          <w:p>
            <w:pPr>
              <w:spacing w:after="0"/>
            </w:pPr>
            <w:r>
              <w:rPr>
                <w:rFonts w:ascii="Carlito" w:hAnsi="Carlito"/>
                <w:sz w:val="12"/>
              </w:rPr>
              <w:t>Market research</w:t>
            </w:r>
          </w:p>
        </w:tc>
        <w:tc>
          <w:tcPr>
            <w:tcW w:type="dxa" w:w="1152"/>
            <w:shd w:fill="F3F5F7"/>
            <w:tcMar>
              <w:top w:w="55" w:type="dxa"/>
              <w:start w:w="65" w:type="dxa"/>
              <w:bottom w:w="55" w:type="dxa"/>
              <w:end w:w="65" w:type="dxa"/>
            </w:tcMar>
            <w:vAlign w:val="top"/>
          </w:tcPr>
          <w:p>
            <w:pPr>
              <w:spacing w:after="0"/>
            </w:pPr>
            <w:r>
              <w:rPr>
                <w:rFonts w:ascii="Carlito" w:hAnsi="Carlito"/>
                <w:sz w:val="12"/>
              </w:rPr>
              <w:t>2025-Q3</w:t>
            </w:r>
          </w:p>
        </w:tc>
        <w:tc>
          <w:tcPr>
            <w:tcW w:type="dxa" w:w="3600"/>
            <w:shd w:fill="F3F5F7"/>
            <w:tcMar>
              <w:top w:w="55" w:type="dxa"/>
              <w:start w:w="65" w:type="dxa"/>
              <w:bottom w:w="55" w:type="dxa"/>
              <w:end w:w="65" w:type="dxa"/>
            </w:tcMar>
            <w:vAlign w:val="top"/>
          </w:tcPr>
          <w:p>
            <w:pPr>
              <w:spacing w:after="0"/>
            </w:pPr>
            <w:r>
              <w:rPr>
                <w:rFonts w:ascii="Carlito" w:hAnsi="Carlito"/>
                <w:sz w:val="12"/>
              </w:rPr>
              <w:t>Cap-rate and concession context only</w:t>
            </w:r>
          </w:p>
        </w:tc>
        <w:tc>
          <w:tcPr>
            <w:tcW w:type="dxa" w:w="3888"/>
            <w:shd w:fill="F3F5F7"/>
            <w:tcMar>
              <w:top w:w="55" w:type="dxa"/>
              <w:start w:w="65" w:type="dxa"/>
              <w:bottom w:w="55" w:type="dxa"/>
              <w:end w:w="65" w:type="dxa"/>
            </w:tcMar>
            <w:vAlign w:val="top"/>
          </w:tcPr>
          <w:p>
            <w:pPr>
              <w:spacing w:after="0"/>
            </w:pPr>
            <w:r>
              <w:rPr>
                <w:rFonts w:ascii="Carlito" w:hAnsi="Carlito"/>
                <w:sz w:val="12"/>
              </w:rPr>
              <w:t>https://assets.cushmanwakefield.com/-/media/cw/marketbeat-pdfs/2025/q3/us-reports/multifamily_marketbeat_q3-2025.pdf</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S19</w:t>
            </w:r>
          </w:p>
        </w:tc>
        <w:tc>
          <w:tcPr>
            <w:tcW w:type="dxa" w:w="3240"/>
            <w:tcMar>
              <w:top w:w="55" w:type="dxa"/>
              <w:start w:w="65" w:type="dxa"/>
              <w:bottom w:w="55" w:type="dxa"/>
              <w:end w:w="65" w:type="dxa"/>
            </w:tcMar>
            <w:vAlign w:val="top"/>
          </w:tcPr>
          <w:p>
            <w:pPr>
              <w:spacing w:after="0"/>
            </w:pPr>
            <w:r>
              <w:rPr>
                <w:rFonts w:ascii="Carlito" w:hAnsi="Carlito"/>
                <w:sz w:val="12"/>
              </w:rPr>
              <w:t>The Standard current floor plans</w:t>
            </w:r>
          </w:p>
        </w:tc>
        <w:tc>
          <w:tcPr>
            <w:tcW w:type="dxa" w:w="1944"/>
            <w:tcMar>
              <w:top w:w="55" w:type="dxa"/>
              <w:start w:w="65" w:type="dxa"/>
              <w:bottom w:w="55" w:type="dxa"/>
              <w:end w:w="65" w:type="dxa"/>
            </w:tcMar>
            <w:vAlign w:val="top"/>
          </w:tcPr>
          <w:p>
            <w:pPr>
              <w:spacing w:after="0"/>
            </w:pPr>
            <w:r>
              <w:rPr>
                <w:rFonts w:ascii="Carlito" w:hAnsi="Carlito"/>
                <w:sz w:val="12"/>
              </w:rPr>
              <w:t>Property source</w:t>
            </w:r>
          </w:p>
        </w:tc>
        <w:tc>
          <w:tcPr>
            <w:tcW w:type="dxa" w:w="1152"/>
            <w:tcMar>
              <w:top w:w="55" w:type="dxa"/>
              <w:start w:w="65" w:type="dxa"/>
              <w:bottom w:w="55" w:type="dxa"/>
              <w:end w:w="65" w:type="dxa"/>
            </w:tcMar>
            <w:vAlign w:val="top"/>
          </w:tcPr>
          <w:p>
            <w:pPr>
              <w:spacing w:after="0"/>
            </w:pPr>
            <w:r>
              <w:rPr>
                <w:rFonts w:ascii="Carlito" w:hAnsi="Carlito"/>
                <w:sz w:val="12"/>
              </w:rPr>
              <w:t>2026-27</w:t>
            </w:r>
          </w:p>
        </w:tc>
        <w:tc>
          <w:tcPr>
            <w:tcW w:type="dxa" w:w="3600"/>
            <w:tcMar>
              <w:top w:w="55" w:type="dxa"/>
              <w:start w:w="65" w:type="dxa"/>
              <w:bottom w:w="55" w:type="dxa"/>
              <w:end w:w="65" w:type="dxa"/>
            </w:tcMar>
            <w:vAlign w:val="top"/>
          </w:tcPr>
          <w:p>
            <w:pPr>
              <w:spacing w:after="0"/>
            </w:pPr>
            <w:r>
              <w:rPr>
                <w:rFonts w:ascii="Carlito" w:hAnsi="Carlito"/>
                <w:sz w:val="12"/>
              </w:rPr>
              <w:t>Current asking rates and mandatory monthly fee</w:t>
            </w:r>
          </w:p>
        </w:tc>
        <w:tc>
          <w:tcPr>
            <w:tcW w:type="dxa" w:w="3888"/>
            <w:tcMar>
              <w:top w:w="55" w:type="dxa"/>
              <w:start w:w="65" w:type="dxa"/>
              <w:bottom w:w="55" w:type="dxa"/>
              <w:end w:w="65" w:type="dxa"/>
            </w:tcMar>
            <w:vAlign w:val="top"/>
          </w:tcPr>
          <w:p>
            <w:pPr>
              <w:spacing w:after="0"/>
            </w:pPr>
            <w:r>
              <w:rPr>
                <w:rFonts w:ascii="Carlito" w:hAnsi="Carlito"/>
                <w:sz w:val="12"/>
              </w:rPr>
              <w:t>https://thestandardaustin.landmark-properties.com/floorplans/</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S20</w:t>
            </w:r>
          </w:p>
        </w:tc>
        <w:tc>
          <w:tcPr>
            <w:tcW w:type="dxa" w:w="3240"/>
            <w:shd w:fill="F3F5F7"/>
            <w:tcMar>
              <w:top w:w="55" w:type="dxa"/>
              <w:start w:w="65" w:type="dxa"/>
              <w:bottom w:w="55" w:type="dxa"/>
              <w:end w:w="65" w:type="dxa"/>
            </w:tcMar>
            <w:vAlign w:val="top"/>
          </w:tcPr>
          <w:p>
            <w:pPr>
              <w:spacing w:after="0"/>
            </w:pPr>
            <w:r>
              <w:rPr>
                <w:rFonts w:ascii="Carlito" w:hAnsi="Carlito"/>
                <w:sz w:val="12"/>
              </w:rPr>
              <w:t>Callaway current floor plans</w:t>
            </w:r>
          </w:p>
        </w:tc>
        <w:tc>
          <w:tcPr>
            <w:tcW w:type="dxa" w:w="1944"/>
            <w:shd w:fill="F3F5F7"/>
            <w:tcMar>
              <w:top w:w="55" w:type="dxa"/>
              <w:start w:w="65" w:type="dxa"/>
              <w:bottom w:w="55" w:type="dxa"/>
              <w:end w:w="65" w:type="dxa"/>
            </w:tcMar>
            <w:vAlign w:val="top"/>
          </w:tcPr>
          <w:p>
            <w:pPr>
              <w:spacing w:after="0"/>
            </w:pPr>
            <w:r>
              <w:rPr>
                <w:rFonts w:ascii="Carlito" w:hAnsi="Carlito"/>
                <w:sz w:val="12"/>
              </w:rPr>
              <w:t>Property source</w:t>
            </w:r>
          </w:p>
        </w:tc>
        <w:tc>
          <w:tcPr>
            <w:tcW w:type="dxa" w:w="1152"/>
            <w:shd w:fill="F3F5F7"/>
            <w:tcMar>
              <w:top w:w="55" w:type="dxa"/>
              <w:start w:w="65" w:type="dxa"/>
              <w:bottom w:w="55" w:type="dxa"/>
              <w:end w:w="65" w:type="dxa"/>
            </w:tcMar>
            <w:vAlign w:val="top"/>
          </w:tcPr>
          <w:p>
            <w:pPr>
              <w:spacing w:after="0"/>
            </w:pPr>
            <w:r>
              <w:rPr>
                <w:rFonts w:ascii="Carlito" w:hAnsi="Carlito"/>
                <w:sz w:val="12"/>
              </w:rPr>
              <w:t>2026-27</w:t>
            </w:r>
          </w:p>
        </w:tc>
        <w:tc>
          <w:tcPr>
            <w:tcW w:type="dxa" w:w="3600"/>
            <w:shd w:fill="F3F5F7"/>
            <w:tcMar>
              <w:top w:w="55" w:type="dxa"/>
              <w:start w:w="65" w:type="dxa"/>
              <w:bottom w:w="55" w:type="dxa"/>
              <w:end w:w="65" w:type="dxa"/>
            </w:tcMar>
            <w:vAlign w:val="top"/>
          </w:tcPr>
          <w:p>
            <w:pPr>
              <w:spacing w:after="0"/>
            </w:pPr>
            <w:r>
              <w:rPr>
                <w:rFonts w:ascii="Carlito" w:hAnsi="Carlito"/>
                <w:sz w:val="12"/>
              </w:rPr>
              <w:t>Current asking-rate range</w:t>
            </w:r>
          </w:p>
        </w:tc>
        <w:tc>
          <w:tcPr>
            <w:tcW w:type="dxa" w:w="3888"/>
            <w:shd w:fill="F3F5F7"/>
            <w:tcMar>
              <w:top w:w="55" w:type="dxa"/>
              <w:start w:w="65" w:type="dxa"/>
              <w:bottom w:w="55" w:type="dxa"/>
              <w:end w:w="65" w:type="dxa"/>
            </w:tcMar>
            <w:vAlign w:val="top"/>
          </w:tcPr>
          <w:p>
            <w:pPr>
              <w:spacing w:after="0"/>
            </w:pPr>
            <w:r>
              <w:rPr>
                <w:rFonts w:ascii="Carlito" w:hAnsi="Carlito"/>
                <w:sz w:val="12"/>
              </w:rPr>
              <w:t>https://www.americancampus.com/student-apartments/tx/austin/the-callaway-house-austin/floor-plans</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S21</w:t>
            </w:r>
          </w:p>
        </w:tc>
        <w:tc>
          <w:tcPr>
            <w:tcW w:type="dxa" w:w="3240"/>
            <w:tcMar>
              <w:top w:w="55" w:type="dxa"/>
              <w:start w:w="65" w:type="dxa"/>
              <w:bottom w:w="55" w:type="dxa"/>
              <w:end w:w="65" w:type="dxa"/>
            </w:tcMar>
            <w:vAlign w:val="top"/>
          </w:tcPr>
          <w:p>
            <w:pPr>
              <w:spacing w:after="0"/>
            </w:pPr>
            <w:r>
              <w:rPr>
                <w:rFonts w:ascii="Carlito" w:hAnsi="Carlito"/>
                <w:sz w:val="12"/>
              </w:rPr>
              <w:t>SkyLoft current floor plans and fee listings</w:t>
            </w:r>
          </w:p>
        </w:tc>
        <w:tc>
          <w:tcPr>
            <w:tcW w:type="dxa" w:w="1944"/>
            <w:tcMar>
              <w:top w:w="55" w:type="dxa"/>
              <w:start w:w="65" w:type="dxa"/>
              <w:bottom w:w="55" w:type="dxa"/>
              <w:end w:w="65" w:type="dxa"/>
            </w:tcMar>
            <w:vAlign w:val="top"/>
          </w:tcPr>
          <w:p>
            <w:pPr>
              <w:spacing w:after="0"/>
            </w:pPr>
            <w:r>
              <w:rPr>
                <w:rFonts w:ascii="Carlito" w:hAnsi="Carlito"/>
                <w:sz w:val="12"/>
              </w:rPr>
              <w:t>Property/market source</w:t>
            </w:r>
          </w:p>
        </w:tc>
        <w:tc>
          <w:tcPr>
            <w:tcW w:type="dxa" w:w="1152"/>
            <w:tcMar>
              <w:top w:w="55" w:type="dxa"/>
              <w:start w:w="65" w:type="dxa"/>
              <w:bottom w:w="55" w:type="dxa"/>
              <w:end w:w="65" w:type="dxa"/>
            </w:tcMar>
            <w:vAlign w:val="top"/>
          </w:tcPr>
          <w:p>
            <w:pPr>
              <w:spacing w:after="0"/>
            </w:pPr>
            <w:r>
              <w:rPr>
                <w:rFonts w:ascii="Carlito" w:hAnsi="Carlito"/>
                <w:sz w:val="12"/>
              </w:rPr>
              <w:t>2026-27</w:t>
            </w:r>
          </w:p>
        </w:tc>
        <w:tc>
          <w:tcPr>
            <w:tcW w:type="dxa" w:w="3600"/>
            <w:tcMar>
              <w:top w:w="55" w:type="dxa"/>
              <w:start w:w="65" w:type="dxa"/>
              <w:bottom w:w="55" w:type="dxa"/>
              <w:end w:w="65" w:type="dxa"/>
            </w:tcMar>
            <w:vAlign w:val="top"/>
          </w:tcPr>
          <w:p>
            <w:pPr>
              <w:spacing w:after="0"/>
            </w:pPr>
            <w:r>
              <w:rPr>
                <w:rFonts w:ascii="Carlito" w:hAnsi="Carlito"/>
                <w:sz w:val="12"/>
              </w:rPr>
              <w:t>Current asking rates, term, parking and application/admin charges</w:t>
            </w:r>
          </w:p>
        </w:tc>
        <w:tc>
          <w:tcPr>
            <w:tcW w:type="dxa" w:w="3888"/>
            <w:tcMar>
              <w:top w:w="55" w:type="dxa"/>
              <w:start w:w="65" w:type="dxa"/>
              <w:bottom w:w="55" w:type="dxa"/>
              <w:end w:w="65" w:type="dxa"/>
            </w:tcMar>
            <w:vAlign w:val="top"/>
          </w:tcPr>
          <w:p>
            <w:pPr>
              <w:spacing w:after="0"/>
            </w:pPr>
            <w:r>
              <w:rPr>
                <w:rFonts w:ascii="Carlito" w:hAnsi="Carlito"/>
                <w:sz w:val="12"/>
              </w:rPr>
              <w:t>https://www.skyloftatx.com/austin/95211-skyloft/student/</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S22</w:t>
            </w:r>
          </w:p>
        </w:tc>
        <w:tc>
          <w:tcPr>
            <w:tcW w:type="dxa" w:w="3240"/>
            <w:shd w:fill="F3F5F7"/>
            <w:tcMar>
              <w:top w:w="55" w:type="dxa"/>
              <w:start w:w="65" w:type="dxa"/>
              <w:bottom w:w="55" w:type="dxa"/>
              <w:end w:w="65" w:type="dxa"/>
            </w:tcMar>
            <w:vAlign w:val="top"/>
          </w:tcPr>
          <w:p>
            <w:pPr>
              <w:spacing w:after="0"/>
            </w:pPr>
            <w:r>
              <w:rPr>
                <w:rFonts w:ascii="Carlito" w:hAnsi="Carlito"/>
                <w:sz w:val="12"/>
              </w:rPr>
              <w:t>Waterloo current listings</w:t>
            </w:r>
          </w:p>
        </w:tc>
        <w:tc>
          <w:tcPr>
            <w:tcW w:type="dxa" w:w="1944"/>
            <w:shd w:fill="F3F5F7"/>
            <w:tcMar>
              <w:top w:w="55" w:type="dxa"/>
              <w:start w:w="65" w:type="dxa"/>
              <w:bottom w:w="55" w:type="dxa"/>
              <w:end w:w="65" w:type="dxa"/>
            </w:tcMar>
            <w:vAlign w:val="top"/>
          </w:tcPr>
          <w:p>
            <w:pPr>
              <w:spacing w:after="0"/>
            </w:pPr>
            <w:r>
              <w:rPr>
                <w:rFonts w:ascii="Carlito" w:hAnsi="Carlito"/>
                <w:sz w:val="12"/>
              </w:rPr>
              <w:t>Property/market source</w:t>
            </w:r>
          </w:p>
        </w:tc>
        <w:tc>
          <w:tcPr>
            <w:tcW w:type="dxa" w:w="1152"/>
            <w:shd w:fill="F3F5F7"/>
            <w:tcMar>
              <w:top w:w="55" w:type="dxa"/>
              <w:start w:w="65" w:type="dxa"/>
              <w:bottom w:w="55" w:type="dxa"/>
              <w:end w:w="65" w:type="dxa"/>
            </w:tcMar>
            <w:vAlign w:val="top"/>
          </w:tcPr>
          <w:p>
            <w:pPr>
              <w:spacing w:after="0"/>
            </w:pPr>
            <w:r>
              <w:rPr>
                <w:rFonts w:ascii="Carlito" w:hAnsi="Carlito"/>
                <w:sz w:val="12"/>
              </w:rPr>
              <w:t>2026-27</w:t>
            </w:r>
          </w:p>
        </w:tc>
        <w:tc>
          <w:tcPr>
            <w:tcW w:type="dxa" w:w="3600"/>
            <w:shd w:fill="F3F5F7"/>
            <w:tcMar>
              <w:top w:w="55" w:type="dxa"/>
              <w:start w:w="65" w:type="dxa"/>
              <w:bottom w:w="55" w:type="dxa"/>
              <w:end w:w="65" w:type="dxa"/>
            </w:tcMar>
            <w:vAlign w:val="top"/>
          </w:tcPr>
          <w:p>
            <w:pPr>
              <w:spacing w:after="0"/>
            </w:pPr>
            <w:r>
              <w:rPr>
                <w:rFonts w:ascii="Carlito" w:hAnsi="Carlito"/>
                <w:sz w:val="12"/>
              </w:rPr>
              <w:t>Current 4-6BR asking-rate range</w:t>
            </w:r>
          </w:p>
        </w:tc>
        <w:tc>
          <w:tcPr>
            <w:tcW w:type="dxa" w:w="3888"/>
            <w:shd w:fill="F3F5F7"/>
            <w:tcMar>
              <w:top w:w="55" w:type="dxa"/>
              <w:start w:w="65" w:type="dxa"/>
              <w:bottom w:w="55" w:type="dxa"/>
              <w:end w:w="65" w:type="dxa"/>
            </w:tcMar>
            <w:vAlign w:val="top"/>
          </w:tcPr>
          <w:p>
            <w:pPr>
              <w:spacing w:after="0"/>
            </w:pPr>
            <w:r>
              <w:rPr>
                <w:rFonts w:ascii="Carlito" w:hAnsi="Carlito"/>
                <w:sz w:val="12"/>
              </w:rPr>
              <w:t>https://www.apartments.com/yugo-austin-waterloo-austin-tx/</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S23</w:t>
            </w:r>
          </w:p>
        </w:tc>
        <w:tc>
          <w:tcPr>
            <w:tcW w:type="dxa" w:w="3240"/>
            <w:tcMar>
              <w:top w:w="55" w:type="dxa"/>
              <w:start w:w="65" w:type="dxa"/>
              <w:bottom w:w="55" w:type="dxa"/>
              <w:end w:w="65" w:type="dxa"/>
            </w:tcMar>
            <w:vAlign w:val="top"/>
          </w:tcPr>
          <w:p>
            <w:pPr>
              <w:spacing w:after="0"/>
            </w:pPr>
            <w:r>
              <w:rPr>
                <w:rFonts w:ascii="Carlito" w:hAnsi="Carlito"/>
                <w:sz w:val="12"/>
              </w:rPr>
              <w:t>Control housing sources: UT halls, College Houses, ICC, North University</w:t>
            </w:r>
          </w:p>
        </w:tc>
        <w:tc>
          <w:tcPr>
            <w:tcW w:type="dxa" w:w="1944"/>
            <w:tcMar>
              <w:top w:w="55" w:type="dxa"/>
              <w:start w:w="65" w:type="dxa"/>
              <w:bottom w:w="55" w:type="dxa"/>
              <w:end w:w="65" w:type="dxa"/>
            </w:tcMar>
            <w:vAlign w:val="top"/>
          </w:tcPr>
          <w:p>
            <w:pPr>
              <w:spacing w:after="0"/>
            </w:pPr>
            <w:r>
              <w:rPr>
                <w:rFonts w:ascii="Carlito" w:hAnsi="Carlito"/>
                <w:sz w:val="12"/>
              </w:rPr>
              <w:t>Official/market controls</w:t>
            </w:r>
          </w:p>
        </w:tc>
        <w:tc>
          <w:tcPr>
            <w:tcW w:type="dxa" w:w="1152"/>
            <w:tcMar>
              <w:top w:w="55" w:type="dxa"/>
              <w:start w:w="65" w:type="dxa"/>
              <w:bottom w:w="55" w:type="dxa"/>
              <w:end w:w="65" w:type="dxa"/>
            </w:tcMar>
            <w:vAlign w:val="top"/>
          </w:tcPr>
          <w:p>
            <w:pPr>
              <w:spacing w:after="0"/>
            </w:pPr>
            <w:r>
              <w:rPr>
                <w:rFonts w:ascii="Carlito" w:hAnsi="Carlito"/>
                <w:sz w:val="12"/>
              </w:rPr>
              <w:t>2026-27/current</w:t>
            </w:r>
          </w:p>
        </w:tc>
        <w:tc>
          <w:tcPr>
            <w:tcW w:type="dxa" w:w="3600"/>
            <w:tcMar>
              <w:top w:w="55" w:type="dxa"/>
              <w:start w:w="65" w:type="dxa"/>
              <w:bottom w:w="55" w:type="dxa"/>
              <w:end w:w="65" w:type="dxa"/>
            </w:tcMar>
            <w:vAlign w:val="top"/>
          </w:tcPr>
          <w:p>
            <w:pPr>
              <w:spacing w:after="0"/>
            </w:pPr>
            <w:r>
              <w:rPr>
                <w:rFonts w:ascii="Carlito" w:hAnsi="Carlito"/>
                <w:sz w:val="12"/>
              </w:rPr>
              <w:t>Student effective-cost controls</w:t>
            </w:r>
          </w:p>
        </w:tc>
        <w:tc>
          <w:tcPr>
            <w:tcW w:type="dxa" w:w="3888"/>
            <w:tcMar>
              <w:top w:w="55" w:type="dxa"/>
              <w:start w:w="65" w:type="dxa"/>
              <w:bottom w:w="55" w:type="dxa"/>
              <w:end w:w="65" w:type="dxa"/>
            </w:tcMar>
            <w:vAlign w:val="top"/>
          </w:tcPr>
          <w:p>
            <w:pPr>
              <w:spacing w:after="0"/>
            </w:pPr>
            <w:r>
              <w:rPr>
                <w:rFonts w:ascii="Carlito" w:hAnsi="Carlito"/>
                <w:sz w:val="12"/>
              </w:rPr>
              <w:t>See evidence package source list</w:t>
            </w:r>
          </w:p>
        </w:tc>
      </w:tr>
      <w:tr>
        <w:trPr>
          <w:cantSplit/>
        </w:trPr>
        <w:tc>
          <w:tcPr>
            <w:tcW w:type="dxa" w:w="792"/>
            <w:shd w:fill="F3F5F7"/>
            <w:tcMar>
              <w:top w:w="55" w:type="dxa"/>
              <w:start w:w="65" w:type="dxa"/>
              <w:bottom w:w="55" w:type="dxa"/>
              <w:end w:w="65" w:type="dxa"/>
            </w:tcMar>
            <w:vAlign w:val="top"/>
          </w:tcPr>
          <w:p>
            <w:pPr>
              <w:spacing w:after="0"/>
            </w:pPr>
            <w:r>
              <w:rPr>
                <w:rFonts w:ascii="Carlito" w:hAnsi="Carlito"/>
                <w:b/>
                <w:color w:val="17324D"/>
                <w:sz w:val="12"/>
              </w:rPr>
              <w:t>S24</w:t>
            </w:r>
          </w:p>
        </w:tc>
        <w:tc>
          <w:tcPr>
            <w:tcW w:type="dxa" w:w="3240"/>
            <w:shd w:fill="F3F5F7"/>
            <w:tcMar>
              <w:top w:w="55" w:type="dxa"/>
              <w:start w:w="65" w:type="dxa"/>
              <w:bottom w:w="55" w:type="dxa"/>
              <w:end w:w="65" w:type="dxa"/>
            </w:tcMar>
            <w:vAlign w:val="top"/>
          </w:tcPr>
          <w:p>
            <w:pPr>
              <w:spacing w:after="0"/>
            </w:pPr>
            <w:r>
              <w:rPr>
                <w:rFonts w:ascii="Carlito" w:hAnsi="Carlito"/>
                <w:sz w:val="12"/>
              </w:rPr>
              <w:t>University Neighborhood Overlay Program</w:t>
            </w:r>
          </w:p>
        </w:tc>
        <w:tc>
          <w:tcPr>
            <w:tcW w:type="dxa" w:w="1944"/>
            <w:shd w:fill="F3F5F7"/>
            <w:tcMar>
              <w:top w:w="55" w:type="dxa"/>
              <w:start w:w="65" w:type="dxa"/>
              <w:bottom w:w="55" w:type="dxa"/>
              <w:end w:w="65" w:type="dxa"/>
            </w:tcMar>
            <w:vAlign w:val="top"/>
          </w:tcPr>
          <w:p>
            <w:pPr>
              <w:spacing w:after="0"/>
            </w:pPr>
            <w:r>
              <w:rPr>
                <w:rFonts w:ascii="Carlito" w:hAnsi="Carlito"/>
                <w:sz w:val="12"/>
              </w:rPr>
              <w:t>Official city planning</w:t>
            </w:r>
          </w:p>
        </w:tc>
        <w:tc>
          <w:tcPr>
            <w:tcW w:type="dxa" w:w="1152"/>
            <w:shd w:fill="F3F5F7"/>
            <w:tcMar>
              <w:top w:w="55" w:type="dxa"/>
              <w:start w:w="65" w:type="dxa"/>
              <w:bottom w:w="55" w:type="dxa"/>
              <w:end w:w="65" w:type="dxa"/>
            </w:tcMar>
            <w:vAlign w:val="top"/>
          </w:tcPr>
          <w:p>
            <w:pPr>
              <w:spacing w:after="0"/>
            </w:pPr>
            <w:r>
              <w:rPr>
                <w:rFonts w:ascii="Carlito" w:hAnsi="Carlito"/>
                <w:sz w:val="12"/>
              </w:rPr>
              <w:t>Current</w:t>
            </w:r>
          </w:p>
        </w:tc>
        <w:tc>
          <w:tcPr>
            <w:tcW w:type="dxa" w:w="3600"/>
            <w:shd w:fill="F3F5F7"/>
            <w:tcMar>
              <w:top w:w="55" w:type="dxa"/>
              <w:start w:w="65" w:type="dxa"/>
              <w:bottom w:w="55" w:type="dxa"/>
              <w:end w:w="65" w:type="dxa"/>
            </w:tcMar>
            <w:vAlign w:val="top"/>
          </w:tcPr>
          <w:p>
            <w:pPr>
              <w:spacing w:after="0"/>
            </w:pPr>
            <w:r>
              <w:rPr>
                <w:rFonts w:ascii="Carlito" w:hAnsi="Carlito"/>
                <w:sz w:val="12"/>
              </w:rPr>
              <w:t>UNO purpose and entitlement context</w:t>
            </w:r>
          </w:p>
        </w:tc>
        <w:tc>
          <w:tcPr>
            <w:tcW w:type="dxa" w:w="3888"/>
            <w:shd w:fill="F3F5F7"/>
            <w:tcMar>
              <w:top w:w="55" w:type="dxa"/>
              <w:start w:w="65" w:type="dxa"/>
              <w:bottom w:w="55" w:type="dxa"/>
              <w:end w:w="65" w:type="dxa"/>
            </w:tcMar>
            <w:vAlign w:val="top"/>
          </w:tcPr>
          <w:p>
            <w:pPr>
              <w:spacing w:after="0"/>
            </w:pPr>
            <w:r>
              <w:rPr>
                <w:rFonts w:ascii="Carlito" w:hAnsi="Carlito"/>
                <w:sz w:val="12"/>
              </w:rPr>
              <w:t>https://www.austintexas.gov/planning/university-neighborhood-overlay-program</w:t>
            </w:r>
          </w:p>
        </w:tc>
      </w:tr>
      <w:tr>
        <w:trPr>
          <w:cantSplit/>
        </w:trPr>
        <w:tc>
          <w:tcPr>
            <w:tcW w:type="dxa" w:w="792"/>
            <w:tcMar>
              <w:top w:w="55" w:type="dxa"/>
              <w:start w:w="65" w:type="dxa"/>
              <w:bottom w:w="55" w:type="dxa"/>
              <w:end w:w="65" w:type="dxa"/>
            </w:tcMar>
            <w:vAlign w:val="top"/>
          </w:tcPr>
          <w:p>
            <w:pPr>
              <w:spacing w:after="0"/>
            </w:pPr>
            <w:r>
              <w:rPr>
                <w:rFonts w:ascii="Carlito" w:hAnsi="Carlito"/>
                <w:b/>
                <w:color w:val="17324D"/>
                <w:sz w:val="12"/>
              </w:rPr>
              <w:t>S25</w:t>
            </w:r>
          </w:p>
        </w:tc>
        <w:tc>
          <w:tcPr>
            <w:tcW w:type="dxa" w:w="3240"/>
            <w:tcMar>
              <w:top w:w="55" w:type="dxa"/>
              <w:start w:w="65" w:type="dxa"/>
              <w:bottom w:w="55" w:type="dxa"/>
              <w:end w:w="65" w:type="dxa"/>
            </w:tcMar>
            <w:vAlign w:val="top"/>
          </w:tcPr>
          <w:p>
            <w:pPr>
              <w:spacing w:after="0"/>
            </w:pPr>
            <w:r>
              <w:rPr>
                <w:rFonts w:ascii="Carlito" w:hAnsi="Carlito"/>
                <w:sz w:val="12"/>
              </w:rPr>
              <w:t>GSA Buys 796-Bed Austin Student Community</w:t>
            </w:r>
          </w:p>
        </w:tc>
        <w:tc>
          <w:tcPr>
            <w:tcW w:type="dxa" w:w="1944"/>
            <w:tcMar>
              <w:top w:w="55" w:type="dxa"/>
              <w:start w:w="65" w:type="dxa"/>
              <w:bottom w:w="55" w:type="dxa"/>
              <w:end w:w="65" w:type="dxa"/>
            </w:tcMar>
            <w:vAlign w:val="top"/>
          </w:tcPr>
          <w:p>
            <w:pPr>
              <w:spacing w:after="0"/>
            </w:pPr>
            <w:r>
              <w:rPr>
                <w:rFonts w:ascii="Carlito" w:hAnsi="Carlito"/>
                <w:sz w:val="12"/>
              </w:rPr>
              <w:t>Transaction / financing report</w:t>
            </w:r>
          </w:p>
        </w:tc>
        <w:tc>
          <w:tcPr>
            <w:tcW w:type="dxa" w:w="1152"/>
            <w:tcMar>
              <w:top w:w="55" w:type="dxa"/>
              <w:start w:w="65" w:type="dxa"/>
              <w:bottom w:w="55" w:type="dxa"/>
              <w:end w:w="65" w:type="dxa"/>
            </w:tcMar>
            <w:vAlign w:val="top"/>
          </w:tcPr>
          <w:p>
            <w:pPr>
              <w:spacing w:after="0"/>
            </w:pPr>
            <w:r>
              <w:rPr>
                <w:rFonts w:ascii="Carlito" w:hAnsi="Carlito"/>
                <w:sz w:val="12"/>
              </w:rPr>
              <w:t>2022-08-04</w:t>
            </w:r>
          </w:p>
        </w:tc>
        <w:tc>
          <w:tcPr>
            <w:tcW w:type="dxa" w:w="3600"/>
            <w:tcMar>
              <w:top w:w="55" w:type="dxa"/>
              <w:start w:w="65" w:type="dxa"/>
              <w:bottom w:w="55" w:type="dxa"/>
              <w:end w:w="65" w:type="dxa"/>
            </w:tcMar>
            <w:vAlign w:val="top"/>
          </w:tcPr>
          <w:p>
            <w:pPr>
              <w:spacing w:after="0"/>
            </w:pPr>
            <w:r>
              <w:rPr>
                <w:rFonts w:ascii="Carlito" w:hAnsi="Carlito"/>
                <w:sz w:val="12"/>
              </w:rPr>
              <w:t>Waterloo $76.3m UMB construction loan and sale to GSA</w:t>
            </w:r>
          </w:p>
        </w:tc>
        <w:tc>
          <w:tcPr>
            <w:tcW w:type="dxa" w:w="3888"/>
            <w:tcMar>
              <w:top w:w="55" w:type="dxa"/>
              <w:start w:w="65" w:type="dxa"/>
              <w:bottom w:w="55" w:type="dxa"/>
              <w:end w:w="65" w:type="dxa"/>
            </w:tcMar>
            <w:vAlign w:val="top"/>
          </w:tcPr>
          <w:p>
            <w:pPr>
              <w:spacing w:after="0"/>
            </w:pPr>
            <w:r>
              <w:rPr>
                <w:rFonts w:ascii="Carlito" w:hAnsi="Carlito"/>
                <w:sz w:val="12"/>
              </w:rPr>
              <w:t>https://www.multihousingnews.com/gsa-buys-796-bed-austin-student-community/</w:t>
            </w:r>
          </w:p>
        </w:tc>
      </w:tr>
    </w:tbl>
    <w:p>
      <w:pPr>
        <w:spacing w:after="20"/>
      </w:pPr>
    </w:p>
    <w:p>
      <w:pPr>
        <w:pStyle w:val="Heading1"/>
      </w:pPr>
      <w:r>
        <w:t>Research gaps and interview targets</w:t>
      </w:r>
    </w:p>
    <w:p>
      <w:pPr>
        <w:pStyle w:val="Heading2"/>
      </w:pPr>
      <w:r>
        <w:t>Title and debt records</w:t>
      </w:r>
    </w:p>
    <w:p>
      <w:pPr>
        <w:keepLines w:val="0"/>
        <w:spacing w:after="100"/>
        <w:ind w:firstLine="0"/>
      </w:pPr>
      <w:r>
        <w:t>Pull current deeds, deeds of trust, assignments, releases, ground-lease memoranda and parking parcels for the six modeled assets. The immediate targets are SkyLoft control, The Standard recap debt, Waterloo current debt and ACC parcel entities.</w:t>
      </w:r>
    </w:p>
    <w:p>
      <w:pPr>
        <w:pStyle w:val="Heading2"/>
      </w:pPr>
      <w:r>
        <w:t>Executed leasing data</w:t>
      </w:r>
    </w:p>
    <w:p>
      <w:pPr>
        <w:keepLines w:val="0"/>
        <w:spacing w:after="100"/>
        <w:ind w:firstLine="0"/>
      </w:pPr>
      <w:r>
        <w:t>Request signed-rent cohorts by month, floor plan and academic year, with concession and cancellation fields. Public website rates cannot establish collected rent or true scarcity.</w:t>
      </w:r>
    </w:p>
    <w:p>
      <w:pPr>
        <w:pStyle w:val="Heading2"/>
      </w:pPr>
      <w:r>
        <w:t>Guarantee performance</w:t>
      </w:r>
    </w:p>
    <w:p>
      <w:pPr>
        <w:keepLines w:val="0"/>
        <w:spacing w:after="100"/>
        <w:ind w:firstLine="0"/>
      </w:pPr>
      <w:r>
        <w:t>Request bad debt, collections, write-offs, deposits and guarantor utilization by property. Without that evidence, guarantees remain a supported mechanism rather than a measured valuation effect.</w:t>
      </w:r>
    </w:p>
    <w:p>
      <w:pPr>
        <w:pStyle w:val="Heading2"/>
      </w:pPr>
      <w:r>
        <w:t>Waterloo cost and sale</w:t>
      </w:r>
    </w:p>
    <w:p>
      <w:pPr>
        <w:keepLines w:val="0"/>
        <w:spacing w:after="100"/>
        <w:ind w:firstLine="0"/>
      </w:pPr>
      <w:r>
        <w:t>Confirm land acquisition price, final cost report, construction-loan draws, developer fee, sale consideration and recorded affordability covenant.</w:t>
      </w:r>
    </w:p>
    <w:p>
      <w:pPr>
        <w:pStyle w:val="Heading2"/>
      </w:pPr>
      <w:r>
        <w:t>Refinance exposure</w:t>
      </w:r>
    </w:p>
    <w:p>
      <w:pPr>
        <w:keepLines w:val="0"/>
        <w:spacing w:after="100"/>
        <w:ind w:firstLine="0"/>
      </w:pPr>
      <w:r>
        <w:t>Ask debt brokers, lenders and servicers for current balance, rate, maturity, extension tests and reserve or cash-management status on The Standard, Waterloo, Callaway and 26 West.</w:t>
      </w:r>
    </w:p>
    <w:p>
      <w:pPr>
        <w:pStyle w:val="Heading2"/>
      </w:pPr>
      <w:r>
        <w:t>Operational stress</w:t>
      </w:r>
    </w:p>
    <w:p>
      <w:pPr>
        <w:keepLines w:val="0"/>
        <w:spacing w:after="100"/>
        <w:ind w:firstLine="0"/>
      </w:pPr>
      <w:r>
        <w:t>Interview current and former staff, vendors and residents at SkyLoft and complaint-heavy assets to test whether service failures were tied to capital constraints, staffing or ordinary maintenance.</w:t>
      </w:r>
    </w:p>
    <w:sectPr w:rsidR="00FC693F" w:rsidRPr="0006063C" w:rsidSect="00034616">
      <w:pgSz w:w="15840" w:h="12240" w:orient="landscape"/>
      <w:pgMar w:top="792" w:right="648" w:bottom="792" w:left="648"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rlito" w:hAnsi="Carlito"/>
        <w:color w:val="5B6570"/>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Pr>
        <w:rFonts w:ascii="Carlito" w:hAnsi="Carlito"/>
        <w:color w:val="5B6570"/>
        <w:sz w:val="15"/>
      </w:rPr>
      <w:t>West Campus Student Housing - Dossiers, Methodology and Claims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9" w:lineRule="auto"/>
    </w:pPr>
    <w:rPr>
      <w:rFonts w:ascii="Carlito" w:hAnsi="Carlito" w:eastAsia="Carlito"/>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lear Sans" w:hAnsi="Clear Sans" w:eastAsia="Clear Sans"/>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lear Sans" w:hAnsi="Clear Sans" w:eastAsia="Clear Sans"/>
      <w:b/>
      <w:bCs/>
      <w:color w:val="2F6B9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lear Sans" w:hAnsi="Clear Sans" w:eastAsia="Clear Sans"/>
      <w:b/>
      <w:bCs/>
      <w:color w:val="17324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Clear Sans" w:hAnsi="Clear Sans" w:eastAsia="Clear Sans"/>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Clear Sans" w:hAnsi="Clear Sans" w:eastAsia="Clear Sans"/>
      <w:b w:val="0"/>
      <w:i/>
      <w:iCs/>
      <w:color w:val="5B657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60" w:after="140"/>
    </w:pPr>
    <w:rPr>
      <w:rFonts w:ascii="Carlito" w:hAnsi="Carlito" w:eastAsia="Carlito"/>
      <w:b/>
      <w:bCs/>
      <w:i w:val="0"/>
      <w:color w:val="5B6570"/>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Campus Student Housing - Dossiers, Methodology and Claims</dc:title>
  <dc:subject/>
  <dc:creator>OpenAI</dc:creator>
  <cp:keywords>UT Austin, West Campus, student housing, property model, ownership, financing</cp:keywords>
  <dc:description>generated by python-docx</dc:description>
  <cp:lastModifiedBy/>
  <cp:revision>1</cp:revision>
  <dcterms:created xsi:type="dcterms:W3CDTF">2013-12-23T23:15:00Z</dcterms:created>
  <dcterms:modified xsi:type="dcterms:W3CDTF">2013-12-23T23:15:00Z</dcterms:modified>
  <cp:category/>
</cp:coreProperties>
</file>