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440"/>
        <w:jc w:val="center"/>
      </w:pPr>
      <w:r>
        <w:rPr>
          <w:rFonts w:ascii="Liberation Sans" w:hAnsi="Liberation Sans"/>
          <w:b/>
          <w:color w:val="173022"/>
          <w:sz w:val="56"/>
        </w:rPr>
        <w:t>WHO OWNS AUSTIN’S</w:t>
        <w:br/>
        <w:t>HOME-SERVICE COMPANIES?</w:t>
      </w:r>
    </w:p>
    <w:p>
      <w:pPr>
        <w:jc w:val="center"/>
      </w:pPr>
      <w:r>
        <w:rPr>
          <w:color w:val="4E5E52"/>
          <w:sz w:val="30"/>
        </w:rPr>
        <w:t>A Verified Map of Private Equity, Roll-Ups, and Local Brands</w:t>
      </w:r>
    </w:p>
    <w:p>
      <w:pPr>
        <w:spacing w:before="560"/>
        <w:jc w:val="center"/>
      </w:pPr>
      <w:r>
        <w:rPr>
          <w:sz w:val="22"/>
        </w:rPr>
        <w:t>Snapshot: July 26, 2026</w:t>
        <w:br/>
        <w:t>67 active Austin-facing consumer brands</w:t>
        <w:br/>
        <w:t>130 source records · 102 relationship edges · 29 transactions</w:t>
      </w:r>
    </w:p>
    <w:p>
      <w:pPr>
        <w:spacing w:before="840"/>
        <w:jc w:val="center"/>
      </w:pPr>
      <w:r>
        <w:rPr>
          <w:i/>
          <w:color w:val="606060"/>
          <w:sz w:val="20"/>
        </w:rPr>
        <w:t>Research audit, master findings, article, methodology, source register and publication system</w:t>
      </w:r>
    </w:p>
    <w:p>
      <w:r>
        <w:br w:type="page"/>
      </w:r>
    </w:p>
    <w:p>
      <w:pPr>
        <w:pStyle w:val="Heading1"/>
      </w:pPr>
      <w:r>
        <w:t>Package Contents</w:t>
      </w:r>
    </w:p>
    <w:p>
      <w:pPr>
        <w:pStyle w:val="ListBullet"/>
      </w:pPr>
      <w:r>
        <w:t>A. Research audit memo</w:t>
      </w:r>
    </w:p>
    <w:p>
      <w:pPr>
        <w:pStyle w:val="ListBullet"/>
      </w:pPr>
      <w:r>
        <w:t>B. Executive findings</w:t>
      </w:r>
    </w:p>
    <w:p>
      <w:pPr>
        <w:pStyle w:val="ListBullet"/>
      </w:pPr>
      <w:r>
        <w:t>C. Full article</w:t>
      </w:r>
    </w:p>
    <w:p>
      <w:pPr>
        <w:pStyle w:val="ListBullet"/>
      </w:pPr>
      <w:r>
        <w:t>D. Methodology</w:t>
      </w:r>
    </w:p>
    <w:p>
      <w:pPr>
        <w:pStyle w:val="ListBullet"/>
      </w:pPr>
      <w:r>
        <w:t>E. Verified findings and calculations</w:t>
      </w:r>
    </w:p>
    <w:p>
      <w:pPr>
        <w:pStyle w:val="ListBullet"/>
      </w:pPr>
      <w:r>
        <w:t>F. Active brand roster</w:t>
      </w:r>
    </w:p>
    <w:p>
      <w:pPr>
        <w:pStyle w:val="ListBullet"/>
      </w:pPr>
      <w:r>
        <w:t>G. High-priority unresolved cases</w:t>
      </w:r>
    </w:p>
    <w:p>
      <w:pPr>
        <w:pStyle w:val="ListBullet"/>
      </w:pPr>
      <w:r>
        <w:t>H. Corrections and update system</w:t>
      </w:r>
    </w:p>
    <w:p>
      <w:pPr>
        <w:pStyle w:val="ListBullet"/>
      </w:pPr>
      <w:r>
        <w:t>I. Final adversarial review</w:t>
      </w:r>
    </w:p>
    <w:p>
      <w:pPr>
        <w:pStyle w:val="ListBullet"/>
      </w:pPr>
      <w:r>
        <w:t>J. Source register and file manifest</w:t>
      </w:r>
    </w:p>
    <w:tbl>
      <w:tblPr>
        <w:tblW w:type="auto" w:w="0"/>
        <w:jc w:val="center"/>
        <w:tblLook w:firstColumn="1" w:firstRow="1" w:lastColumn="0" w:lastRow="0" w:noHBand="0" w:noVBand="1" w:val="04A0"/>
      </w:tblPr>
      <w:tblGrid>
        <w:gridCol w:w="10166"/>
      </w:tblGrid>
      <w:tr>
        <w:trPr>
          <w:tblHeader w:val="true"/>
        </w:trPr>
        <w:tc>
          <w:tcPr>
            <w:tcW w:type="dxa" w:w="10166"/>
            <w:shd w:fill="E9EFEA"/>
            <w:tcMar>
              <w:top w:w="180" w:type="dxa"/>
              <w:start w:w="220" w:type="dxa"/>
              <w:bottom w:w="180" w:type="dxa"/>
              <w:end w:w="220" w:type="dxa"/>
            </w:tcMar>
          </w:tcPr>
          <w:p>
            <w:r>
              <w:rPr>
                <w:b/>
                <w:sz w:val="22"/>
              </w:rPr>
              <w:t>Interpretation boundary</w:t>
            </w:r>
          </w:p>
          <w:p>
            <w:r>
              <w:rPr>
                <w:i/>
              </w:rPr>
              <w:t>Percentages are shares of the 67 active Austin-facing consumer-brand records in the reconstructed publication universe. They are not revenue, customer, job, permit, review, search, or market share.</w:t>
            </w:r>
          </w:p>
          <w:p>
            <w:r>
              <w:rPr>
                <w:i/>
              </w:rPr>
              <w:t>The active universe is reconstructed, not a complete licensed-contractor census.</w:t>
            </w:r>
          </w:p>
        </w:tc>
      </w:tr>
    </w:tbl>
    <w:p>
      <w:r>
        <w:br w:type="page"/>
      </w:r>
    </w:p>
    <w:p>
      <w:pPr>
        <w:pStyle w:val="Heading1"/>
        <w:keepNext/>
      </w:pPr>
      <w:r>
        <w:rPr>
          <w:sz w:val="38"/>
        </w:rPr>
        <w:t>Research Audit Memo</w:t>
      </w:r>
    </w:p>
    <w:p>
      <w:pPr>
        <w:pStyle w:val="Heading2"/>
        <w:keepNext/>
      </w:pPr>
      <w:r>
        <w:rPr>
          <w:sz w:val="29"/>
        </w:rPr>
        <w:t>Decision</w:t>
      </w:r>
    </w:p>
    <w:p>
      <w:pPr>
        <w:spacing w:after="100" w:line="259" w:lineRule="auto"/>
      </w:pPr>
      <w:r>
        <w:rPr>
          <w:sz w:val="20"/>
        </w:rPr>
        <w:t>The two research reports were not merged as delivered. They were treated as discovery and ownership-lead documents. The final dataset was rebuilt because the evidence package failed basic reconciliation and provenance tests.</w:t>
      </w:r>
    </w:p>
    <w:p>
      <w:pPr>
        <w:pStyle w:val="Heading2"/>
        <w:keepNext/>
      </w:pPr>
      <w:r>
        <w:rPr>
          <w:sz w:val="29"/>
        </w:rPr>
        <w:t>Input audit</w:t>
      </w:r>
    </w:p>
    <w:p>
      <w:pPr>
        <w:pStyle w:val="Heading3"/>
        <w:keepNext/>
      </w:pPr>
      <w:r>
        <w:rPr>
          <w:sz w:val="23"/>
        </w:rPr>
        <w:t>Model A</w:t>
      </w:r>
    </w:p>
    <w:p>
      <w:pPr>
        <w:spacing w:after="100" w:line="259" w:lineRule="auto"/>
      </w:pPr>
      <w:r>
        <w:rPr>
          <w:sz w:val="20"/>
        </w:rPr>
        <w:t>Model A identified a useful initial brand universe and openly described weaknesses in suburban roofing, foundation repair and the small-operator tail. It also separated included brands, aliases, legal-identity leads, candidate relationships and exclusions in principle.</w:t>
      </w:r>
    </w:p>
    <w:p>
      <w:pPr>
        <w:spacing w:after="100" w:line="259" w:lineRule="auto"/>
      </w:pPr>
      <w:r>
        <w:rPr>
          <w:sz w:val="20"/>
        </w:rPr>
        <w:t xml:space="preserve">The central provenance failure is that the eight named structured deliverables were not present. The DOCX contains hyperlinks to paths that do not exist in the uploaded environment. There was no </w:t>
      </w:r>
      <w:r>
        <w:rPr>
          <w:rFonts w:ascii="Liberation Mono" w:hAnsi="Liberation Mono"/>
          <w:sz w:val="19"/>
        </w:rPr>
        <w:t>brands.csv</w:t>
      </w:r>
      <w:r>
        <w:rPr>
          <w:sz w:val="20"/>
        </w:rPr>
        <w:t>, alias table, search log or excluded-candidate file to inspect. The original row-level search history and deduplication decisions therefore could not be reproduced. [I001]</w:t>
      </w:r>
    </w:p>
    <w:p>
      <w:pPr>
        <w:pStyle w:val="Heading3"/>
        <w:keepNext/>
      </w:pPr>
      <w:r>
        <w:rPr>
          <w:sz w:val="23"/>
        </w:rPr>
        <w:t>Model B</w:t>
      </w:r>
    </w:p>
    <w:p>
      <w:pPr>
        <w:spacing w:after="100" w:line="259" w:lineRule="auto"/>
      </w:pPr>
      <w:r>
        <w:rPr>
          <w:sz w:val="20"/>
        </w:rPr>
        <w:t>Model B explicitly states that Model A’s files were unavailable. Its report is an independent top-down pass, not the promised cross-model adjudication. [I002]</w:t>
      </w:r>
    </w:p>
    <w:p>
      <w:pPr>
        <w:spacing w:after="100" w:line="259" w:lineRule="auto"/>
      </w:pPr>
      <w:r>
        <w:rPr>
          <w:sz w:val="20"/>
        </w:rPr>
        <w:t>Several citations failed claim matching. The Precision row cited a Fox careers page. The Daniel’s row cited FoxNews.com. The Radiant chain used a transaction database where current direct sources were available. Benjamin Franklin’s local-franchisee treatment leaned on HomeAdvisor. Those citations were rejected or replaced.</w:t>
      </w:r>
    </w:p>
    <w:p>
      <w:pPr>
        <w:pStyle w:val="Heading2"/>
        <w:keepNext/>
      </w:pPr>
      <w:r>
        <w:rPr>
          <w:sz w:val="29"/>
        </w:rPr>
        <w:t>Census corrections</w:t>
      </w:r>
    </w:p>
    <w:p>
      <w:pPr>
        <w:spacing w:after="100" w:line="259" w:lineRule="auto"/>
      </w:pPr>
      <w:r>
        <w:rPr>
          <w:sz w:val="20"/>
        </w:rPr>
        <w:t>The audit retained Model A’s strongest current operators and added brands that had clear current Austin evidence. Material additions include:</w:t>
      </w:r>
    </w:p>
    <w:p>
      <w:pPr>
        <w:pStyle w:val="ListBullet"/>
        <w:spacing w:after="40"/>
      </w:pPr>
      <w:r>
        <w:rPr>
          <w:sz w:val="20"/>
        </w:rPr>
        <w:t>Austin Air Conditioning and Roger’s Plumbing within SAS Service Partners / Storr Group</w:t>
      </w:r>
    </w:p>
    <w:p>
      <w:pPr>
        <w:pStyle w:val="ListBullet"/>
        <w:spacing w:after="40"/>
      </w:pPr>
      <w:r>
        <w:rPr>
          <w:sz w:val="20"/>
        </w:rPr>
        <w:t>Ja-Mar within Roofing Services Solutions / Dunes Point Capital</w:t>
      </w:r>
    </w:p>
    <w:p>
      <w:pPr>
        <w:pStyle w:val="ListBullet"/>
        <w:spacing w:after="40"/>
      </w:pPr>
      <w:r>
        <w:rPr>
          <w:sz w:val="20"/>
        </w:rPr>
        <w:t>ARS/Rescue Rooter Austin</w:t>
      </w:r>
    </w:p>
    <w:p>
      <w:pPr>
        <w:pStyle w:val="ListBullet"/>
        <w:spacing w:after="40"/>
      </w:pPr>
      <w:r>
        <w:rPr>
          <w:sz w:val="20"/>
        </w:rPr>
        <w:t>Mr. Rooter and Benjamin Franklin local franchise records</w:t>
      </w:r>
    </w:p>
    <w:p>
      <w:pPr>
        <w:pStyle w:val="ListBullet"/>
        <w:spacing w:after="40"/>
      </w:pPr>
      <w:r>
        <w:rPr>
          <w:sz w:val="20"/>
        </w:rPr>
        <w:t>Anderson, Silver Creek, Wilson and Austin Roofing and Construction</w:t>
      </w:r>
    </w:p>
    <w:p>
      <w:pPr>
        <w:pStyle w:val="ListBullet"/>
        <w:spacing w:after="40"/>
      </w:pPr>
      <w:r>
        <w:rPr>
          <w:sz w:val="20"/>
        </w:rPr>
        <w:t>Bats and Bruecher Foundation</w:t>
      </w:r>
    </w:p>
    <w:p>
      <w:pPr>
        <w:pStyle w:val="ListBullet"/>
        <w:spacing w:after="40"/>
      </w:pPr>
      <w:r>
        <w:rPr>
          <w:sz w:val="20"/>
        </w:rPr>
        <w:t>Orkin, Terminix, Hawx, Ranger, EcoShield, Massey, Natran, X Out, ClearDefense, Roberts and Absolute</w:t>
      </w:r>
    </w:p>
    <w:p>
      <w:pPr>
        <w:spacing w:after="100" w:line="259" w:lineRule="auto"/>
      </w:pPr>
      <w:r>
        <w:rPr>
          <w:sz w:val="20"/>
        </w:rPr>
        <w:t>Quality Foundation Repair was moved from exclusion to inclusion after current official, BBB and named-founder evidence was found. Cool Atmosphere was moved in the opposite direction: it remains in the history but not the active denominator because it is now combined into Austin Air Conditioning.</w:t>
      </w:r>
    </w:p>
    <w:p>
      <w:pPr>
        <w:pStyle w:val="Heading2"/>
        <w:keepNext/>
      </w:pPr>
      <w:r>
        <w:rPr>
          <w:sz w:val="29"/>
        </w:rPr>
        <w:t>Ownership corrections</w:t>
      </w:r>
    </w:p>
    <w:p>
      <w:pPr>
        <w:pStyle w:val="ListBullet"/>
        <w:spacing w:after="40"/>
      </w:pPr>
      <w:r>
        <w:rPr>
          <w:sz w:val="20"/>
        </w:rPr>
        <w:t>Southern/Gryphon: Fox, Precision and Daniel’s have direct current and transaction support.</w:t>
      </w:r>
    </w:p>
    <w:p>
      <w:pPr>
        <w:pStyle w:val="ListBullet"/>
        <w:spacing w:after="40"/>
      </w:pPr>
      <w:r>
        <w:rPr>
          <w:sz w:val="20"/>
        </w:rPr>
        <w:t>Stan’s: Treaty Oak is historical; current chain runs through Master Trades Group to L Catterton.</w:t>
      </w:r>
    </w:p>
    <w:p>
      <w:pPr>
        <w:pStyle w:val="ListBullet"/>
        <w:spacing w:after="40"/>
      </w:pPr>
      <w:r>
        <w:rPr>
          <w:sz w:val="20"/>
        </w:rPr>
        <w:t>Abacus: Wrench is the direct parent; Leonard Green and management retain majority, with TSG and Oak Hill significant minorities.</w:t>
      </w:r>
    </w:p>
    <w:p>
      <w:pPr>
        <w:pStyle w:val="ListBullet"/>
        <w:spacing w:after="40"/>
      </w:pPr>
      <w:r>
        <w:rPr>
          <w:sz w:val="20"/>
        </w:rPr>
        <w:t>Service Wizard: Champions is current; Blackstone is pending unless a closing source emerges.</w:t>
      </w:r>
    </w:p>
    <w:p>
      <w:pPr>
        <w:pStyle w:val="ListBullet"/>
        <w:spacing w:after="40"/>
      </w:pPr>
      <w:r>
        <w:rPr>
          <w:sz w:val="20"/>
        </w:rPr>
        <w:t>Groundworks: KKR is controlling/majority; Cortec retained minority positions.</w:t>
      </w:r>
    </w:p>
    <w:p>
      <w:pPr>
        <w:pStyle w:val="ListBullet"/>
        <w:spacing w:after="40"/>
      </w:pPr>
      <w:r>
        <w:rPr>
          <w:sz w:val="20"/>
        </w:rPr>
        <w:t>Alta: Trivest is non-control minority; founders retained control.</w:t>
      </w:r>
    </w:p>
    <w:p>
      <w:pPr>
        <w:pStyle w:val="ListBullet"/>
        <w:spacing w:after="40"/>
      </w:pPr>
      <w:r>
        <w:rPr>
          <w:sz w:val="20"/>
        </w:rPr>
        <w:t>Franchises: KKR/Neighborly and Apax/Authority Brands are franchisor-level chains, not direct local operating-company ownership.</w:t>
      </w:r>
    </w:p>
    <w:p>
      <w:pPr>
        <w:pStyle w:val="ListBullet"/>
        <w:spacing w:after="40"/>
      </w:pPr>
      <w:r>
        <w:rPr>
          <w:sz w:val="20"/>
        </w:rPr>
        <w:t>Ja-Mar: Dunes Point’s acquisition evidence controls the equity classification despite current local wording.</w:t>
      </w:r>
    </w:p>
    <w:p>
      <w:pPr>
        <w:pStyle w:val="Heading2"/>
        <w:keepNext/>
      </w:pPr>
      <w:r>
        <w:rPr>
          <w:sz w:val="29"/>
        </w:rPr>
        <w:t>Accepted evidence patterns</w:t>
      </w:r>
    </w:p>
    <w:p>
      <w:pPr>
        <w:spacing w:after="100" w:line="259" w:lineRule="auto"/>
      </w:pPr>
      <w:r>
        <w:rPr>
          <w:sz w:val="20"/>
        </w:rPr>
        <w:t>The strongest chains combine a transaction or legal source with a current parent/portfolio source. Examples include Southern/Gryphon, Stan’s/L Catterton, Abacus/Wrench, Service Experts/Brookfield, Groundworks/KKR-Cortec, Aptive/Citation, HomeTeam/Rollins and Terminix/Rentokil.</w:t>
      </w:r>
    </w:p>
    <w:p>
      <w:pPr>
        <w:spacing w:after="100" w:line="259" w:lineRule="auto"/>
      </w:pPr>
      <w:r>
        <w:rPr>
          <w:sz w:val="20"/>
        </w:rPr>
        <w:t>Named local-owner records are accepted when current company materials and an identity source agree. Examples include Efficient, Excalibur, Whitestone, Crow’s, Baird, Bats, Stride and X Out.</w:t>
      </w:r>
    </w:p>
    <w:p>
      <w:pPr>
        <w:pStyle w:val="Heading2"/>
        <w:keepNext/>
      </w:pPr>
      <w:r>
        <w:rPr>
          <w:sz w:val="29"/>
        </w:rPr>
        <w:t>Rejected inference patterns</w:t>
      </w:r>
    </w:p>
    <w:p>
      <w:pPr>
        <w:spacing w:after="100" w:line="259" w:lineRule="auto"/>
      </w:pPr>
      <w:r>
        <w:rPr>
          <w:sz w:val="20"/>
        </w:rPr>
        <w:t>The build rejects:</w:t>
      </w:r>
    </w:p>
    <w:p>
      <w:pPr>
        <w:pStyle w:val="ListBullet"/>
        <w:spacing w:after="40"/>
      </w:pPr>
      <w:r>
        <w:rPr>
          <w:sz w:val="20"/>
        </w:rPr>
        <w:t>Ownership inferred only from shared addresses, phone numbers or website templates</w:t>
      </w:r>
    </w:p>
    <w:p>
      <w:pPr>
        <w:pStyle w:val="ListBullet"/>
        <w:spacing w:after="40"/>
      </w:pPr>
      <w:r>
        <w:rPr>
          <w:sz w:val="20"/>
        </w:rPr>
        <w:t>Independence inferred from the absence of acquisition news</w:t>
      </w:r>
    </w:p>
    <w:p>
      <w:pPr>
        <w:pStyle w:val="ListBullet"/>
        <w:spacing w:after="40"/>
      </w:pPr>
      <w:r>
        <w:rPr>
          <w:sz w:val="20"/>
        </w:rPr>
        <w:t>Franchisor ownership presented as local franchisee ownership</w:t>
      </w:r>
    </w:p>
    <w:p>
      <w:pPr>
        <w:pStyle w:val="ListBullet"/>
        <w:spacing w:after="40"/>
      </w:pPr>
      <w:r>
        <w:rPr>
          <w:sz w:val="20"/>
        </w:rPr>
        <w:t>Minority investment presented as total ownership</w:t>
      </w:r>
    </w:p>
    <w:p>
      <w:pPr>
        <w:pStyle w:val="ListBullet"/>
        <w:spacing w:after="40"/>
      </w:pPr>
      <w:r>
        <w:rPr>
          <w:sz w:val="20"/>
        </w:rPr>
        <w:t>Old acquisition announcements used without a current-owner check</w:t>
      </w:r>
    </w:p>
    <w:p>
      <w:pPr>
        <w:pStyle w:val="ListBullet"/>
        <w:spacing w:after="40"/>
      </w:pPr>
      <w:r>
        <w:rPr>
          <w:sz w:val="20"/>
        </w:rPr>
        <w:t>“Local,” “family,” or “founder” wording treated as a single legal status</w:t>
      </w:r>
    </w:p>
    <w:p>
      <w:pPr>
        <w:pStyle w:val="ListBullet"/>
        <w:spacing w:after="40"/>
      </w:pPr>
      <w:r>
        <w:rPr>
          <w:sz w:val="20"/>
        </w:rPr>
        <w:t>Review, permit or search percentages described as market share</w:t>
      </w:r>
    </w:p>
    <w:p>
      <w:pPr>
        <w:pStyle w:val="ListBullet"/>
        <w:spacing w:after="40"/>
      </w:pPr>
      <w:r>
        <w:rPr>
          <w:sz w:val="20"/>
        </w:rPr>
        <w:t>Claims that ownership caused price, service or employment changes without causal evidence</w:t>
      </w:r>
    </w:p>
    <w:p>
      <w:pPr>
        <w:pStyle w:val="Heading2"/>
        <w:keepNext/>
      </w:pPr>
      <w:r>
        <w:rPr>
          <w:sz w:val="29"/>
        </w:rPr>
        <w:t>Final data quality</w:t>
      </w:r>
    </w:p>
    <w:p>
      <w:pPr>
        <w:spacing w:after="100" w:line="259" w:lineRule="auto"/>
      </w:pPr>
      <w:r>
        <w:rPr>
          <w:sz w:val="20"/>
        </w:rPr>
        <w:t>The active publication universe contains 67 brands. 48 records have A/B ownership structures and are not coded unresolved. 11 remain in the private/control-unresolved bucket. The graph contains 170 nodes and 102 relationships. The evidence ledger contains 130 source records. There are 20 preserved conflicts and 25 unresolved questions.</w:t>
      </w:r>
    </w:p>
    <w:p>
      <w:pPr>
        <w:spacing w:after="100" w:line="259" w:lineRule="auto"/>
      </w:pPr>
      <w:r>
        <w:rPr>
          <w:sz w:val="20"/>
        </w:rPr>
        <w:t>The package is defensible as a dated ownership map. It is not defensible as a complete licensed-contractor census, a revenue market-share study or a legal opinion on beneficial ownership.</w:t>
      </w:r>
    </w:p>
    <w:p>
      <w:r>
        <w:br w:type="page"/>
      </w:r>
    </w:p>
    <w:p>
      <w:pPr>
        <w:pStyle w:val="Heading1"/>
      </w:pPr>
      <w:r>
        <w:t>Executive Findings</w:t>
      </w:r>
    </w:p>
    <w:tbl>
      <w:tblPr>
        <w:tblW w:type="auto" w:w="0"/>
        <w:jc w:val="center"/>
        <w:tblLook w:firstColumn="1" w:firstRow="1" w:lastColumn="0" w:lastRow="0" w:noHBand="0" w:noVBand="1" w:val="04A0"/>
      </w:tblPr>
      <w:tblGrid>
        <w:gridCol w:w="10166"/>
      </w:tblGrid>
      <w:tr>
        <w:trPr>
          <w:tblHeader w:val="true"/>
        </w:trPr>
        <w:tc>
          <w:tcPr>
            <w:tcW w:type="dxa" w:w="10166"/>
            <w:shd w:fill="E4ECE5"/>
            <w:tcMar>
              <w:top w:w="180" w:type="dxa"/>
              <w:start w:w="220" w:type="dxa"/>
              <w:bottom w:w="180" w:type="dxa"/>
              <w:end w:w="220" w:type="dxa"/>
            </w:tcMar>
          </w:tcPr>
          <w:p>
            <w:r>
              <w:rPr>
                <w:b/>
                <w:sz w:val="20"/>
              </w:rPr>
              <w:t>67 active Austin-facing consumer brands, July 26, 2026</w:t>
            </w:r>
          </w:p>
          <w:p>
            <w:pPr>
              <w:pStyle w:val="ListBullet"/>
            </w:pPr>
            <w:r>
              <w:rPr>
                <w:b/>
                <w:sz w:val="20"/>
              </w:rPr>
              <w:t>14 (20.9%)</w:t>
            </w:r>
            <w:r>
              <w:rPr>
                <w:sz w:val="20"/>
              </w:rPr>
              <w:t xml:space="preserve"> sit in sponsor-backed operating platforms.</w:t>
            </w:r>
          </w:p>
          <w:p>
            <w:pPr>
              <w:pStyle w:val="ListBullet"/>
            </w:pPr>
            <w:r>
              <w:rPr>
                <w:b/>
                <w:sz w:val="20"/>
              </w:rPr>
              <w:t>4 (6.0%)</w:t>
            </w:r>
            <w:r>
              <w:rPr>
                <w:sz w:val="20"/>
              </w:rPr>
              <w:t xml:space="preserve"> have public-company parents.</w:t>
            </w:r>
          </w:p>
          <w:p>
            <w:pPr>
              <w:pStyle w:val="ListBullet"/>
            </w:pPr>
            <w:r>
              <w:rPr>
                <w:b/>
                <w:sz w:val="20"/>
              </w:rPr>
              <w:t>5 (7.5%)</w:t>
            </w:r>
            <w:r>
              <w:rPr>
                <w:sz w:val="20"/>
              </w:rPr>
              <w:t xml:space="preserve"> are local franchise operators; the franchisor’s owner is not treated as the local operator’s owner.</w:t>
            </w:r>
          </w:p>
          <w:p>
            <w:pPr>
              <w:pStyle w:val="ListBullet"/>
            </w:pPr>
            <w:r>
              <w:rPr>
                <w:b/>
                <w:sz w:val="20"/>
              </w:rPr>
              <w:t>32 (47.8%)</w:t>
            </w:r>
            <w:r>
              <w:rPr>
                <w:sz w:val="20"/>
              </w:rPr>
              <w:t xml:space="preserve"> are coded to founder, family or local ownership based on named-owner evidence or a current claim.</w:t>
            </w:r>
          </w:p>
          <w:p>
            <w:pPr>
              <w:pStyle w:val="ListBullet"/>
            </w:pPr>
            <w:r>
              <w:rPr>
                <w:b/>
                <w:sz w:val="20"/>
              </w:rPr>
              <w:t>1 (1.5%)</w:t>
            </w:r>
            <w:r>
              <w:rPr>
                <w:sz w:val="20"/>
              </w:rPr>
              <w:t xml:space="preserve"> is minority-invested but founder-controlled: Alta Pest Control.</w:t>
            </w:r>
          </w:p>
          <w:p>
            <w:pPr>
              <w:pStyle w:val="ListBullet"/>
            </w:pPr>
            <w:r>
              <w:rPr>
                <w:b/>
                <w:sz w:val="20"/>
              </w:rPr>
              <w:t>11 (16.4%)</w:t>
            </w:r>
            <w:r>
              <w:rPr>
                <w:sz w:val="20"/>
              </w:rPr>
              <w:t xml:space="preserve"> remain private/control unresolved.</w:t>
            </w:r>
          </w:p>
          <w:p>
            <w:pPr>
              <w:pStyle w:val="ListBullet"/>
            </w:pPr>
            <w:r>
              <w:rPr>
                <w:b/>
                <w:sz w:val="20"/>
              </w:rPr>
              <w:t>48 of 67 (71.6%)</w:t>
            </w:r>
            <w:r>
              <w:rPr>
                <w:sz w:val="20"/>
              </w:rPr>
              <w:t xml:space="preserve"> have A/B current ownership structures and are not coded unresolved.</w:t>
            </w:r>
          </w:p>
          <w:p>
            <w:pPr>
              <w:pStyle w:val="ListBullet"/>
            </w:pPr>
            <w:r>
              <w:rPr>
                <w:b/>
                <w:sz w:val="20"/>
              </w:rPr>
              <w:t>11</w:t>
            </w:r>
            <w:r>
              <w:rPr>
                <w:sz w:val="20"/>
              </w:rPr>
              <w:t xml:space="preserve"> established consumer names remain visible after a transaction.</w:t>
            </w:r>
          </w:p>
          <w:p>
            <w:r>
              <w:rPr>
                <w:i/>
                <w:sz w:val="20"/>
              </w:rPr>
              <w:t>All percentages use the 67-brand reconstructed publication universe. They are not market share.</w:t>
            </w:r>
          </w:p>
        </w:tc>
      </w:tr>
    </w:tbl>
    <w:p>
      <w:r>
        <w:br w:type="page"/>
      </w:r>
    </w:p>
    <w:p>
      <w:pPr>
        <w:pStyle w:val="Heading1"/>
        <w:keepNext/>
      </w:pPr>
      <w:r>
        <w:rPr>
          <w:sz w:val="38"/>
        </w:rPr>
        <w:t>Who Owns Austin’s Home-Service Companies? A Verified Map of Private Equity, Roll-Ups, and Local Brands</w:t>
      </w:r>
    </w:p>
    <w:p>
      <w:pPr>
        <w:spacing w:after="100" w:line="259" w:lineRule="auto"/>
      </w:pPr>
      <w:r>
        <w:rPr>
          <w:i/>
          <w:sz w:val="20"/>
        </w:rPr>
        <w:t>A documented map of the parent companies, private-equity sponsors, public corporations, franchises and independent operators behind the home-service brands advertising across Austin.</w:t>
      </w:r>
    </w:p>
    <w:p>
      <w:pPr>
        <w:spacing w:after="100" w:line="259" w:lineRule="auto"/>
      </w:pPr>
      <w:r>
        <w:rPr>
          <w:b/>
          <w:sz w:val="20"/>
        </w:rPr>
        <w:t>Snapshot date:</w:t>
      </w:r>
      <w:r>
        <w:rPr>
          <w:sz w:val="20"/>
        </w:rPr>
        <w:t xml:space="preserve"> July 26, 2026</w:t>
      </w:r>
    </w:p>
    <w:p>
      <w:pPr>
        <w:spacing w:after="100" w:line="259" w:lineRule="auto"/>
      </w:pPr>
      <w:r>
        <w:rPr>
          <w:b/>
          <w:sz w:val="20"/>
        </w:rPr>
        <w:t>Publication universe:</w:t>
      </w:r>
      <w:r>
        <w:rPr>
          <w:sz w:val="20"/>
        </w:rPr>
        <w:t xml:space="preserve"> 67 active Austin-facing consumer brands</w:t>
      </w:r>
    </w:p>
    <w:p>
      <w:pPr>
        <w:spacing w:after="100" w:line="259" w:lineRule="auto"/>
      </w:pPr>
      <w:r>
        <w:rPr>
          <w:b/>
          <w:sz w:val="20"/>
        </w:rPr>
        <w:t>Coverage:</w:t>
      </w:r>
      <w:r>
        <w:rPr>
          <w:sz w:val="20"/>
        </w:rPr>
        <w:t xml:space="preserve"> HVAC, plumbing, bundled residential electrical, roofing and exterior services, foundation repair, and pest control</w:t>
      </w:r>
    </w:p>
    <w:p>
      <w:pPr>
        <w:pStyle w:val="Heading2"/>
        <w:keepNext/>
      </w:pPr>
      <w:r>
        <w:rPr>
          <w:sz w:val="29"/>
        </w:rPr>
        <w:t>Executive findings</w:t>
      </w:r>
    </w:p>
    <w:p>
      <w:pPr>
        <w:pStyle w:val="ListBullet"/>
        <w:spacing w:after="40"/>
      </w:pPr>
      <w:r>
        <w:rPr>
          <w:sz w:val="20"/>
        </w:rPr>
        <w:t xml:space="preserve">The reconstructed publication universe contains </w:t>
      </w:r>
      <w:r>
        <w:rPr>
          <w:b/>
          <w:sz w:val="20"/>
        </w:rPr>
        <w:t>67 active Austin-facing consumer brands</w:t>
      </w:r>
      <w:r>
        <w:rPr>
          <w:sz w:val="20"/>
        </w:rPr>
        <w:t>: 26 in HVAC, plumbing or bundled electrical; 9 in roofing and exterior services; 12 in foundation repair; and 20 in pest control.</w:t>
      </w:r>
    </w:p>
    <w:p>
      <w:pPr>
        <w:pStyle w:val="ListBullet"/>
        <w:spacing w:after="40"/>
      </w:pPr>
      <w:r>
        <w:rPr>
          <w:b/>
          <w:sz w:val="20"/>
        </w:rPr>
        <w:t>14 brands (20.9%)</w:t>
      </w:r>
      <w:r>
        <w:rPr>
          <w:sz w:val="20"/>
        </w:rPr>
        <w:t xml:space="preserve"> sit inside sponsor-backed operating platforms. </w:t>
      </w:r>
      <w:r>
        <w:rPr>
          <w:b/>
          <w:sz w:val="20"/>
        </w:rPr>
        <w:t>4 (6.0%)</w:t>
      </w:r>
      <w:r>
        <w:rPr>
          <w:sz w:val="20"/>
        </w:rPr>
        <w:t xml:space="preserve"> have public-company parents. </w:t>
      </w:r>
      <w:r>
        <w:rPr>
          <w:b/>
          <w:sz w:val="20"/>
        </w:rPr>
        <w:t>5 (7.5%)</w:t>
      </w:r>
      <w:r>
        <w:rPr>
          <w:sz w:val="20"/>
        </w:rPr>
        <w:t xml:space="preserve"> are local franchises whose operator must be separated from the franchisor’s owner.</w:t>
      </w:r>
    </w:p>
    <w:p>
      <w:pPr>
        <w:pStyle w:val="ListBullet"/>
        <w:spacing w:after="40"/>
      </w:pPr>
      <w:r>
        <w:rPr>
          <w:b/>
          <w:sz w:val="20"/>
        </w:rPr>
        <w:t>32 brands (47.8%)</w:t>
      </w:r>
      <w:r>
        <w:rPr>
          <w:sz w:val="20"/>
        </w:rPr>
        <w:t xml:space="preserve"> are coded to founder, family or local ownership based on a named-owner trail or a current ownership claim. That bucket is not a cap-table audit. Nine of the 67 records rely on current self-reporting rather than a complete legal chain.</w:t>
      </w:r>
    </w:p>
    <w:p>
      <w:pPr>
        <w:pStyle w:val="ListBullet"/>
        <w:spacing w:after="40"/>
      </w:pPr>
      <w:r>
        <w:rPr>
          <w:b/>
          <w:sz w:val="20"/>
        </w:rPr>
        <w:t>11 brands (16.4%)</w:t>
      </w:r>
      <w:r>
        <w:rPr>
          <w:sz w:val="20"/>
        </w:rPr>
        <w:t xml:space="preserve"> remain private but have no publication-grade current controller. Alta Pest Control is classified separately because Trivest’s investment was explicitly minority and non-control, with founders retaining control. [S054]</w:t>
      </w:r>
    </w:p>
    <w:p>
      <w:pPr>
        <w:pStyle w:val="ListBullet"/>
        <w:spacing w:after="40"/>
      </w:pPr>
      <w:r>
        <w:rPr>
          <w:sz w:val="20"/>
        </w:rPr>
        <w:t xml:space="preserve">For </w:t>
      </w:r>
      <w:r>
        <w:rPr>
          <w:b/>
          <w:sz w:val="20"/>
        </w:rPr>
        <w:t>48 of 67 brands (71.6%)</w:t>
      </w:r>
      <w:r>
        <w:rPr>
          <w:sz w:val="20"/>
        </w:rPr>
        <w:t>, the current ownership structure is rated A or B and is not coded unresolved. This includes some franchise or platform rows where the ownership structure is clear but an intermediate local legal entity remains unknown.</w:t>
      </w:r>
    </w:p>
    <w:p>
      <w:pPr>
        <w:pStyle w:val="ListBullet"/>
        <w:spacing w:after="40"/>
      </w:pPr>
      <w:r>
        <w:rPr>
          <w:b/>
          <w:sz w:val="20"/>
        </w:rPr>
        <w:t>11 brands</w:t>
      </w:r>
      <w:r>
        <w:rPr>
          <w:sz w:val="20"/>
        </w:rPr>
        <w:t xml:space="preserve"> continue under an established consumer name after an acquisition or platform transaction. A retained name says little by itself about current ownership.</w:t>
      </w:r>
    </w:p>
    <w:p>
      <w:pPr>
        <w:pStyle w:val="Heading2"/>
        <w:keepNext/>
      </w:pPr>
      <w:r>
        <w:rPr>
          <w:sz w:val="29"/>
        </w:rPr>
        <w:t>One group, several Austin names</w:t>
      </w:r>
    </w:p>
    <w:p>
      <w:pPr>
        <w:spacing w:after="100" w:line="259" w:lineRule="auto"/>
      </w:pPr>
      <w:r>
        <w:rPr>
          <w:sz w:val="20"/>
        </w:rPr>
        <w:t>An Austin homeowner can encounter Fox Service Company, Precision Heating &amp; Air, and Daniel’s Plumbing &amp; Air Conditioning as separate names. At the ownership level, the paths converge. Southern Home Services acquired Precision in 2020, announced the Fox acquisition the same year, and added Daniel’s in 2022. Southern still lists all three in its current brand materials. Southern itself sits within North American Essential Home Services, the holding structure in which Gryphon Investors completed a majority investment in 2021. Management retained a meaningful stake. [S001][S002][S003][S004][S005][S006][S007]</w:t>
      </w:r>
    </w:p>
    <w:p>
      <w:pPr>
        <w:spacing w:after="100" w:line="259" w:lineRule="auto"/>
      </w:pPr>
      <w:r>
        <w:rPr>
          <w:sz w:val="20"/>
        </w:rPr>
        <w:t>That does not mean the three brands are interchangeable. They may have different phone numbers, trade licenses, service histories, crews and customer relationships. It does mean that a list of consumer-facing names can materially overstate the number of unrelated owners in the market.</w:t>
      </w:r>
    </w:p>
    <w:p>
      <w:pPr>
        <w:spacing w:after="100" w:line="259" w:lineRule="auto"/>
      </w:pPr>
      <w:r>
        <w:rPr>
          <w:sz w:val="20"/>
        </w:rPr>
        <w:t>A second cluster was largely absent from the original census. Austin Air Conditioning and Roger’s Plumbing are current brands inside SAS Service Partners, an Austin-based platform backed by Storr Group. SAS also acquired Cool Atmosphere. That name is now presented within Austin Air Conditioning, so this database treats Cool Atmosphere as an absorbed historical record rather than a separate current brand. The transaction pages contain conflicting rendered years; the chronology in SAS’s own news index is used and the discrepancy is preserved in the conflict table. [S037][S038][S039][S040][S041][S042][S043][S044]</w:t>
      </w:r>
    </w:p>
    <w:p>
      <w:pPr>
        <w:spacing w:after="100" w:line="259" w:lineRule="auto"/>
      </w:pPr>
      <w:r>
        <w:rPr>
          <w:sz w:val="20"/>
        </w:rPr>
        <w:t>These examples explain the unit of analysis used here. The database counts a consumer-facing brand when it currently serves Austin, but it separately records legal entities, platforms, holding companies, sponsors, public parents, franchise systems and local franchisees. One brand can create several graph nodes. Several brands can lead to one owner.</w:t>
      </w:r>
    </w:p>
    <w:p>
      <w:pPr>
        <w:pStyle w:val="Heading2"/>
        <w:keepNext/>
      </w:pPr>
      <w:r>
        <w:rPr>
          <w:sz w:val="29"/>
        </w:rPr>
        <w:t>The ownership map</w:t>
      </w:r>
    </w:p>
    <w:p>
      <w:pPr>
        <w:spacing w:after="100" w:line="259" w:lineRule="auto"/>
      </w:pPr>
      <w:r>
        <w:rPr>
          <w:sz w:val="20"/>
        </w:rPr>
        <w:t xml:space="preserve">The public map defaults to a narrow chain: </w:t>
      </w:r>
      <w:r>
        <w:rPr>
          <w:b/>
          <w:sz w:val="20"/>
        </w:rPr>
        <w:t>consumer brand → current platform or local operator → ultimate owner or sponsor</w:t>
      </w:r>
      <w:r>
        <w:rPr>
          <w:sz w:val="20"/>
        </w:rPr>
        <w:t>. That is the useful view for most readers. The deeper view adds legal entities, minority investors, former sponsors and transaction edges.</w:t>
      </w:r>
    </w:p>
    <w:p>
      <w:pPr>
        <w:spacing w:after="100" w:line="259" w:lineRule="auto"/>
      </w:pPr>
      <w:r>
        <w:rPr>
          <w:sz w:val="20"/>
        </w:rPr>
        <w:t>The default cannot be a force-directed web of every relationship. With 67 active brands, 170 entity nodes and 102 relationship edges, an all-at-once diagram becomes a hairball. The interactive version therefore opens to sponsor-backed brands, lets the reader filter by service category and owner type, and reveals intermediate entities on demand. Franchise edges use a different label from subsidiary edges. Pending transactions do not replace current-owner edges.</w:t>
      </w:r>
    </w:p>
    <w:p>
      <w:pPr>
        <w:spacing w:after="100" w:line="259" w:lineRule="auto"/>
      </w:pPr>
      <w:r>
        <w:rPr>
          <w:sz w:val="20"/>
        </w:rPr>
        <w:t>Each brand also has a mobile chain card. A card can say, for example:</w:t>
      </w:r>
    </w:p>
    <w:p>
      <w:pPr>
        <w:spacing w:after="80"/>
        <w:ind w:left="360" w:right="288"/>
        <w:pBdr>
          <w:left w:val="single" w:sz="16" w:space="8" w:color="6D8271"/>
        </w:pBdr>
      </w:pPr>
      <w:r>
        <w:rPr>
          <w:b/>
          <w:sz w:val="20"/>
        </w:rPr>
        <w:t>Mr. Rooter Plumbing of Austin</w:t>
      </w:r>
    </w:p>
    <w:p>
      <w:pPr>
        <w:spacing w:after="80"/>
        <w:ind w:left="360" w:right="288"/>
        <w:pBdr>
          <w:left w:val="single" w:sz="16" w:space="8" w:color="6D8271"/>
        </w:pBdr>
      </w:pPr>
      <w:r>
        <w:rPr>
          <w:sz w:val="20"/>
        </w:rPr>
        <w:t>Local operator: Brett Bidwell’s Austin franchisee, legal entity unresolved</w:t>
      </w:r>
    </w:p>
    <w:p>
      <w:pPr>
        <w:spacing w:after="80"/>
        <w:ind w:left="360" w:right="288"/>
        <w:pBdr>
          <w:left w:val="single" w:sz="16" w:space="8" w:color="6D8271"/>
        </w:pBdr>
      </w:pPr>
      <w:r>
        <w:rPr>
          <w:sz w:val="20"/>
        </w:rPr>
        <w:t>Franchise system: Neighborly</w:t>
      </w:r>
    </w:p>
    <w:p>
      <w:pPr>
        <w:spacing w:after="80"/>
        <w:ind w:left="360" w:right="288"/>
        <w:pBdr>
          <w:left w:val="single" w:sz="16" w:space="8" w:color="6D8271"/>
        </w:pBdr>
      </w:pPr>
      <w:r>
        <w:rPr>
          <w:sz w:val="20"/>
        </w:rPr>
        <w:t>Franchisor owner: KKR</w:t>
      </w:r>
    </w:p>
    <w:p>
      <w:pPr>
        <w:spacing w:after="80"/>
        <w:ind w:left="360" w:right="288"/>
        <w:pBdr>
          <w:left w:val="single" w:sz="16" w:space="8" w:color="6D8271"/>
        </w:pBdr>
      </w:pPr>
      <w:r>
        <w:rPr>
          <w:sz w:val="20"/>
        </w:rPr>
        <w:t>Meaning: KKR owns Neighborly, not the Austin franchisee operating company. [S029][S030]</w:t>
      </w:r>
    </w:p>
    <w:p>
      <w:pPr>
        <w:spacing w:after="100" w:line="259" w:lineRule="auto"/>
      </w:pPr>
      <w:r>
        <w:rPr>
          <w:sz w:val="20"/>
        </w:rPr>
        <w:t>That last sentence matters. Treating a franchisor’s sponsor as the direct owner of every local franchisee is a category error.</w:t>
      </w:r>
    </w:p>
    <w:p>
      <w:pPr>
        <w:pStyle w:val="Heading2"/>
        <w:keepNext/>
      </w:pPr>
      <w:r>
        <w:rPr>
          <w:sz w:val="29"/>
        </w:rPr>
        <w:t>What the 67-brand denominator shows</w:t>
      </w:r>
    </w:p>
    <w:p>
      <w:pPr>
        <w:spacing w:after="100" w:line="259" w:lineRule="auto"/>
      </w:pPr>
      <w:r>
        <w:rPr>
          <w:sz w:val="20"/>
        </w:rPr>
        <w:t>The owner-type distribution is a count of brands in this dataset, not a count of legal entities and not a measure of revenue. The 14 sponsor-backed brands are Fox, Precision, Daniel’s, Radiant, Stan’s, Service Wizard, Abacus, Goettl, ARS/Rescue Rooter, Austin Air Conditioning, Roger’s Plumbing, Ja-Mar, Groundworks and Aptive. The four public-company-owned brands are Strand Brothers Service Experts, HomeTeam Pest Defense, Orkin and Terminix.</w:t>
      </w:r>
    </w:p>
    <w:p>
      <w:pPr>
        <w:spacing w:after="100" w:line="259" w:lineRule="auto"/>
      </w:pPr>
      <w:r>
        <w:rPr>
          <w:sz w:val="20"/>
        </w:rPr>
        <w:t>The five franchise records are Mr. Rooter Plumbing of Austin, Benjamin Franklin Plumbing of Austin, Aire Serv of Cedar Park, Aire Serv of Round Rock and Ram Jack Austin. Their local operators are not collapsed into Neighborly, Authority Brands or Ram Jack’s franchise system. For Mr. Rooter and Aire Serv of Round Rock, the public record identifies local owners. For Benjamin Franklin, Aire Serv of Cedar Park and Ram Jack Austin, the local legal entity or owner still needs stronger documentation. [S029][S033][S034][S035][S129]</w:t>
      </w:r>
    </w:p>
    <w:p>
      <w:pPr>
        <w:spacing w:after="100" w:line="259" w:lineRule="auto"/>
      </w:pPr>
      <w:r>
        <w:rPr>
          <w:sz w:val="20"/>
        </w:rPr>
        <w:t>The largest owner-type bucket is the 32 brands coded to founder, family or local ownership. Some have unusually strong evidence. Efficient names George and Molly Drazic as owners. Baird says John and Melanie Baird have been sole owners since 1987. Bats identifies Brent Parks. Stride exposes both Stride Pest Control, LLC and owner Tyson Kearns. [S107][S134][S138][S152]</w:t>
      </w:r>
    </w:p>
    <w:p>
      <w:pPr>
        <w:spacing w:after="100" w:line="259" w:lineRule="auto"/>
      </w:pPr>
      <w:r>
        <w:rPr>
          <w:sz w:val="20"/>
        </w:rPr>
        <w:t>Other records are weaker. RoofCrafters, Anderson, Silver Creek, Bruecher, A-Tex, Pest Wranglers and Roberts currently describe themselves as family- or locally owned, but the public record captured here does not establish the exact current holders. They remain in the local bucket because the claim is current and directly made, but their evidence rating is C and the exact owner question remains open.</w:t>
      </w:r>
    </w:p>
    <w:p>
      <w:pPr>
        <w:spacing w:after="100" w:line="259" w:lineRule="auto"/>
      </w:pPr>
      <w:r>
        <w:rPr>
          <w:sz w:val="20"/>
        </w:rPr>
        <w:t>Eleven companies remain in the private/control-unresolved bucket. This is not a euphemism for independent. It means the operating brand is current, while the controlling owner was not established to publication standard. The unresolved group includes Austin Major Air &amp; Heat, Kidd Roofing, Wilson Roofing, Austin Roofing and Construction, Olshan, CenTex, Douglas, Advanced Foundation Repair, Hawx, Ranger and EcoShield.</w:t>
      </w:r>
    </w:p>
    <w:p>
      <w:pPr>
        <w:spacing w:after="100" w:line="259" w:lineRule="auto"/>
      </w:pPr>
      <w:r>
        <w:rPr>
          <w:sz w:val="20"/>
        </w:rPr>
        <w:t>The distinction prevents a common research error: treating silence as evidence. A company is not independent simply because no acquisition release appears in search results. Small-business sales can be private, old transaction pages can disappear, and the brand site may never disclose a parent.</w:t>
      </w:r>
    </w:p>
    <w:p>
      <w:pPr>
        <w:pStyle w:val="Heading2"/>
        <w:keepNext/>
      </w:pPr>
      <w:r>
        <w:rPr>
          <w:sz w:val="29"/>
        </w:rPr>
        <w:t>HVAC, plumbing and bundled electrical</w:t>
      </w:r>
    </w:p>
    <w:p>
      <w:pPr>
        <w:spacing w:after="100" w:line="259" w:lineRule="auto"/>
      </w:pPr>
      <w:r>
        <w:rPr>
          <w:sz w:val="20"/>
        </w:rPr>
        <w:t>This is the most visibly consolidated portion of the dataset. It contains 26 active brands, including broad multi-trade operators, plumbing specialists, HVAC specialists, national branches and local franchises.</w:t>
      </w:r>
    </w:p>
    <w:p>
      <w:pPr>
        <w:pStyle w:val="Heading3"/>
        <w:keepNext/>
      </w:pPr>
      <w:r>
        <w:rPr>
          <w:sz w:val="23"/>
        </w:rPr>
        <w:t>Southern Home Services and Gryphon</w:t>
      </w:r>
    </w:p>
    <w:p>
      <w:pPr>
        <w:spacing w:after="100" w:line="259" w:lineRule="auto"/>
      </w:pPr>
      <w:r>
        <w:rPr>
          <w:sz w:val="20"/>
        </w:rPr>
        <w:t>Fox, Precision and Daniel’s are the clearest retained-brand cluster. Southern’s own transaction and current brand pages establish the immediate parent. Gryphon’s current portfolio material and the 2021 majority-investment announcement establish the sponsor chain. The evidence is stronger than a shared address, common website software or similar phone routing because it directly states the acquisitions and current holding relationship. [S001][S002][S003][S004][S005][S006][S007]</w:t>
      </w:r>
    </w:p>
    <w:p>
      <w:pPr>
        <w:spacing w:after="100" w:line="259" w:lineRule="auto"/>
      </w:pPr>
      <w:r>
        <w:rPr>
          <w:sz w:val="20"/>
        </w:rPr>
        <w:t>Daniel’s carries an extra flag. Southern maintains a current Daniel’s page and site-map listing, but consumer routing suggests some operational consolidation. The ownership chain is not in doubt. The question is whether Daniel’s should remain a fully separate active consumer brand. It stays in the 67-brand denominator because the parent currently publishes it as an Austin brand, with the conflict exposed rather than silently resolved.</w:t>
      </w:r>
    </w:p>
    <w:p>
      <w:pPr>
        <w:pStyle w:val="Heading3"/>
        <w:keepNext/>
      </w:pPr>
      <w:r>
        <w:rPr>
          <w:sz w:val="23"/>
        </w:rPr>
        <w:t>Radiant, Stan’s, Abacus and Goettl</w:t>
      </w:r>
    </w:p>
    <w:p>
      <w:pPr>
        <w:spacing w:after="100" w:line="259" w:lineRule="auto"/>
      </w:pPr>
      <w:r>
        <w:rPr>
          <w:sz w:val="20"/>
        </w:rPr>
        <w:t xml:space="preserve">Radiant’s current customer terms name </w:t>
      </w:r>
      <w:r>
        <w:rPr>
          <w:b/>
          <w:sz w:val="20"/>
        </w:rPr>
        <w:t>Radiant Plumbing Service, LLC</w:t>
      </w:r>
      <w:r>
        <w:rPr>
          <w:sz w:val="20"/>
        </w:rPr>
        <w:t xml:space="preserve"> as the entity doing business as Radiant Plumbing &amp; Air Conditioning. Current T3 and Riverside materials place the operation within T3 Services Group and Riverside’s portfolio. The public materials do not state an exact ownership percentage, so the database uses “portfolio company of” rather than “majority owned by.” [S008][S009][S010]</w:t>
      </w:r>
    </w:p>
    <w:p>
      <w:pPr>
        <w:spacing w:after="100" w:line="259" w:lineRule="auto"/>
      </w:pPr>
      <w:r>
        <w:rPr>
          <w:sz w:val="20"/>
        </w:rPr>
        <w:t>Stan’s changed sponsors. Treaty Oak was a former owner. The Master Trades Group completed its acquisition of Stan’s Home Services in March 2024. L Catterton acquired LTP Home Services Group, now Master Trades Group, in 2022 and still lists the platform as a current investment. The current chain is therefore Stan’s → Master Trades Group → L Catterton. Treaty Oak belongs in the transaction history, not on the current-owner card. [S011][S012][S013][S014]</w:t>
      </w:r>
    </w:p>
    <w:p>
      <w:pPr>
        <w:spacing w:after="100" w:line="259" w:lineRule="auto"/>
      </w:pPr>
      <w:r>
        <w:rPr>
          <w:sz w:val="20"/>
        </w:rPr>
        <w:t>Abacus provides one of the cleanest direct parent disclosures in the market. Its current privacy policy says the company is a wholly owned subsidiary of Wrench Group, LLC. Wrench’s 2022 recapitalization states that Leonard Green and management retained a majority interest while TSG Consumer Partners and Oak Hill made significant minority investments. The database keeps all three capital relationships instead of flattening Wrench into a generic “PE-owned” label. [S015][S016][S017]</w:t>
      </w:r>
    </w:p>
    <w:p>
      <w:pPr>
        <w:spacing w:after="100" w:line="259" w:lineRule="auto"/>
      </w:pPr>
      <w:r>
        <w:rPr>
          <w:sz w:val="20"/>
        </w:rPr>
        <w:t>Goettl serves Austin under the Goettl name after the Dayton Services rebrand. Cortec invested in the platform in 2021. Dayton appears in the historical table, not as a second current operator. [S018][S019]</w:t>
      </w:r>
    </w:p>
    <w:p>
      <w:pPr>
        <w:pStyle w:val="Heading3"/>
        <w:keepNext/>
      </w:pPr>
      <w:r>
        <w:rPr>
          <w:sz w:val="23"/>
        </w:rPr>
        <w:t>Service Experts, Service Wizard and ARS</w:t>
      </w:r>
    </w:p>
    <w:p>
      <w:pPr>
        <w:spacing w:after="100" w:line="259" w:lineRule="auto"/>
      </w:pPr>
      <w:r>
        <w:rPr>
          <w:sz w:val="20"/>
        </w:rPr>
        <w:t>Strand Brothers is an Austin Service Experts center. Brookfield Infrastructure completed its acquisition of Enercare, including Service Experts, in 2018 and continues to report the business. Because Brookfield Infrastructure is a public infrastructure owner, this database codes Strand as public-company owned rather than placing it in the private-equity bucket. [S020][S021][S022]</w:t>
      </w:r>
    </w:p>
    <w:p>
      <w:pPr>
        <w:spacing w:after="100" w:line="259" w:lineRule="auto"/>
      </w:pPr>
      <w:r>
        <w:rPr>
          <w:sz w:val="20"/>
        </w:rPr>
        <w:t>Champions Group acquired Service Wizard in 2022. Blackstone announced an agreement to acquire Champions on February 17, 2026 and said closing was expected in the first half of 2026. A closing announcement was not found before the July 26 snapshot. The correct current card is therefore Service Wizard → Champions Group; ultimate sponsor pending/unresolved. It is not published as a completed Blackstone ownership chain. [S023][S024][S025]</w:t>
      </w:r>
    </w:p>
    <w:p>
      <w:pPr>
        <w:spacing w:after="100" w:line="259" w:lineRule="auto"/>
      </w:pPr>
      <w:r>
        <w:rPr>
          <w:sz w:val="20"/>
        </w:rPr>
        <w:t>ARS/Rescue Rooter’s Austin branch belongs to American Residential Services. GI Partners acquired a majority interest in 2020, with Charlesbank and management retaining significant stakes. Sale exploration or auction reporting does not change that chain without a closed transaction. [S026][S027][S028]</w:t>
      </w:r>
    </w:p>
    <w:p>
      <w:pPr>
        <w:pStyle w:val="Heading3"/>
        <w:keepNext/>
      </w:pPr>
      <w:r>
        <w:rPr>
          <w:sz w:val="23"/>
        </w:rPr>
        <w:t>The SAS/Storr cluster</w:t>
      </w:r>
    </w:p>
    <w:p>
      <w:pPr>
        <w:spacing w:after="100" w:line="259" w:lineRule="auto"/>
      </w:pPr>
      <w:r>
        <w:rPr>
          <w:sz w:val="20"/>
        </w:rPr>
        <w:t>SAS Service Partners is the most consequential gap found during the audit. It launched around Austin Air Conditioning, added Cool Atmosphere and acquired Roger’s Plumbing. The platform says it is backed by Storr Group. Austin Air and Roger’s remain current consumer brands. Cool Atmosphere does not remain a separate active count because the present public path combines it into Austin Air Conditioning. [S037][S038][S039][S040][S041][S042][S043][S044]</w:t>
      </w:r>
    </w:p>
    <w:p>
      <w:pPr>
        <w:spacing w:after="100" w:line="259" w:lineRule="auto"/>
      </w:pPr>
      <w:r>
        <w:rPr>
          <w:sz w:val="20"/>
        </w:rPr>
        <w:t>This cluster also shows why “locally operated” is not the same as “locally owned.” Austin Air can retain local leadership, an Austin office and a familiar name while the equity chain runs through SAS and Storr. Those statements can all be true at once.</w:t>
      </w:r>
    </w:p>
    <w:p>
      <w:pPr>
        <w:pStyle w:val="Heading3"/>
        <w:keepNext/>
      </w:pPr>
      <w:r>
        <w:rPr>
          <w:sz w:val="23"/>
        </w:rPr>
        <w:t>Current local operators and unresolved companies</w:t>
      </w:r>
    </w:p>
    <w:p>
      <w:pPr>
        <w:spacing w:after="100" w:line="259" w:lineRule="auto"/>
      </w:pPr>
      <w:r>
        <w:rPr>
          <w:sz w:val="20"/>
        </w:rPr>
        <w:t>The same category still contains substantial local ownership. ABC remains tied to Bobby Jenkins and the Jenkins family. Efficient identifies George and Molly Drazic. Reliant traces its ownership to Max Hicks and family. Excalibur’s public trail links the brand to Excalibur Plumbing, LLC and Blake Smith. Whitestone and Crow’s have named-owner records. [S100][S107][S108][S110][S111][S112][S113][S114][S115]</w:t>
      </w:r>
    </w:p>
    <w:p>
      <w:pPr>
        <w:spacing w:after="100" w:line="259" w:lineRule="auto"/>
      </w:pPr>
      <w:r>
        <w:rPr>
          <w:sz w:val="20"/>
        </w:rPr>
        <w:t>McCullough and Christianson make current local/family claims, but the exact equity holders are not public in the sources reviewed. AirFix’s legal entity is visible, while its controller is not. Austin Major Air &amp; Heat appears tied to Adoni Enterprises, Inc., but the current owner remains unresolved. These differences are preserved in the data rather than compressed into an “independent” category.</w:t>
      </w:r>
    </w:p>
    <w:p>
      <w:pPr>
        <w:pStyle w:val="Heading2"/>
        <w:keepNext/>
      </w:pPr>
      <w:r>
        <w:rPr>
          <w:sz w:val="29"/>
        </w:rPr>
        <w:t>Roofing and exterior services</w:t>
      </w:r>
    </w:p>
    <w:p>
      <w:pPr>
        <w:spacing w:after="100" w:line="259" w:lineRule="auto"/>
      </w:pPr>
      <w:r>
        <w:rPr>
          <w:sz w:val="20"/>
        </w:rPr>
        <w:t>The roofing universe contains nine active brands. The original census identified Kidd, Hall, RoofCrafters and Longhorn. The audit added Ja-Mar, Anderson, Silver Creek, Wilson, and Austin Roofing and Construction after finding current Austin-area operating evidence.</w:t>
      </w:r>
    </w:p>
    <w:p>
      <w:pPr>
        <w:spacing w:after="100" w:line="259" w:lineRule="auto"/>
      </w:pPr>
      <w:r>
        <w:rPr>
          <w:sz w:val="20"/>
        </w:rPr>
        <w:t>Ja-Mar is the clearest platform-owned roofing case. Dunes Point Capital states that Roofing Services Solutions acquired Ja-Mar on April 8, 2025, and Dunes Point still lists the platform. Ja-Mar’s current site remains active and uses local-company or local-owner wording. The transaction evidence controls the equity classification. The local wording is coded as operating or management language unless Ja-Mar documents a different post-transaction ownership arrangement. [S045][S046][S047]</w:t>
      </w:r>
    </w:p>
    <w:p>
      <w:pPr>
        <w:spacing w:after="100" w:line="259" w:lineRule="auto"/>
      </w:pPr>
      <w:r>
        <w:rPr>
          <w:sz w:val="20"/>
        </w:rPr>
        <w:t>Hall and Longhorn have named local-owner trails. RoofCrafters has a current corporate identity and family/local language, but exact shareholders are unresolved. Anderson and Silver Creek make current family/local claims without exposing the holders. Kidd’s D.R. Kidd Company, Inc. identity is supported, but the current controller is not. Wilson and Austin Roofing and Construction are active operators with insufficient public control evidence. [S118][S119][S120][S121][S122][S123][S124][S125][S126][S127]</w:t>
      </w:r>
    </w:p>
    <w:p>
      <w:pPr>
        <w:spacing w:after="100" w:line="259" w:lineRule="auto"/>
      </w:pPr>
      <w:r>
        <w:rPr>
          <w:sz w:val="20"/>
        </w:rPr>
        <w:t>No roofing brand is ranked by size. Office presence, years in business, reviews and website visibility are not comparable revenue measures. A company with more reviews may have stronger review acquisition, older listings, broader consumer volume or simply a different request strategy. None of those establishes market share.</w:t>
      </w:r>
    </w:p>
    <w:p>
      <w:pPr>
        <w:pStyle w:val="Heading2"/>
        <w:keepNext/>
      </w:pPr>
      <w:r>
        <w:rPr>
          <w:sz w:val="29"/>
        </w:rPr>
        <w:t>Foundation repair</w:t>
      </w:r>
    </w:p>
    <w:p>
      <w:pPr>
        <w:spacing w:after="100" w:line="259" w:lineRule="auto"/>
      </w:pPr>
      <w:r>
        <w:rPr>
          <w:sz w:val="20"/>
        </w:rPr>
        <w:t>Foundation repair has 12 active brands and the highest share of unresolved control questions in the dataset. The category mixes national platforms, franchises, long-running local operators and companies whose current legal owners are hard to see.</w:t>
      </w:r>
    </w:p>
    <w:p>
      <w:pPr>
        <w:spacing w:after="100" w:line="259" w:lineRule="auto"/>
      </w:pPr>
      <w:r>
        <w:rPr>
          <w:sz w:val="20"/>
        </w:rPr>
        <w:t>Groundworks is the clearest sponsor-backed chain. It serves Austin from its San Antonio-area operation. KKR made the controlling investment in March 2023. Cortec’s current investment history says it exited majority control and retained minority positions. Foundation Support Specialists, acquired by Groundworks in July 2022, is retained as a historical record rather than counted as a second current brand. [S048][S049][S050][S051]</w:t>
      </w:r>
    </w:p>
    <w:p>
      <w:pPr>
        <w:spacing w:after="100" w:line="259" w:lineRule="auto"/>
      </w:pPr>
      <w:r>
        <w:rPr>
          <w:sz w:val="20"/>
        </w:rPr>
        <w:t>Ram Jack Austin is a franchise. Its public page says franchises are independently owned and operated, but the Austin franchisee’s legal identity is unresolved. The database therefore does not say that the franchisor owns the local operating company. [S129]</w:t>
      </w:r>
    </w:p>
    <w:p>
      <w:pPr>
        <w:spacing w:after="100" w:line="259" w:lineRule="auto"/>
      </w:pPr>
      <w:r>
        <w:rPr>
          <w:sz w:val="20"/>
        </w:rPr>
        <w:t>Baird, G.L. Hunt, All in One, Bats and Quality have stronger local-owner evidence. Baird currently names John and Melanie Baird as sole owners. G.L. Hunt identifies the Hunt family. All in One has an owner trail to Robert J. Knight. Bats identifies Brent Parks. Quality Foundation Repair, which Model A excluded as a generic-looking site, has a current Austin operating trail and named founder Simon Wallace. The exclusion was reversed. [S134][S135][S136][S137][S138][S139][S140][S141]</w:t>
      </w:r>
    </w:p>
    <w:p>
      <w:pPr>
        <w:spacing w:after="100" w:line="259" w:lineRule="auto"/>
      </w:pPr>
      <w:r>
        <w:rPr>
          <w:sz w:val="20"/>
        </w:rPr>
        <w:t>Olshan, CenTex, Douglas and Advanced remain unresolved at the controller level. Advanced’s legal identity as Advanced Foundation Repair, LP is supportable, but the general partner and ultimate owner are not. Olshan’s current Austin service is clear; its ultimate control is not. No family or PE label is assigned to either company without better records. [S128][S130][S131][S132][S133]</w:t>
      </w:r>
    </w:p>
    <w:p>
      <w:pPr>
        <w:pStyle w:val="Heading2"/>
        <w:keepNext/>
      </w:pPr>
      <w:r>
        <w:rPr>
          <w:sz w:val="29"/>
        </w:rPr>
        <w:t>Pest control</w:t>
      </w:r>
    </w:p>
    <w:p>
      <w:pPr>
        <w:spacing w:after="100" w:line="259" w:lineRule="auto"/>
      </w:pPr>
      <w:r>
        <w:rPr>
          <w:sz w:val="20"/>
        </w:rPr>
        <w:t>Pest control contains 20 active brands in addition to ABC’s cross-category record. The ownership structures range from public-company branches to sponsor-backed operators, a minority-invested founder-controlled company, and local family businesses.</w:t>
      </w:r>
    </w:p>
    <w:p>
      <w:pPr>
        <w:spacing w:after="100" w:line="259" w:lineRule="auto"/>
      </w:pPr>
      <w:r>
        <w:rPr>
          <w:sz w:val="20"/>
        </w:rPr>
        <w:t>Orkin and HomeTeam lead to Rollins, Inc. Rollins completed the HomeTeam acquisition in 2008 and still lists both brands. Terminix leads to Rentokil Initial, which completed the acquisition in October 2022. These public-company chains are more straightforward than many private-platform chains because the parent relationship remains visible in current corporate materials. [S055][S056][S057][S145][S153][S154]</w:t>
      </w:r>
    </w:p>
    <w:p>
      <w:pPr>
        <w:spacing w:after="100" w:line="259" w:lineRule="auto"/>
      </w:pPr>
      <w:r>
        <w:rPr>
          <w:sz w:val="20"/>
        </w:rPr>
        <w:t>Aptive is sponsor-backed. Citation Capital acquired a majority stake in August 2024, while management retained a significant interest. Alta requires different language. Trivest’s announcement says its investment was minority and non-control and that Alta’s founders retained operational and financial control. Alta is therefore not counted among the 14 sponsor-controlled brands. [S052][S053][S054][S149]</w:t>
      </w:r>
    </w:p>
    <w:p>
      <w:pPr>
        <w:spacing w:after="100" w:line="259" w:lineRule="auto"/>
      </w:pPr>
      <w:r>
        <w:rPr>
          <w:sz w:val="20"/>
        </w:rPr>
        <w:t>Bulwark, Berrett, Romney, Stride, Massey, Natran, X Out and Absolute have current named-family or named-owner evidence. Pest Wranglers and A-Tex make current local claims but do not expose the exact holders. ClearDefense is founder-led, though the current allocation among founders is not public. Roberts makes a current family-owned claim. [S143][S146][S147][S148][S150][S151][S152][S159][S160][S161][S162][S163][S164][S165][S166]</w:t>
      </w:r>
    </w:p>
    <w:p>
      <w:pPr>
        <w:spacing w:after="100" w:line="259" w:lineRule="auto"/>
      </w:pPr>
      <w:r>
        <w:rPr>
          <w:sz w:val="20"/>
        </w:rPr>
        <w:t>Three pest records remain materially unresolved. Hawx was acquired by PCM Growth in 2021, but a sufficiently current direct source confirming sponsor continuity was not found. Ranger’s operating company is current, while public references conflict on the individual controller. EcoShield has a current Austin branch, but Massey’s 2015 acquisition of an EcoShield Austin division cannot be assumed to describe the current EcoShield-branded operation. Those cases are published as unresolved, not guessed. [S058][S059][S155][S156][S157][S158]</w:t>
      </w:r>
    </w:p>
    <w:p>
      <w:pPr>
        <w:spacing w:after="100" w:line="259" w:lineRule="auto"/>
      </w:pPr>
      <w:r>
        <w:rPr>
          <w:sz w:val="20"/>
        </w:rPr>
        <w:t>Texas pest-control licensing should make this category more resolvable than the current dataset suggests. The Texas Department of Agriculture regulates structural pest-control businesses. A systematic business-license export should be the next evidence pull for A-Tex, Pest Wranglers, Ranger, EcoShield and other branches. [S060]</w:t>
      </w:r>
    </w:p>
    <w:p>
      <w:pPr>
        <w:pStyle w:val="Heading2"/>
        <w:keepNext/>
      </w:pPr>
      <w:r>
        <w:rPr>
          <w:sz w:val="29"/>
        </w:rPr>
        <w:t>What “local” actually means</w:t>
      </w:r>
    </w:p>
    <w:p>
      <w:pPr>
        <w:spacing w:after="100" w:line="259" w:lineRule="auto"/>
      </w:pPr>
      <w:r>
        <w:rPr>
          <w:sz w:val="20"/>
        </w:rPr>
        <w:t>“Local” is not one ownership status. The database separates six common meanings.</w:t>
      </w:r>
    </w:p>
    <w:p>
      <w:pPr>
        <w:spacing w:after="100" w:line="259" w:lineRule="auto"/>
      </w:pPr>
      <w:r>
        <w:rPr>
          <w:b/>
          <w:sz w:val="20"/>
        </w:rPr>
        <w:t>Locally owned</w:t>
      </w:r>
      <w:r>
        <w:rPr>
          <w:sz w:val="20"/>
        </w:rPr>
        <w:t xml:space="preserve"> means the current equity owner is local or the company makes a current local-ownership claim. Efficient, Baird and Stride have named-owner support. Silver Creek and Pest Wranglers have current local claims but unresolved holders. Those records do not receive the same evidence rating.</w:t>
      </w:r>
    </w:p>
    <w:p>
      <w:pPr>
        <w:spacing w:after="100" w:line="259" w:lineRule="auto"/>
      </w:pPr>
      <w:r>
        <w:rPr>
          <w:b/>
          <w:sz w:val="20"/>
        </w:rPr>
        <w:t>Locally managed</w:t>
      </w:r>
      <w:r>
        <w:rPr>
          <w:sz w:val="20"/>
        </w:rPr>
        <w:t xml:space="preserve"> means local leadership runs the operation, regardless of who owns the equity. An acquired brand can remain locally managed. A local president or branch manager is not proof of ownership.</w:t>
      </w:r>
    </w:p>
    <w:p>
      <w:pPr>
        <w:spacing w:after="100" w:line="259" w:lineRule="auto"/>
      </w:pPr>
      <w:r>
        <w:rPr>
          <w:b/>
          <w:sz w:val="20"/>
        </w:rPr>
        <w:t>Locally operated</w:t>
      </w:r>
      <w:r>
        <w:rPr>
          <w:sz w:val="20"/>
        </w:rPr>
        <w:t xml:space="preserve"> describes where the staff, office or service territory sit. Austin Air’s local operation can coexist with SAS/Storr ownership. A national branch can also be locally operated without being locally owned.</w:t>
      </w:r>
    </w:p>
    <w:p>
      <w:pPr>
        <w:spacing w:after="100" w:line="259" w:lineRule="auto"/>
      </w:pPr>
      <w:r>
        <w:rPr>
          <w:b/>
          <w:sz w:val="20"/>
        </w:rPr>
        <w:t>Family founded</w:t>
      </w:r>
      <w:r>
        <w:rPr>
          <w:sz w:val="20"/>
        </w:rPr>
        <w:t xml:space="preserve"> is historical. A founder can remain in the business after a sale, roll equity, or leave. Austin Air’s Henderson-family history and Cool Atmosphere’s founder participation do not erase the SAS transaction. [S037][S039][S044]</w:t>
      </w:r>
    </w:p>
    <w:p>
      <w:pPr>
        <w:spacing w:after="100" w:line="259" w:lineRule="auto"/>
      </w:pPr>
      <w:r>
        <w:rPr>
          <w:b/>
          <w:sz w:val="20"/>
        </w:rPr>
        <w:t>Founder led</w:t>
      </w:r>
      <w:r>
        <w:rPr>
          <w:sz w:val="20"/>
        </w:rPr>
        <w:t xml:space="preserve"> concerns management. ClearDefense’s founders are identifiable, but the current equity allocation is not. The database therefore uses “founder led” rather than inventing a percentage.</w:t>
      </w:r>
    </w:p>
    <w:p>
      <w:pPr>
        <w:spacing w:after="100" w:line="259" w:lineRule="auto"/>
      </w:pPr>
      <w:r>
        <w:rPr>
          <w:b/>
          <w:sz w:val="20"/>
        </w:rPr>
        <w:t>Franchise owned</w:t>
      </w:r>
      <w:r>
        <w:rPr>
          <w:sz w:val="20"/>
        </w:rPr>
        <w:t xml:space="preserve"> means a local business owns or operates a territory under a franchised brand. Mr. Rooter Austin is locally owned by Brett Bidwell while the Mr. Rooter system belongs to Neighborly and Neighborly belongs to KKR. Benjamin Franklin’s franchisor belongs to an Apax-majority, BCI-minority structure, while the Austin franchisee remains unresolved. [S029][S030][S031][S032][S033]</w:t>
      </w:r>
    </w:p>
    <w:p>
      <w:pPr>
        <w:spacing w:after="100" w:line="259" w:lineRule="auto"/>
      </w:pPr>
      <w:r>
        <w:rPr>
          <w:b/>
          <w:sz w:val="20"/>
        </w:rPr>
        <w:t>Private-equity backed</w:t>
      </w:r>
      <w:r>
        <w:rPr>
          <w:sz w:val="20"/>
        </w:rPr>
        <w:t xml:space="preserve"> is also too broad unless the interest is stated. Gryphon’s Southern investment is majority. Leonard Green and management retain majority ownership of Wrench while TSG and Oak Hill hold significant minority interests. Trivest is a non-control minority investor in Alta. KKR owns Neighborly, but not the local Mr. Rooter operating company. The graph keeps those distinctions visible.</w:t>
      </w:r>
    </w:p>
    <w:p>
      <w:pPr>
        <w:spacing w:after="100" w:line="259" w:lineRule="auto"/>
      </w:pPr>
      <w:r>
        <w:rPr>
          <w:sz w:val="20"/>
        </w:rPr>
        <w:t>A company can reasonably use historical or operational local language after a transaction. The publication does not accuse any brand of deception. It asks a narrower factual question: what exactly does the wording describe—history, management, location, franchise ownership, or current equity?</w:t>
      </w:r>
    </w:p>
    <w:p>
      <w:pPr>
        <w:pStyle w:val="Heading2"/>
        <w:keepNext/>
      </w:pPr>
      <w:r>
        <w:rPr>
          <w:sz w:val="29"/>
        </w:rPr>
        <w:t>Selected ownership cards</w:t>
      </w:r>
    </w:p>
    <w:p>
      <w:pPr>
        <w:spacing w:after="100" w:line="259" w:lineRule="auto"/>
      </w:pPr>
      <w:r>
        <w:rPr>
          <w:sz w:val="20"/>
        </w:rPr>
        <w:t>The database includes a mobile card for every active brand. These are representative examples of the wording used when the chain is clear, partial or unresolved.</w:t>
      </w:r>
    </w:p>
    <w:p>
      <w:pPr>
        <w:pStyle w:val="Heading3"/>
        <w:keepNext/>
      </w:pPr>
      <w:r>
        <w:rPr>
          <w:sz w:val="23"/>
        </w:rPr>
        <w:t>Fox Service Company</w:t>
      </w:r>
    </w:p>
    <w:p>
      <w:pPr>
        <w:spacing w:after="100" w:line="259" w:lineRule="auto"/>
      </w:pPr>
      <w:r>
        <w:rPr>
          <w:b/>
          <w:sz w:val="20"/>
        </w:rPr>
        <w:t>Current chain:</w:t>
      </w:r>
      <w:r>
        <w:rPr>
          <w:sz w:val="20"/>
        </w:rPr>
        <w:t xml:space="preserve"> Fox Service Company → Southern Home Services → North American Essential Home Services → Gryphon Investors. </w:t>
      </w:r>
      <w:r>
        <w:rPr>
          <w:b/>
          <w:sz w:val="20"/>
        </w:rPr>
        <w:t>Interest:</w:t>
      </w:r>
      <w:r>
        <w:rPr>
          <w:sz w:val="20"/>
        </w:rPr>
        <w:t xml:space="preserve"> Gryphon majority; management retained a meaningful stake at the holding-company level. </w:t>
      </w:r>
      <w:r>
        <w:rPr>
          <w:b/>
          <w:sz w:val="20"/>
        </w:rPr>
        <w:t>Status:</w:t>
      </w:r>
      <w:r>
        <w:rPr>
          <w:sz w:val="20"/>
        </w:rPr>
        <w:t xml:space="preserve"> current. [S002][S005][S006][S007]</w:t>
      </w:r>
    </w:p>
    <w:p>
      <w:pPr>
        <w:pStyle w:val="Heading3"/>
        <w:keepNext/>
      </w:pPr>
      <w:r>
        <w:rPr>
          <w:sz w:val="23"/>
        </w:rPr>
        <w:t>Radiant Plumbing, Air Conditioning &amp; Electrical</w:t>
      </w:r>
    </w:p>
    <w:p>
      <w:pPr>
        <w:spacing w:after="100" w:line="259" w:lineRule="auto"/>
      </w:pPr>
      <w:r>
        <w:rPr>
          <w:b/>
          <w:sz w:val="20"/>
        </w:rPr>
        <w:t>Current chain:</w:t>
      </w:r>
      <w:r>
        <w:rPr>
          <w:sz w:val="20"/>
        </w:rPr>
        <w:t xml:space="preserve"> Radiant brand → Radiant Plumbing Service, LLC → T3 Services Group → The Riverside Company. </w:t>
      </w:r>
      <w:r>
        <w:rPr>
          <w:b/>
          <w:sz w:val="20"/>
        </w:rPr>
        <w:t>Interest:</w:t>
      </w:r>
      <w:r>
        <w:rPr>
          <w:sz w:val="20"/>
        </w:rPr>
        <w:t xml:space="preserve"> public materials establish the portfolio relationship but do not state the percentage. </w:t>
      </w:r>
      <w:r>
        <w:rPr>
          <w:b/>
          <w:sz w:val="20"/>
        </w:rPr>
        <w:t>Status:</w:t>
      </w:r>
      <w:r>
        <w:rPr>
          <w:sz w:val="20"/>
        </w:rPr>
        <w:t xml:space="preserve"> current. [S008][S009][S010]</w:t>
      </w:r>
    </w:p>
    <w:p>
      <w:pPr>
        <w:pStyle w:val="Heading3"/>
        <w:keepNext/>
      </w:pPr>
      <w:r>
        <w:rPr>
          <w:sz w:val="23"/>
        </w:rPr>
        <w:t>Stan’s Heating, Air, Plumbing &amp; Electrical</w:t>
      </w:r>
    </w:p>
    <w:p>
      <w:pPr>
        <w:spacing w:after="100" w:line="259" w:lineRule="auto"/>
      </w:pPr>
      <w:r>
        <w:rPr>
          <w:b/>
          <w:sz w:val="20"/>
        </w:rPr>
        <w:t>Current chain:</w:t>
      </w:r>
      <w:r>
        <w:rPr>
          <w:sz w:val="20"/>
        </w:rPr>
        <w:t xml:space="preserve"> Stan’s → Stan’s Home Services Holdings lineage → The Master Trades Group → L Catterton. </w:t>
      </w:r>
      <w:r>
        <w:rPr>
          <w:b/>
          <w:sz w:val="20"/>
        </w:rPr>
        <w:t>Former sponsor:</w:t>
      </w:r>
      <w:r>
        <w:rPr>
          <w:sz w:val="20"/>
        </w:rPr>
        <w:t xml:space="preserve"> Treaty Oak Equity, which exited in March 2024. </w:t>
      </w:r>
      <w:r>
        <w:rPr>
          <w:b/>
          <w:sz w:val="20"/>
        </w:rPr>
        <w:t>Status:</w:t>
      </w:r>
      <w:r>
        <w:rPr>
          <w:sz w:val="20"/>
        </w:rPr>
        <w:t xml:space="preserve"> current under Master Trades Group. [S011][S012][S013][S014]</w:t>
      </w:r>
    </w:p>
    <w:p>
      <w:pPr>
        <w:pStyle w:val="Heading3"/>
        <w:keepNext/>
      </w:pPr>
      <w:r>
        <w:rPr>
          <w:sz w:val="23"/>
        </w:rPr>
        <w:t>Abacus Plumbing, Air Conditioning &amp; Electrical</w:t>
      </w:r>
    </w:p>
    <w:p>
      <w:pPr>
        <w:spacing w:after="100" w:line="259" w:lineRule="auto"/>
      </w:pPr>
      <w:r>
        <w:rPr>
          <w:b/>
          <w:sz w:val="20"/>
        </w:rPr>
        <w:t>Current chain:</w:t>
      </w:r>
      <w:r>
        <w:rPr>
          <w:sz w:val="20"/>
        </w:rPr>
        <w:t xml:space="preserve"> Abacus → Wrench Group. </w:t>
      </w:r>
      <w:r>
        <w:rPr>
          <w:b/>
          <w:sz w:val="20"/>
        </w:rPr>
        <w:t>Capital structure:</w:t>
      </w:r>
      <w:r>
        <w:rPr>
          <w:sz w:val="20"/>
        </w:rPr>
        <w:t xml:space="preserve"> Leonard Green and management retain majority ownership; TSG Consumer Partners and Oak Hill hold significant minority interests. </w:t>
      </w:r>
      <w:r>
        <w:rPr>
          <w:b/>
          <w:sz w:val="20"/>
        </w:rPr>
        <w:t>Status:</w:t>
      </w:r>
      <w:r>
        <w:rPr>
          <w:sz w:val="20"/>
        </w:rPr>
        <w:t xml:space="preserve"> current. [S015][S016][S017]</w:t>
      </w:r>
    </w:p>
    <w:p>
      <w:pPr>
        <w:pStyle w:val="Heading3"/>
        <w:keepNext/>
      </w:pPr>
      <w:r>
        <w:rPr>
          <w:sz w:val="23"/>
        </w:rPr>
        <w:t>Service Wizard Heating &amp; Air Conditioning</w:t>
      </w:r>
    </w:p>
    <w:p>
      <w:pPr>
        <w:spacing w:after="100" w:line="259" w:lineRule="auto"/>
      </w:pPr>
      <w:r>
        <w:rPr>
          <w:b/>
          <w:sz w:val="20"/>
        </w:rPr>
        <w:t>Current chain:</w:t>
      </w:r>
      <w:r>
        <w:rPr>
          <w:sz w:val="20"/>
        </w:rPr>
        <w:t xml:space="preserve"> Service Wizard → Champions Group Holdings. </w:t>
      </w:r>
      <w:r>
        <w:rPr>
          <w:b/>
          <w:sz w:val="20"/>
        </w:rPr>
        <w:t>Ultimate sponsor:</w:t>
      </w:r>
      <w:r>
        <w:rPr>
          <w:sz w:val="20"/>
        </w:rPr>
        <w:t xml:space="preserve"> unresolved at the snapshot. Odyssey is the last closed sponsor in the record; Blackstone announced an acquisition agreement, but closing was not established. [S023][S024][S025]</w:t>
      </w:r>
    </w:p>
    <w:p>
      <w:pPr>
        <w:pStyle w:val="Heading3"/>
        <w:keepNext/>
      </w:pPr>
      <w:r>
        <w:rPr>
          <w:sz w:val="23"/>
        </w:rPr>
        <w:t>Austin Air Conditioning</w:t>
      </w:r>
    </w:p>
    <w:p>
      <w:pPr>
        <w:spacing w:after="100" w:line="259" w:lineRule="auto"/>
      </w:pPr>
      <w:r>
        <w:rPr>
          <w:b/>
          <w:sz w:val="20"/>
        </w:rPr>
        <w:t>Current chain:</w:t>
      </w:r>
      <w:r>
        <w:rPr>
          <w:sz w:val="20"/>
        </w:rPr>
        <w:t xml:space="preserve"> Austin Air Conditioning → SAS Service Partners → Storr Group. </w:t>
      </w:r>
      <w:r>
        <w:rPr>
          <w:b/>
          <w:sz w:val="20"/>
        </w:rPr>
        <w:t>Seller participation:</w:t>
      </w:r>
      <w:r>
        <w:rPr>
          <w:sz w:val="20"/>
        </w:rPr>
        <w:t xml:space="preserve"> SAS states that the seller rolled substantial equity. </w:t>
      </w:r>
      <w:r>
        <w:rPr>
          <w:b/>
          <w:sz w:val="20"/>
        </w:rPr>
        <w:t>Local wording:</w:t>
      </w:r>
      <w:r>
        <w:rPr>
          <w:sz w:val="20"/>
        </w:rPr>
        <w:t xml:space="preserve"> the brand may be locally operated without being independently locally owned. [S037][S040][S041][S044]</w:t>
      </w:r>
    </w:p>
    <w:p>
      <w:pPr>
        <w:pStyle w:val="Heading3"/>
        <w:keepNext/>
      </w:pPr>
      <w:r>
        <w:rPr>
          <w:sz w:val="23"/>
        </w:rPr>
        <w:t>Ja-Mar Roofing &amp; Sheet Metal</w:t>
      </w:r>
    </w:p>
    <w:p>
      <w:pPr>
        <w:spacing w:after="100" w:line="259" w:lineRule="auto"/>
      </w:pPr>
      <w:r>
        <w:rPr>
          <w:b/>
          <w:sz w:val="20"/>
        </w:rPr>
        <w:t>Current chain:</w:t>
      </w:r>
      <w:r>
        <w:rPr>
          <w:sz w:val="20"/>
        </w:rPr>
        <w:t xml:space="preserve"> Ja-Mar → Roofing Services Solutions → Dunes Point Capital. </w:t>
      </w:r>
      <w:r>
        <w:rPr>
          <w:b/>
          <w:sz w:val="20"/>
        </w:rPr>
        <w:t>Transaction date:</w:t>
      </w:r>
      <w:r>
        <w:rPr>
          <w:sz w:val="20"/>
        </w:rPr>
        <w:t xml:space="preserve"> April 8, 2025. </w:t>
      </w:r>
      <w:r>
        <w:rPr>
          <w:b/>
          <w:sz w:val="20"/>
        </w:rPr>
        <w:t>Local wording:</w:t>
      </w:r>
      <w:r>
        <w:rPr>
          <w:sz w:val="20"/>
        </w:rPr>
        <w:t xml:space="preserve"> current local-company language is not treated as proof that local holders retained control. [S045][S046][S047]</w:t>
      </w:r>
    </w:p>
    <w:p>
      <w:pPr>
        <w:pStyle w:val="Heading3"/>
        <w:keepNext/>
      </w:pPr>
      <w:r>
        <w:rPr>
          <w:sz w:val="23"/>
        </w:rPr>
        <w:t>Groundworks</w:t>
      </w:r>
    </w:p>
    <w:p>
      <w:pPr>
        <w:spacing w:after="100" w:line="259" w:lineRule="auto"/>
      </w:pPr>
      <w:r>
        <w:rPr>
          <w:b/>
          <w:sz w:val="20"/>
        </w:rPr>
        <w:t>Current chain:</w:t>
      </w:r>
      <w:r>
        <w:rPr>
          <w:sz w:val="20"/>
        </w:rPr>
        <w:t xml:space="preserve"> Groundworks → KKR. </w:t>
      </w:r>
      <w:r>
        <w:rPr>
          <w:b/>
          <w:sz w:val="20"/>
        </w:rPr>
        <w:t>Minority investor:</w:t>
      </w:r>
      <w:r>
        <w:rPr>
          <w:sz w:val="20"/>
        </w:rPr>
        <w:t xml:space="preserve"> Cortec retained minority positions after exiting majority control in March 2023. </w:t>
      </w:r>
      <w:r>
        <w:rPr>
          <w:b/>
          <w:sz w:val="20"/>
        </w:rPr>
        <w:t>Austin footprint:</w:t>
      </w:r>
      <w:r>
        <w:rPr>
          <w:sz w:val="20"/>
        </w:rPr>
        <w:t xml:space="preserve"> service-area presence from the San Antonio-area operation. [S048][S049][S050]</w:t>
      </w:r>
    </w:p>
    <w:p>
      <w:pPr>
        <w:pStyle w:val="Heading3"/>
        <w:keepNext/>
      </w:pPr>
      <w:r>
        <w:rPr>
          <w:sz w:val="23"/>
        </w:rPr>
        <w:t>Aptive Environmental</w:t>
      </w:r>
    </w:p>
    <w:p>
      <w:pPr>
        <w:spacing w:after="100" w:line="259" w:lineRule="auto"/>
      </w:pPr>
      <w:r>
        <w:rPr>
          <w:b/>
          <w:sz w:val="20"/>
        </w:rPr>
        <w:t>Current chain:</w:t>
      </w:r>
      <w:r>
        <w:rPr>
          <w:sz w:val="20"/>
        </w:rPr>
        <w:t xml:space="preserve"> Aptive → Citation Capital. </w:t>
      </w:r>
      <w:r>
        <w:rPr>
          <w:b/>
          <w:sz w:val="20"/>
        </w:rPr>
        <w:t>Interest:</w:t>
      </w:r>
      <w:r>
        <w:rPr>
          <w:sz w:val="20"/>
        </w:rPr>
        <w:t xml:space="preserve"> Citation acquired a majority stake in August 2024; management retained a significant interest. </w:t>
      </w:r>
      <w:r>
        <w:rPr>
          <w:b/>
          <w:sz w:val="20"/>
        </w:rPr>
        <w:t>Austin footprint:</w:t>
      </w:r>
      <w:r>
        <w:rPr>
          <w:sz w:val="20"/>
        </w:rPr>
        <w:t xml:space="preserve"> current North Lamar branch page. [S052][S053]</w:t>
      </w:r>
    </w:p>
    <w:p>
      <w:pPr>
        <w:pStyle w:val="Heading3"/>
        <w:keepNext/>
      </w:pPr>
      <w:r>
        <w:rPr>
          <w:sz w:val="23"/>
        </w:rPr>
        <w:t>Alta Pest Control</w:t>
      </w:r>
    </w:p>
    <w:p>
      <w:pPr>
        <w:spacing w:after="100" w:line="259" w:lineRule="auto"/>
      </w:pPr>
      <w:r>
        <w:rPr>
          <w:b/>
          <w:sz w:val="20"/>
        </w:rPr>
        <w:t>Current chain:</w:t>
      </w:r>
      <w:r>
        <w:rPr>
          <w:sz w:val="20"/>
        </w:rPr>
        <w:t xml:space="preserve"> founders and management retain control. </w:t>
      </w:r>
      <w:r>
        <w:rPr>
          <w:b/>
          <w:sz w:val="20"/>
        </w:rPr>
        <w:t>Outside capital:</w:t>
      </w:r>
      <w:r>
        <w:rPr>
          <w:sz w:val="20"/>
        </w:rPr>
        <w:t xml:space="preserve"> Trivest holds a non-control minority investment. </w:t>
      </w:r>
      <w:r>
        <w:rPr>
          <w:b/>
          <w:sz w:val="20"/>
        </w:rPr>
        <w:t>Classification:</w:t>
      </w:r>
      <w:r>
        <w:rPr>
          <w:sz w:val="20"/>
        </w:rPr>
        <w:t xml:space="preserve"> minority-invested, founder-controlled, not sponsor-controlled. [S054][S149]</w:t>
      </w:r>
    </w:p>
    <w:p>
      <w:pPr>
        <w:pStyle w:val="Heading3"/>
        <w:keepNext/>
      </w:pPr>
      <w:r>
        <w:rPr>
          <w:sz w:val="23"/>
        </w:rPr>
        <w:t>Mr. Rooter Plumbing of Austin</w:t>
      </w:r>
    </w:p>
    <w:p>
      <w:pPr>
        <w:spacing w:after="100" w:line="259" w:lineRule="auto"/>
      </w:pPr>
      <w:r>
        <w:rPr>
          <w:b/>
          <w:sz w:val="20"/>
        </w:rPr>
        <w:t>Current chain:</w:t>
      </w:r>
      <w:r>
        <w:rPr>
          <w:sz w:val="20"/>
        </w:rPr>
        <w:t xml:space="preserve"> Austin franchisee owned by Brett Bidwell → franchise of Neighborly. </w:t>
      </w:r>
      <w:r>
        <w:rPr>
          <w:b/>
          <w:sz w:val="20"/>
        </w:rPr>
        <w:t>Franchisor owner:</w:t>
      </w:r>
      <w:r>
        <w:rPr>
          <w:sz w:val="20"/>
        </w:rPr>
        <w:t xml:space="preserve"> KKR. </w:t>
      </w:r>
      <w:r>
        <w:rPr>
          <w:b/>
          <w:sz w:val="20"/>
        </w:rPr>
        <w:t>Boundary:</w:t>
      </w:r>
      <w:r>
        <w:rPr>
          <w:sz w:val="20"/>
        </w:rPr>
        <w:t xml:space="preserve"> KKR’s ownership stops at Neighborly unless separate evidence shows direct ownership of the Austin franchisee. [S029][S030]</w:t>
      </w:r>
    </w:p>
    <w:p>
      <w:pPr>
        <w:pStyle w:val="Heading3"/>
        <w:keepNext/>
      </w:pPr>
      <w:r>
        <w:rPr>
          <w:sz w:val="23"/>
        </w:rPr>
        <w:t>Terminix</w:t>
      </w:r>
    </w:p>
    <w:p>
      <w:pPr>
        <w:spacing w:after="100" w:line="259" w:lineRule="auto"/>
      </w:pPr>
      <w:r>
        <w:rPr>
          <w:b/>
          <w:sz w:val="20"/>
        </w:rPr>
        <w:t>Current chain:</w:t>
      </w:r>
      <w:r>
        <w:rPr>
          <w:sz w:val="20"/>
        </w:rPr>
        <w:t xml:space="preserve"> Terminix → Rentokil Initial plc through Rentokil North America. </w:t>
      </w:r>
      <w:r>
        <w:rPr>
          <w:b/>
          <w:sz w:val="20"/>
        </w:rPr>
        <w:t>Transaction:</w:t>
      </w:r>
      <w:r>
        <w:rPr>
          <w:sz w:val="20"/>
        </w:rPr>
        <w:t xml:space="preserve"> Rentokil completed the acquisition on October 12, 2022. </w:t>
      </w:r>
      <w:r>
        <w:rPr>
          <w:b/>
          <w:sz w:val="20"/>
        </w:rPr>
        <w:t>Austin footprint:</w:t>
      </w:r>
      <w:r>
        <w:rPr>
          <w:sz w:val="20"/>
        </w:rPr>
        <w:t xml:space="preserve"> current branch page. [S057][S154]</w:t>
      </w:r>
    </w:p>
    <w:p>
      <w:pPr>
        <w:pStyle w:val="Heading3"/>
        <w:keepNext/>
      </w:pPr>
      <w:r>
        <w:rPr>
          <w:sz w:val="23"/>
        </w:rPr>
        <w:t>Baird Foundation Repair</w:t>
      </w:r>
    </w:p>
    <w:p>
      <w:pPr>
        <w:spacing w:after="100" w:line="259" w:lineRule="auto"/>
      </w:pPr>
      <w:r>
        <w:rPr>
          <w:b/>
          <w:sz w:val="20"/>
        </w:rPr>
        <w:t>Current chain:</w:t>
      </w:r>
      <w:r>
        <w:rPr>
          <w:sz w:val="20"/>
        </w:rPr>
        <w:t xml:space="preserve"> Baird → John and Melanie Baird. </w:t>
      </w:r>
      <w:r>
        <w:rPr>
          <w:b/>
          <w:sz w:val="20"/>
        </w:rPr>
        <w:t>Interest:</w:t>
      </w:r>
      <w:r>
        <w:rPr>
          <w:sz w:val="20"/>
        </w:rPr>
        <w:t xml:space="preserve"> the current company says they have been sole owners since 1987. </w:t>
      </w:r>
      <w:r>
        <w:rPr>
          <w:b/>
          <w:sz w:val="20"/>
        </w:rPr>
        <w:t>Status:</w:t>
      </w:r>
      <w:r>
        <w:rPr>
          <w:sz w:val="20"/>
        </w:rPr>
        <w:t xml:space="preserve"> current family ownership with A-rated evidence. [S134]</w:t>
      </w:r>
    </w:p>
    <w:p>
      <w:pPr>
        <w:pStyle w:val="Heading2"/>
        <w:keepNext/>
      </w:pPr>
      <w:r>
        <w:rPr>
          <w:sz w:val="29"/>
        </w:rPr>
        <w:t>How ownership was verified</w:t>
      </w:r>
    </w:p>
    <w:p>
      <w:pPr>
        <w:spacing w:after="100" w:line="259" w:lineRule="auto"/>
      </w:pPr>
      <w:r>
        <w:rPr>
          <w:sz w:val="20"/>
        </w:rPr>
        <w:t>The research used a current-owner test. A transaction announcement establishes that a deal was announced or closed at a point in time. It does not, by itself, establish the owner on July 26, 2026. A current chain normally required both a transaction or legal source and a current portfolio, parent, brand, terms or corporate source.</w:t>
      </w:r>
    </w:p>
    <w:p>
      <w:pPr>
        <w:spacing w:after="100" w:line="259" w:lineRule="auto"/>
      </w:pPr>
      <w:r>
        <w:rPr>
          <w:sz w:val="20"/>
        </w:rPr>
        <w:t>Evidence priority ran in this order: current legal terms and regulatory records; current parent or sponsor portfolio pages; completed transaction announcements; current official brand and location pages; state or trade-license records; BBB and trade-association identity records; reputable secondary reporting; and lead-only sources. Syndicated copies of the same press release count as one independence group.</w:t>
      </w:r>
    </w:p>
    <w:p>
      <w:pPr>
        <w:spacing w:after="100" w:line="259" w:lineRule="auto"/>
      </w:pPr>
      <w:r>
        <w:rPr>
          <w:sz w:val="20"/>
        </w:rPr>
        <w:t>Evidence ratings are simple:</w:t>
      </w:r>
    </w:p>
    <w:p>
      <w:pPr>
        <w:pStyle w:val="ListBullet"/>
        <w:spacing w:after="40"/>
      </w:pPr>
      <w:r>
        <w:rPr>
          <w:b/>
          <w:sz w:val="20"/>
        </w:rPr>
        <w:t>A:</w:t>
      </w:r>
      <w:r>
        <w:rPr>
          <w:sz w:val="20"/>
        </w:rPr>
        <w:t xml:space="preserve"> current direct primary evidence, usually with a second current or transaction source.</w:t>
      </w:r>
    </w:p>
    <w:p>
      <w:pPr>
        <w:pStyle w:val="ListBullet"/>
        <w:spacing w:after="40"/>
      </w:pPr>
      <w:r>
        <w:rPr>
          <w:b/>
          <w:sz w:val="20"/>
        </w:rPr>
        <w:t>B:</w:t>
      </w:r>
      <w:r>
        <w:rPr>
          <w:sz w:val="20"/>
        </w:rPr>
        <w:t xml:space="preserve"> strong current evidence with a missing intermediate entity, percentage or second independent source.</w:t>
      </w:r>
    </w:p>
    <w:p>
      <w:pPr>
        <w:pStyle w:val="ListBullet"/>
        <w:spacing w:after="40"/>
      </w:pPr>
      <w:r>
        <w:rPr>
          <w:b/>
          <w:sz w:val="20"/>
        </w:rPr>
        <w:t>C:</w:t>
      </w:r>
      <w:r>
        <w:rPr>
          <w:sz w:val="20"/>
        </w:rPr>
        <w:t xml:space="preserve"> current self-report, credible identity lead or stale relationship that needs another record.</w:t>
      </w:r>
    </w:p>
    <w:p>
      <w:pPr>
        <w:pStyle w:val="ListBullet"/>
        <w:spacing w:after="40"/>
      </w:pPr>
      <w:r>
        <w:rPr>
          <w:b/>
          <w:sz w:val="20"/>
        </w:rPr>
        <w:t>D:</w:t>
      </w:r>
      <w:r>
        <w:rPr>
          <w:sz w:val="20"/>
        </w:rPr>
        <w:t xml:space="preserve"> unresolved, conflicting or lead-only evidence. The brand may still be included as a real operator, but its controller is not published as settled.</w:t>
      </w:r>
    </w:p>
    <w:p>
      <w:pPr>
        <w:spacing w:after="100" w:line="259" w:lineRule="auto"/>
      </w:pPr>
      <w:r>
        <w:rPr>
          <w:sz w:val="20"/>
        </w:rPr>
        <w:t>Austin presence required a current official branch, office, franchise territory or service-area page. A dispatch-based company can qualify, but the presence type is labeled. A city landing page alone was not enough when the site looked generic or could not be tied to an operating identity.</w:t>
      </w:r>
    </w:p>
    <w:p>
      <w:pPr>
        <w:spacing w:after="100" w:line="259" w:lineRule="auto"/>
      </w:pPr>
      <w:r>
        <w:rPr>
          <w:sz w:val="20"/>
        </w:rPr>
        <w:t>The original Model A report was useful for discovery but its eight named structured files were not present in the uploaded DOCX. Model B stated that it had not received those files. The master data therefore had to be rebuilt rather than merged. Several Model B citations were rejected, including a Fox careers page used for Precision and a Fox News URL used for Daniel’s. The corrected dataset links those relationships to Southern and Gryphon primary evidence.</w:t>
      </w:r>
    </w:p>
    <w:p>
      <w:pPr>
        <w:pStyle w:val="Heading2"/>
        <w:keepNext/>
      </w:pPr>
      <w:r>
        <w:rPr>
          <w:sz w:val="29"/>
        </w:rPr>
        <w:t>What the data cannot establish</w:t>
      </w:r>
    </w:p>
    <w:p>
      <w:pPr>
        <w:spacing w:after="100" w:line="259" w:lineRule="auto"/>
      </w:pPr>
      <w:r>
        <w:rPr>
          <w:sz w:val="20"/>
        </w:rPr>
        <w:t>This is an ownership and observable-footprint database. It is not a revenue census.</w:t>
      </w:r>
    </w:p>
    <w:p>
      <w:pPr>
        <w:spacing w:after="100" w:line="259" w:lineRule="auto"/>
      </w:pPr>
      <w:r>
        <w:rPr>
          <w:sz w:val="20"/>
        </w:rPr>
        <w:t>The 20.9% sponsor-backed figure means 14 of 67 consumer-brand records in this reconstructed universe sit in sponsor-backed operating platforms. It does not mean private equity has 20.9% of Austin home-service revenue, jobs, customers, permits, trucks, calls or search demand. A platform can own several brands; one brand can operate several locations; a small specialist and a large multi-trade company each count once.</w:t>
      </w:r>
    </w:p>
    <w:p>
      <w:pPr>
        <w:spacing w:after="100" w:line="259" w:lineRule="auto"/>
      </w:pPr>
      <w:r>
        <w:rPr>
          <w:sz w:val="20"/>
        </w:rPr>
        <w:t>Permit counts would have their own limits. The permit applicant may be a builder, subcontractor, employee, affiliate or old entity name. License files identify regulated businesses but do not measure sales. Review totals are platform-dependent and vulnerable to listing age, mergers and solicitation practices. Search visibility measures demand capture, not completed work. Locations can be offices, warehouses, call centers, franchise territories or dispatch points.</w:t>
      </w:r>
    </w:p>
    <w:p>
      <w:pPr>
        <w:spacing w:after="100" w:line="259" w:lineRule="auto"/>
      </w:pPr>
      <w:r>
        <w:rPr>
          <w:sz w:val="20"/>
        </w:rPr>
        <w:t>The census is also incomplete at the small-operator tail. Hutto, Manor, Bee Cave, Dripping Springs, Buda, Kyle, Georgetown and Leander likely contain additional licensed or low-visibility operators. The dataset is described as a reconstructed publication universe, not a complete count of every eligible contractor.</w:t>
      </w:r>
    </w:p>
    <w:p>
      <w:pPr>
        <w:spacing w:after="100" w:line="259" w:lineRule="auto"/>
      </w:pPr>
      <w:r>
        <w:rPr>
          <w:sz w:val="20"/>
        </w:rPr>
        <w:t>The data cannot show that ownership caused a change in pricing, service quality, employment or customer outcomes. That would require before-and-after operating data, a valid comparison group and controls for inflation, labor, materials, weather, demand and business mix. No such causal claim is made here.</w:t>
      </w:r>
    </w:p>
    <w:p>
      <w:pPr>
        <w:pStyle w:val="Heading2"/>
        <w:keepNext/>
      </w:pPr>
      <w:r>
        <w:rPr>
          <w:sz w:val="29"/>
        </w:rPr>
        <w:t>Corrections and updates</w:t>
      </w:r>
    </w:p>
    <w:p>
      <w:pPr>
        <w:spacing w:after="100" w:line="259" w:lineRule="auto"/>
      </w:pPr>
      <w:r>
        <w:rPr>
          <w:sz w:val="20"/>
        </w:rPr>
        <w:t>Companies, owners, investors, reporters and readers can submit a correction with the affected brand, the disputed field, the proposed replacement, the effective date and direct supporting evidence. Useful evidence includes current legal terms, state filings, license records, closing announcements, sponsor portfolio pages, signed company statements and current franchisee documents.</w:t>
      </w:r>
    </w:p>
    <w:p>
      <w:pPr>
        <w:spacing w:after="100" w:line="259" w:lineRule="auto"/>
      </w:pPr>
      <w:r>
        <w:rPr>
          <w:sz w:val="20"/>
        </w:rPr>
        <w:t>A submission will not overwrite the public record silently. Accepted changes will update the relevant CSV and JSON rows, preserve the prior value, cite the new evidence and appear in the changelog with an effective date. Disputed records remain visibly unresolved until the evidence supports a conclusion.</w:t>
      </w:r>
    </w:p>
    <w:p>
      <w:pPr>
        <w:spacing w:after="100" w:line="259" w:lineRule="auto"/>
      </w:pPr>
      <w:r>
        <w:rPr>
          <w:sz w:val="20"/>
        </w:rPr>
        <w:t>The full data package includes the brand, entity, relationship, transaction, evidence, footprint, conflict and unresolved tables; a JSON graph; the methodology; and a reproducible changelog. The point is not to make the map look complete. It is to make every published chain inspectable.</w:t>
      </w:r>
    </w:p>
    <w:p>
      <w:r>
        <w:br w:type="page"/>
      </w:r>
    </w:p>
    <w:p>
      <w:pPr>
        <w:pStyle w:val="Heading1"/>
        <w:keepNext/>
      </w:pPr>
      <w:r>
        <w:rPr>
          <w:sz w:val="38"/>
        </w:rPr>
        <w:t>Methodology</w:t>
      </w:r>
    </w:p>
    <w:p>
      <w:pPr>
        <w:pStyle w:val="Heading2"/>
        <w:keepNext/>
      </w:pPr>
      <w:r>
        <w:rPr>
          <w:sz w:val="29"/>
        </w:rPr>
        <w:t>Purpose and snapshot</w:t>
      </w:r>
    </w:p>
    <w:p>
      <w:pPr>
        <w:spacing w:after="100" w:line="259" w:lineRule="auto"/>
      </w:pPr>
      <w:r>
        <w:rPr>
          <w:sz w:val="19"/>
        </w:rPr>
        <w:t xml:space="preserve">This database maps ownership relationships behind consumer-facing residential home-service brands that advertised or documented current service in the Austin area on </w:t>
      </w:r>
      <w:r>
        <w:rPr>
          <w:b/>
          <w:sz w:val="19"/>
        </w:rPr>
        <w:t>2026-07-26</w:t>
      </w:r>
      <w:r>
        <w:rPr>
          <w:sz w:val="19"/>
        </w:rPr>
        <w:t>. It covers HVAC, plumbing, residential electrical when bundled with HVAC or plumbing, roofing and exterior services, foundation repair, and structural pest control.</w:t>
      </w:r>
    </w:p>
    <w:p>
      <w:pPr>
        <w:spacing w:after="100" w:line="259" w:lineRule="auto"/>
      </w:pPr>
      <w:r>
        <w:rPr>
          <w:sz w:val="19"/>
        </w:rPr>
        <w:t xml:space="preserve">The published denominator is </w:t>
      </w:r>
      <w:r>
        <w:rPr>
          <w:b/>
          <w:sz w:val="19"/>
        </w:rPr>
        <w:t>67 active Austin-facing brands</w:t>
      </w:r>
      <w:r>
        <w:rPr>
          <w:sz w:val="19"/>
        </w:rPr>
        <w:t>. It is a reconstructed publication universe, not a claim that every eligible contractor in the Austin metropolitan area has been found.</w:t>
      </w:r>
    </w:p>
    <w:p>
      <w:pPr>
        <w:pStyle w:val="Heading2"/>
        <w:keepNext/>
      </w:pPr>
      <w:r>
        <w:rPr>
          <w:sz w:val="29"/>
        </w:rPr>
        <w:t>Unit of analysis</w:t>
      </w:r>
    </w:p>
    <w:p>
      <w:pPr>
        <w:spacing w:after="100" w:line="259" w:lineRule="auto"/>
      </w:pPr>
      <w:r>
        <w:rPr>
          <w:sz w:val="19"/>
        </w:rPr>
        <w:t xml:space="preserve">The primary counting unit is the </w:t>
      </w:r>
      <w:r>
        <w:rPr>
          <w:b/>
          <w:sz w:val="19"/>
        </w:rPr>
        <w:t>consumer-facing brand</w:t>
      </w:r>
      <w:r>
        <w:rPr>
          <w:sz w:val="19"/>
        </w:rPr>
        <w:t>, not the legal entity, office, license, location, sponsor or website. Separate tables represent:</w:t>
      </w:r>
    </w:p>
    <w:p>
      <w:pPr>
        <w:pStyle w:val="ListBullet"/>
        <w:spacing w:after="40"/>
      </w:pPr>
      <w:r>
        <w:rPr>
          <w:sz w:val="19"/>
        </w:rPr>
        <w:t>Brand</w:t>
      </w:r>
    </w:p>
    <w:p>
      <w:pPr>
        <w:pStyle w:val="ListBullet"/>
        <w:spacing w:after="40"/>
      </w:pPr>
      <w:r>
        <w:rPr>
          <w:sz w:val="19"/>
        </w:rPr>
        <w:t>Legal entity</w:t>
      </w:r>
    </w:p>
    <w:p>
      <w:pPr>
        <w:pStyle w:val="ListBullet"/>
        <w:spacing w:after="40"/>
      </w:pPr>
      <w:r>
        <w:rPr>
          <w:sz w:val="19"/>
        </w:rPr>
        <w:t>DBA</w:t>
      </w:r>
    </w:p>
    <w:p>
      <w:pPr>
        <w:pStyle w:val="ListBullet"/>
        <w:spacing w:after="40"/>
      </w:pPr>
      <w:r>
        <w:rPr>
          <w:sz w:val="19"/>
        </w:rPr>
        <w:t>Location or service footprint</w:t>
      </w:r>
    </w:p>
    <w:p>
      <w:pPr>
        <w:pStyle w:val="ListBullet"/>
        <w:spacing w:after="40"/>
      </w:pPr>
      <w:r>
        <w:rPr>
          <w:sz w:val="19"/>
        </w:rPr>
        <w:t>Local franchisee</w:t>
      </w:r>
    </w:p>
    <w:p>
      <w:pPr>
        <w:pStyle w:val="ListBullet"/>
        <w:spacing w:after="40"/>
      </w:pPr>
      <w:r>
        <w:rPr>
          <w:sz w:val="19"/>
        </w:rPr>
        <w:t>Franchise system</w:t>
      </w:r>
    </w:p>
    <w:p>
      <w:pPr>
        <w:pStyle w:val="ListBullet"/>
        <w:spacing w:after="40"/>
      </w:pPr>
      <w:r>
        <w:rPr>
          <w:sz w:val="19"/>
        </w:rPr>
        <w:t>Platform</w:t>
      </w:r>
    </w:p>
    <w:p>
      <w:pPr>
        <w:pStyle w:val="ListBullet"/>
        <w:spacing w:after="40"/>
      </w:pPr>
      <w:r>
        <w:rPr>
          <w:sz w:val="19"/>
        </w:rPr>
        <w:t>Holding company</w:t>
      </w:r>
    </w:p>
    <w:p>
      <w:pPr>
        <w:pStyle w:val="ListBullet"/>
        <w:spacing w:after="40"/>
      </w:pPr>
      <w:r>
        <w:rPr>
          <w:sz w:val="19"/>
        </w:rPr>
        <w:t>Sponsor</w:t>
      </w:r>
    </w:p>
    <w:p>
      <w:pPr>
        <w:pStyle w:val="ListBullet"/>
        <w:spacing w:after="40"/>
      </w:pPr>
      <w:r>
        <w:rPr>
          <w:sz w:val="19"/>
        </w:rPr>
        <w:t>Public parent</w:t>
      </w:r>
    </w:p>
    <w:p>
      <w:pPr>
        <w:pStyle w:val="ListBullet"/>
        <w:spacing w:after="40"/>
      </w:pPr>
      <w:r>
        <w:rPr>
          <w:sz w:val="19"/>
        </w:rPr>
        <w:t>Founder or family owner</w:t>
      </w:r>
    </w:p>
    <w:p>
      <w:pPr>
        <w:spacing w:after="100" w:line="259" w:lineRule="auto"/>
      </w:pPr>
      <w:r>
        <w:rPr>
          <w:sz w:val="19"/>
        </w:rPr>
        <w:t>A brand can map to several entities. Several brands can map to one platform. A franchise system is not treated as the direct owner of a local franchisee unless direct ownership is independently documented.</w:t>
      </w:r>
    </w:p>
    <w:p>
      <w:pPr>
        <w:pStyle w:val="Heading2"/>
        <w:keepNext/>
      </w:pPr>
      <w:r>
        <w:rPr>
          <w:sz w:val="29"/>
        </w:rPr>
        <w:t>Geographic inclusion</w:t>
      </w:r>
    </w:p>
    <w:p>
      <w:pPr>
        <w:spacing w:after="100" w:line="259" w:lineRule="auto"/>
      </w:pPr>
      <w:r>
        <w:rPr>
          <w:sz w:val="19"/>
        </w:rPr>
        <w:t>A brand qualifies when a current official source documents an Austin-area office, branch, franchise territory or service area. The working geography includes Austin, Round Rock, Pflugerville, Cedar Park, Leander, Georgetown, Hutto, Manor, Lakeway, Bee Cave, Dripping Springs, Buda, Kyle and other localities a company expressly includes in its Austin or Greater Austin territory.</w:t>
      </w:r>
    </w:p>
    <w:p>
      <w:pPr>
        <w:spacing w:after="100" w:line="259" w:lineRule="auto"/>
      </w:pPr>
      <w:r>
        <w:rPr>
          <w:sz w:val="19"/>
        </w:rPr>
        <w:t>Presence types are labeled:</w:t>
      </w:r>
    </w:p>
    <w:p>
      <w:pPr>
        <w:pStyle w:val="ListBullet"/>
        <w:spacing w:after="40"/>
      </w:pPr>
      <w:r>
        <w:rPr>
          <w:sz w:val="19"/>
        </w:rPr>
        <w:t>Office or branch</w:t>
      </w:r>
    </w:p>
    <w:p>
      <w:pPr>
        <w:pStyle w:val="ListBullet"/>
        <w:spacing w:after="40"/>
      </w:pPr>
      <w:r>
        <w:rPr>
          <w:sz w:val="19"/>
        </w:rPr>
        <w:t>Headquarters or local base</w:t>
      </w:r>
    </w:p>
    <w:p>
      <w:pPr>
        <w:pStyle w:val="ListBullet"/>
        <w:spacing w:after="40"/>
      </w:pPr>
      <w:r>
        <w:rPr>
          <w:sz w:val="19"/>
        </w:rPr>
        <w:t>Franchise territory</w:t>
      </w:r>
    </w:p>
    <w:p>
      <w:pPr>
        <w:pStyle w:val="ListBullet"/>
        <w:spacing w:after="40"/>
      </w:pPr>
      <w:r>
        <w:rPr>
          <w:sz w:val="19"/>
        </w:rPr>
        <w:t>Service-area / dispatch presence</w:t>
      </w:r>
    </w:p>
    <w:p>
      <w:pPr>
        <w:pStyle w:val="ListBullet"/>
        <w:spacing w:after="40"/>
      </w:pPr>
      <w:r>
        <w:rPr>
          <w:sz w:val="19"/>
        </w:rPr>
        <w:t>Current brand page without a separately verified location</w:t>
      </w:r>
    </w:p>
    <w:p>
      <w:pPr>
        <w:spacing w:after="100" w:line="259" w:lineRule="auto"/>
      </w:pPr>
      <w:r>
        <w:rPr>
          <w:sz w:val="19"/>
        </w:rPr>
        <w:t>A generic city page was not sufficient when it could not be tied to a real operating identity.</w:t>
      </w:r>
    </w:p>
    <w:p>
      <w:pPr>
        <w:pStyle w:val="Heading2"/>
        <w:keepNext/>
      </w:pPr>
      <w:r>
        <w:rPr>
          <w:sz w:val="29"/>
        </w:rPr>
        <w:t>Census reconstruction</w:t>
      </w:r>
    </w:p>
    <w:p>
      <w:pPr>
        <w:spacing w:after="100" w:line="259" w:lineRule="auto"/>
      </w:pPr>
      <w:r>
        <w:rPr>
          <w:sz w:val="19"/>
        </w:rPr>
        <w:t>Model A named eight structured deliverables, but those files were not embedded in its DOCX or separately uploaded. Model B stated that it did not receive Model A’s files. The final database was therefore reconstructed from the two narrative reports, their cited leads, direct source review and additional gap searches. [I001][I002]</w:t>
      </w:r>
    </w:p>
    <w:p>
      <w:pPr>
        <w:spacing w:after="100" w:line="259" w:lineRule="auto"/>
      </w:pPr>
      <w:r>
        <w:rPr>
          <w:sz w:val="19"/>
        </w:rPr>
        <w:t xml:space="preserve">The reconstruction added or restored multiple current operators, including the SAS Service Partners/Storr cluster, Ja-Mar, Quality Foundation Repair and several local plumbing, roofing, foundation and pest companies. Historical or absorbed brands remain in </w:t>
      </w:r>
      <w:r>
        <w:rPr>
          <w:rFonts w:ascii="Liberation Mono" w:hAnsi="Liberation Mono"/>
          <w:sz w:val="18"/>
        </w:rPr>
        <w:t>master_brands.csv</w:t>
      </w:r>
      <w:r>
        <w:rPr>
          <w:sz w:val="19"/>
        </w:rPr>
        <w:t xml:space="preserve"> with a non-denominator status.</w:t>
      </w:r>
    </w:p>
    <w:p>
      <w:pPr>
        <w:pStyle w:val="Heading2"/>
        <w:keepNext/>
      </w:pPr>
      <w:r>
        <w:rPr>
          <w:sz w:val="29"/>
        </w:rPr>
        <w:t>Current-owner test</w:t>
      </w:r>
    </w:p>
    <w:p>
      <w:pPr>
        <w:spacing w:after="100" w:line="259" w:lineRule="auto"/>
      </w:pPr>
      <w:r>
        <w:rPr>
          <w:sz w:val="19"/>
        </w:rPr>
        <w:t>An old acquisition announcement does not automatically establish current ownership. A current relationship normally requires:</w:t>
      </w:r>
    </w:p>
    <w:p>
      <w:pPr>
        <w:spacing w:after="30"/>
        <w:ind w:left="346" w:hanging="288"/>
      </w:pPr>
      <w:r>
        <w:rPr>
          <w:b/>
          <w:sz w:val="19"/>
        </w:rPr>
        <w:t xml:space="preserve">1. </w:t>
      </w:r>
      <w:r>
        <w:rPr>
          <w:sz w:val="19"/>
        </w:rPr>
        <w:t>Direct evidence that the transaction closed or the relationship existed; and</w:t>
      </w:r>
    </w:p>
    <w:p>
      <w:pPr>
        <w:spacing w:after="30"/>
        <w:ind w:left="346" w:hanging="288"/>
      </w:pPr>
      <w:r>
        <w:rPr>
          <w:b/>
          <w:sz w:val="19"/>
        </w:rPr>
        <w:t xml:space="preserve">2. </w:t>
      </w:r>
      <w:r>
        <w:rPr>
          <w:sz w:val="19"/>
        </w:rPr>
        <w:t>Current evidence that the parent, sponsor, platform or brand relationship remained in force at the snapshot.</w:t>
      </w:r>
    </w:p>
    <w:p>
      <w:pPr>
        <w:spacing w:after="100" w:line="259" w:lineRule="auto"/>
      </w:pPr>
      <w:r>
        <w:rPr>
          <w:sz w:val="19"/>
        </w:rPr>
        <w:t>Current evidence can include a sponsor portfolio page, parent brand list, privacy policy, terms, annual report, current company page or regulatory record.</w:t>
      </w:r>
    </w:p>
    <w:p>
      <w:pPr>
        <w:spacing w:after="100" w:line="259" w:lineRule="auto"/>
      </w:pPr>
      <w:r>
        <w:rPr>
          <w:sz w:val="19"/>
        </w:rPr>
        <w:t>Pending agreements are not promoted to current ownership. The Blackstone-Champions agreement is recorded as pending because no closing confirmation was located before the snapshot. Former sponsors are kept in the transaction table and removed from current chains.</w:t>
      </w:r>
    </w:p>
    <w:p>
      <w:pPr>
        <w:pStyle w:val="Heading2"/>
        <w:keepNext/>
      </w:pPr>
      <w:r>
        <w:rPr>
          <w:sz w:val="29"/>
        </w:rPr>
        <w:t>Source hierarchy</w:t>
      </w:r>
    </w:p>
    <w:p>
      <w:pPr>
        <w:spacing w:after="30"/>
        <w:ind w:left="346" w:hanging="288"/>
      </w:pPr>
      <w:r>
        <w:rPr>
          <w:b/>
          <w:sz w:val="19"/>
        </w:rPr>
        <w:t xml:space="preserve">1. </w:t>
      </w:r>
      <w:r>
        <w:rPr>
          <w:sz w:val="19"/>
        </w:rPr>
        <w:t>Current legal terms, privacy policies, state filings and regulatory/license records</w:t>
      </w:r>
    </w:p>
    <w:p>
      <w:pPr>
        <w:spacing w:after="30"/>
        <w:ind w:left="346" w:hanging="288"/>
      </w:pPr>
      <w:r>
        <w:rPr>
          <w:b/>
          <w:sz w:val="19"/>
        </w:rPr>
        <w:t xml:space="preserve">2. </w:t>
      </w:r>
      <w:r>
        <w:rPr>
          <w:sz w:val="19"/>
        </w:rPr>
        <w:t>Current parent, sponsor, platform and public-company disclosures</w:t>
      </w:r>
    </w:p>
    <w:p>
      <w:pPr>
        <w:spacing w:after="30"/>
        <w:ind w:left="346" w:hanging="288"/>
      </w:pPr>
      <w:r>
        <w:rPr>
          <w:b/>
          <w:sz w:val="19"/>
        </w:rPr>
        <w:t xml:space="preserve">3. </w:t>
      </w:r>
      <w:r>
        <w:rPr>
          <w:sz w:val="19"/>
        </w:rPr>
        <w:t>Completed transaction announcements from buyer, seller, target or adviser</w:t>
      </w:r>
    </w:p>
    <w:p>
      <w:pPr>
        <w:spacing w:after="30"/>
        <w:ind w:left="346" w:hanging="288"/>
      </w:pPr>
      <w:r>
        <w:rPr>
          <w:b/>
          <w:sz w:val="19"/>
        </w:rPr>
        <w:t xml:space="preserve">4. </w:t>
      </w:r>
      <w:r>
        <w:rPr>
          <w:sz w:val="19"/>
        </w:rPr>
        <w:t>Current official brand, branch and service-area pages</w:t>
      </w:r>
    </w:p>
    <w:p>
      <w:pPr>
        <w:spacing w:after="30"/>
        <w:ind w:left="346" w:hanging="288"/>
      </w:pPr>
      <w:r>
        <w:rPr>
          <w:b/>
          <w:sz w:val="19"/>
        </w:rPr>
        <w:t xml:space="preserve">5. </w:t>
      </w:r>
      <w:r>
        <w:rPr>
          <w:sz w:val="19"/>
        </w:rPr>
        <w:t>BBB, trade-association and certification identity records</w:t>
      </w:r>
    </w:p>
    <w:p>
      <w:pPr>
        <w:spacing w:after="30"/>
        <w:ind w:left="346" w:hanging="288"/>
      </w:pPr>
      <w:r>
        <w:rPr>
          <w:b/>
          <w:sz w:val="19"/>
        </w:rPr>
        <w:t xml:space="preserve">6. </w:t>
      </w:r>
      <w:r>
        <w:rPr>
          <w:sz w:val="19"/>
        </w:rPr>
        <w:t>Reputable secondary reporting</w:t>
      </w:r>
    </w:p>
    <w:p>
      <w:pPr>
        <w:spacing w:after="30"/>
        <w:ind w:left="346" w:hanging="288"/>
      </w:pPr>
      <w:r>
        <w:rPr>
          <w:b/>
          <w:sz w:val="19"/>
        </w:rPr>
        <w:t xml:space="preserve">7. </w:t>
      </w:r>
      <w:r>
        <w:rPr>
          <w:sz w:val="19"/>
        </w:rPr>
        <w:t>Social, job, directory and search-result leads</w:t>
      </w:r>
    </w:p>
    <w:p>
      <w:pPr>
        <w:spacing w:after="100" w:line="259" w:lineRule="auto"/>
      </w:pPr>
      <w:r>
        <w:rPr>
          <w:sz w:val="19"/>
        </w:rPr>
        <w:t>Lead-only sources can generate an unresolved question. They do not establish ownership.</w:t>
      </w:r>
    </w:p>
    <w:p>
      <w:pPr>
        <w:pStyle w:val="Heading2"/>
        <w:keepNext/>
      </w:pPr>
      <w:r>
        <w:rPr>
          <w:sz w:val="29"/>
        </w:rPr>
        <w:t>Source independence</w:t>
      </w:r>
    </w:p>
    <w:p>
      <w:pPr>
        <w:spacing w:after="100" w:line="259" w:lineRule="auto"/>
      </w:pPr>
      <w:r>
        <w:rPr>
          <w:sz w:val="19"/>
        </w:rPr>
        <w:t xml:space="preserve">Two URLs do not equal two independent sources when both reproduce the same release. Each source has an </w:t>
      </w:r>
      <w:r>
        <w:rPr>
          <w:rFonts w:ascii="Liberation Mono" w:hAnsi="Liberation Mono"/>
          <w:sz w:val="18"/>
        </w:rPr>
        <w:t>independence_group</w:t>
      </w:r>
      <w:r>
        <w:rPr>
          <w:sz w:val="19"/>
        </w:rPr>
        <w:t>. Syndicated press releases, portfolio excerpts copied from the target, and search snippets from the same underlying page are treated as one evidence family.</w:t>
      </w:r>
    </w:p>
    <w:p>
      <w:pPr>
        <w:spacing w:after="100" w:line="259" w:lineRule="auto"/>
      </w:pPr>
      <w:r>
        <w:rPr>
          <w:sz w:val="19"/>
        </w:rPr>
        <w:t>For major platform chains, the preferred pattern is one transaction or legal source plus one current parent/portfolio source. Some local owner records have only a current first-party statement plus a BBB or trade record. Those receive a lower rating when exact equity remains unavailable.</w:t>
      </w:r>
    </w:p>
    <w:p>
      <w:pPr>
        <w:pStyle w:val="Heading2"/>
        <w:keepNext/>
      </w:pPr>
      <w:r>
        <w:rPr>
          <w:sz w:val="29"/>
        </w:rPr>
        <w:t>Evidence ratings</w:t>
      </w:r>
    </w:p>
    <w:p>
      <w:pPr>
        <w:spacing w:after="100" w:line="259" w:lineRule="auto"/>
      </w:pPr>
      <w:r>
        <w:rPr>
          <w:b/>
          <w:sz w:val="19"/>
        </w:rPr>
        <w:t>A — publication grade.</w:t>
      </w:r>
      <w:r>
        <w:rPr>
          <w:sz w:val="19"/>
        </w:rPr>
        <w:t xml:space="preserve"> Direct current primary evidence, generally corroborated by a transaction, legal, parent or independent identity source.</w:t>
      </w:r>
    </w:p>
    <w:p>
      <w:pPr>
        <w:spacing w:after="100" w:line="259" w:lineRule="auto"/>
      </w:pPr>
      <w:r>
        <w:rPr>
          <w:b/>
          <w:sz w:val="19"/>
        </w:rPr>
        <w:t>B — strongly supported.</w:t>
      </w:r>
      <w:r>
        <w:rPr>
          <w:sz w:val="19"/>
        </w:rPr>
        <w:t xml:space="preserve"> The current structure is persuasive, but an intermediate legal entity, exact percentage, exact date or second independent record is missing.</w:t>
      </w:r>
    </w:p>
    <w:p>
      <w:pPr>
        <w:spacing w:after="100" w:line="259" w:lineRule="auto"/>
      </w:pPr>
      <w:r>
        <w:rPr>
          <w:b/>
          <w:sz w:val="19"/>
        </w:rPr>
        <w:t>C — qualified.</w:t>
      </w:r>
      <w:r>
        <w:rPr>
          <w:sz w:val="19"/>
        </w:rPr>
        <w:t xml:space="preserve"> Current self-report, credible identity lead, founder history or provisional relationship. The claim is published with explicit qualification.</w:t>
      </w:r>
    </w:p>
    <w:p>
      <w:pPr>
        <w:spacing w:after="100" w:line="259" w:lineRule="auto"/>
      </w:pPr>
      <w:r>
        <w:rPr>
          <w:b/>
          <w:sz w:val="19"/>
        </w:rPr>
        <w:t>D — unresolved.</w:t>
      </w:r>
      <w:r>
        <w:rPr>
          <w:sz w:val="19"/>
        </w:rPr>
        <w:t xml:space="preserve"> Evidence conflicts, is stale, or establishes only the operating brand. No controller conclusion is forced.</w:t>
      </w:r>
    </w:p>
    <w:p>
      <w:pPr>
        <w:pStyle w:val="Heading2"/>
        <w:keepNext/>
      </w:pPr>
      <w:r>
        <w:rPr>
          <w:sz w:val="29"/>
        </w:rPr>
        <w:t>Ownership-interest coding</w:t>
      </w:r>
    </w:p>
    <w:p>
      <w:pPr>
        <w:spacing w:after="100" w:line="259" w:lineRule="auto"/>
      </w:pPr>
      <w:r>
        <w:rPr>
          <w:sz w:val="19"/>
        </w:rPr>
        <w:t>The database distinguishes:</w:t>
      </w:r>
    </w:p>
    <w:p>
      <w:pPr>
        <w:pStyle w:val="ListBullet"/>
        <w:spacing w:after="40"/>
      </w:pPr>
      <w:r>
        <w:rPr>
          <w:sz w:val="19"/>
        </w:rPr>
        <w:t>Majority ownership</w:t>
      </w:r>
    </w:p>
    <w:p>
      <w:pPr>
        <w:pStyle w:val="ListBullet"/>
        <w:spacing w:after="40"/>
      </w:pPr>
      <w:r>
        <w:rPr>
          <w:sz w:val="19"/>
        </w:rPr>
        <w:t>Minority investment</w:t>
      </w:r>
    </w:p>
    <w:p>
      <w:pPr>
        <w:pStyle w:val="ListBullet"/>
        <w:spacing w:after="40"/>
      </w:pPr>
      <w:r>
        <w:rPr>
          <w:sz w:val="19"/>
        </w:rPr>
        <w:t>Non-control minority investment</w:t>
      </w:r>
    </w:p>
    <w:p>
      <w:pPr>
        <w:pStyle w:val="ListBullet"/>
        <w:spacing w:after="40"/>
      </w:pPr>
      <w:r>
        <w:rPr>
          <w:sz w:val="19"/>
        </w:rPr>
        <w:t>Significant minority investment</w:t>
      </w:r>
    </w:p>
    <w:p>
      <w:pPr>
        <w:pStyle w:val="ListBullet"/>
        <w:spacing w:after="40"/>
      </w:pPr>
      <w:r>
        <w:rPr>
          <w:sz w:val="19"/>
        </w:rPr>
        <w:t>Control percentage unspecified</w:t>
      </w:r>
    </w:p>
    <w:p>
      <w:pPr>
        <w:pStyle w:val="ListBullet"/>
        <w:spacing w:after="40"/>
      </w:pPr>
      <w:r>
        <w:rPr>
          <w:sz w:val="19"/>
        </w:rPr>
        <w:t>Franchise relationship</w:t>
      </w:r>
    </w:p>
    <w:p>
      <w:pPr>
        <w:pStyle w:val="ListBullet"/>
        <w:spacing w:after="40"/>
      </w:pPr>
      <w:r>
        <w:rPr>
          <w:sz w:val="19"/>
        </w:rPr>
        <w:t>Local owner / family control claim</w:t>
      </w:r>
    </w:p>
    <w:p>
      <w:pPr>
        <w:pStyle w:val="ListBullet"/>
        <w:spacing w:after="40"/>
      </w:pPr>
      <w:r>
        <w:rPr>
          <w:sz w:val="19"/>
        </w:rPr>
        <w:t>Current controller unresolved</w:t>
      </w:r>
    </w:p>
    <w:p>
      <w:pPr>
        <w:spacing w:after="100" w:line="259" w:lineRule="auto"/>
      </w:pPr>
      <w:r>
        <w:rPr>
          <w:sz w:val="19"/>
        </w:rPr>
        <w:t>A company is not labeled “owned by” an investor when the source says only that the investor made a minority investment. Alta is the main example: Trivest is a non-control minority investor and founders retained control. [S054]</w:t>
      </w:r>
    </w:p>
    <w:p>
      <w:pPr>
        <w:pStyle w:val="Heading2"/>
        <w:keepNext/>
      </w:pPr>
      <w:r>
        <w:rPr>
          <w:sz w:val="29"/>
        </w:rPr>
        <w:t>Franchise treatment</w:t>
      </w:r>
    </w:p>
    <w:p>
      <w:pPr>
        <w:spacing w:after="100" w:line="259" w:lineRule="auto"/>
      </w:pPr>
      <w:r>
        <w:rPr>
          <w:sz w:val="19"/>
        </w:rPr>
        <w:t>Three separate relationships may exist:</w:t>
      </w:r>
    </w:p>
    <w:p>
      <w:pPr>
        <w:spacing w:after="30"/>
        <w:ind w:left="346" w:hanging="288"/>
      </w:pPr>
      <w:r>
        <w:rPr>
          <w:b/>
          <w:sz w:val="19"/>
        </w:rPr>
        <w:t xml:space="preserve">1. </w:t>
      </w:r>
      <w:r>
        <w:rPr>
          <w:sz w:val="19"/>
        </w:rPr>
        <w:t xml:space="preserve">Brand to local franchisee: </w:t>
      </w:r>
      <w:r>
        <w:rPr>
          <w:rFonts w:ascii="Liberation Mono" w:hAnsi="Liberation Mono"/>
          <w:sz w:val="18"/>
        </w:rPr>
        <w:t>Operated by</w:t>
      </w:r>
    </w:p>
    <w:p>
      <w:pPr>
        <w:spacing w:after="30"/>
        <w:ind w:left="346" w:hanging="288"/>
      </w:pPr>
      <w:r>
        <w:rPr>
          <w:b/>
          <w:sz w:val="19"/>
        </w:rPr>
        <w:t xml:space="preserve">2. </w:t>
      </w:r>
      <w:r>
        <w:rPr>
          <w:sz w:val="19"/>
        </w:rPr>
        <w:t xml:space="preserve">Brand to franchise system: </w:t>
      </w:r>
      <w:r>
        <w:rPr>
          <w:rFonts w:ascii="Liberation Mono" w:hAnsi="Liberation Mono"/>
          <w:sz w:val="18"/>
        </w:rPr>
        <w:t>Franchise of</w:t>
      </w:r>
    </w:p>
    <w:p>
      <w:pPr>
        <w:spacing w:after="30"/>
        <w:ind w:left="346" w:hanging="288"/>
      </w:pPr>
      <w:r>
        <w:rPr>
          <w:b/>
          <w:sz w:val="19"/>
        </w:rPr>
        <w:t xml:space="preserve">3. </w:t>
      </w:r>
      <w:r>
        <w:rPr>
          <w:sz w:val="19"/>
        </w:rPr>
        <w:t>Franchise system to sponsor/public parent: ownership relationship</w:t>
      </w:r>
    </w:p>
    <w:p>
      <w:pPr>
        <w:spacing w:after="100" w:line="259" w:lineRule="auto"/>
      </w:pPr>
      <w:r>
        <w:rPr>
          <w:sz w:val="19"/>
        </w:rPr>
        <w:t>The third relationship is not applied to the local franchisee. This prevents KKR’s ownership of Neighborly from being misreported as direct ownership of Mr. Rooter Austin or Aire Serv local operators.</w:t>
      </w:r>
    </w:p>
    <w:p>
      <w:pPr>
        <w:pStyle w:val="Heading2"/>
        <w:keepNext/>
      </w:pPr>
      <w:r>
        <w:rPr>
          <w:sz w:val="29"/>
        </w:rPr>
        <w:t>“Local” coding</w:t>
      </w:r>
    </w:p>
    <w:p>
      <w:pPr>
        <w:spacing w:after="100" w:line="259" w:lineRule="auto"/>
      </w:pPr>
      <w:r>
        <w:rPr>
          <w:sz w:val="19"/>
        </w:rPr>
        <w:t>The following terms are not interchangeable:</w:t>
      </w:r>
    </w:p>
    <w:p>
      <w:pPr>
        <w:pStyle w:val="ListBullet"/>
        <w:spacing w:after="40"/>
      </w:pPr>
      <w:r>
        <w:rPr>
          <w:sz w:val="19"/>
        </w:rPr>
        <w:t>Locally owned: current equity claim</w:t>
      </w:r>
    </w:p>
    <w:p>
      <w:pPr>
        <w:pStyle w:val="ListBullet"/>
        <w:spacing w:after="40"/>
      </w:pPr>
      <w:r>
        <w:rPr>
          <w:sz w:val="19"/>
        </w:rPr>
        <w:t>Locally managed: local leadership</w:t>
      </w:r>
    </w:p>
    <w:p>
      <w:pPr>
        <w:pStyle w:val="ListBullet"/>
        <w:spacing w:after="40"/>
      </w:pPr>
      <w:r>
        <w:rPr>
          <w:sz w:val="19"/>
        </w:rPr>
        <w:t>Locally operated: local staff, office or territory</w:t>
      </w:r>
    </w:p>
    <w:p>
      <w:pPr>
        <w:pStyle w:val="ListBullet"/>
        <w:spacing w:after="40"/>
      </w:pPr>
      <w:r>
        <w:rPr>
          <w:sz w:val="19"/>
        </w:rPr>
        <w:t>Family founded: historical origin</w:t>
      </w:r>
    </w:p>
    <w:p>
      <w:pPr>
        <w:pStyle w:val="ListBullet"/>
        <w:spacing w:after="40"/>
      </w:pPr>
      <w:r>
        <w:rPr>
          <w:sz w:val="19"/>
        </w:rPr>
        <w:t>Founder led: current management role</w:t>
      </w:r>
    </w:p>
    <w:p>
      <w:pPr>
        <w:pStyle w:val="ListBullet"/>
        <w:spacing w:after="40"/>
      </w:pPr>
      <w:r>
        <w:rPr>
          <w:sz w:val="19"/>
        </w:rPr>
        <w:t>Retained local brand: consumer name survives a transaction</w:t>
      </w:r>
    </w:p>
    <w:p>
      <w:pPr>
        <w:pStyle w:val="ListBullet"/>
        <w:spacing w:after="40"/>
      </w:pPr>
      <w:r>
        <w:rPr>
          <w:sz w:val="19"/>
        </w:rPr>
        <w:t>Franchise owned: local operator owns a franchised business</w:t>
      </w:r>
    </w:p>
    <w:p>
      <w:pPr>
        <w:spacing w:after="100" w:line="259" w:lineRule="auto"/>
      </w:pPr>
      <w:r>
        <w:rPr>
          <w:sz w:val="19"/>
        </w:rPr>
        <w:t>Local/family claims are stored as claims with ratings. A transaction source can override an equity implication while leaving local management or history intact.</w:t>
      </w:r>
    </w:p>
    <w:p>
      <w:pPr>
        <w:pStyle w:val="Heading2"/>
        <w:keepNext/>
      </w:pPr>
      <w:r>
        <w:rPr>
          <w:sz w:val="29"/>
        </w:rPr>
        <w:t>Calculations</w:t>
      </w:r>
    </w:p>
    <w:p>
      <w:pPr>
        <w:spacing w:after="100" w:line="259" w:lineRule="auto"/>
      </w:pPr>
      <w:r>
        <w:rPr>
          <w:sz w:val="19"/>
        </w:rPr>
        <w:t>Every percentage uses the 67-brand active publication denominator unless otherwise stated. Unresolved records remain in the denominator and are reported separately. Historical, candidate and excluded records are not included.</w:t>
      </w:r>
    </w:p>
    <w:p>
      <w:pPr>
        <w:spacing w:after="100" w:line="259" w:lineRule="auto"/>
      </w:pPr>
      <w:r>
        <w:rPr>
          <w:sz w:val="19"/>
        </w:rPr>
        <w:t>The metrics are brand-record shares. They are never called market share. No revenue or size ranking is produced without a comparable measure across the universe.</w:t>
      </w:r>
    </w:p>
    <w:p>
      <w:pPr>
        <w:pStyle w:val="Heading2"/>
        <w:keepNext/>
      </w:pPr>
      <w:r>
        <w:rPr>
          <w:sz w:val="29"/>
        </w:rPr>
        <w:t>Graph construction</w:t>
      </w:r>
    </w:p>
    <w:p>
      <w:pPr>
        <w:spacing w:after="100" w:line="259" w:lineRule="auto"/>
      </w:pPr>
      <w:r>
        <w:rPr>
          <w:sz w:val="19"/>
        </w:rPr>
        <w:t>The default graph includes current brand-to-parent chains. Historical edges, minority investors and intermediate legal entities are optional layers. Every edge contains:</w:t>
      </w:r>
    </w:p>
    <w:p>
      <w:pPr>
        <w:pStyle w:val="ListBullet"/>
        <w:spacing w:after="40"/>
      </w:pPr>
      <w:r>
        <w:rPr>
          <w:sz w:val="19"/>
        </w:rPr>
        <w:t xml:space="preserve">Start date or explicit </w:t>
      </w:r>
      <w:r>
        <w:rPr>
          <w:rFonts w:ascii="Liberation Mono" w:hAnsi="Liberation Mono"/>
          <w:sz w:val="18"/>
        </w:rPr>
        <w:t>unknown</w:t>
      </w:r>
    </w:p>
    <w:p>
      <w:pPr>
        <w:pStyle w:val="ListBullet"/>
        <w:spacing w:after="40"/>
      </w:pPr>
      <w:r>
        <w:rPr>
          <w:sz w:val="19"/>
        </w:rPr>
        <w:t>End date when applicable</w:t>
      </w:r>
    </w:p>
    <w:p>
      <w:pPr>
        <w:pStyle w:val="ListBullet"/>
        <w:spacing w:after="40"/>
      </w:pPr>
      <w:r>
        <w:rPr>
          <w:sz w:val="19"/>
        </w:rPr>
        <w:t>Current-status flag</w:t>
      </w:r>
    </w:p>
    <w:p>
      <w:pPr>
        <w:pStyle w:val="ListBullet"/>
        <w:spacing w:after="40"/>
      </w:pPr>
      <w:r>
        <w:rPr>
          <w:sz w:val="19"/>
        </w:rPr>
        <w:t>Relationship status</w:t>
      </w:r>
    </w:p>
    <w:p>
      <w:pPr>
        <w:pStyle w:val="ListBullet"/>
        <w:spacing w:after="40"/>
      </w:pPr>
      <w:r>
        <w:rPr>
          <w:sz w:val="19"/>
        </w:rPr>
        <w:t>Interest type</w:t>
      </w:r>
    </w:p>
    <w:p>
      <w:pPr>
        <w:pStyle w:val="ListBullet"/>
        <w:spacing w:after="40"/>
      </w:pPr>
      <w:r>
        <w:rPr>
          <w:sz w:val="19"/>
        </w:rPr>
        <w:t>Evidence rating</w:t>
      </w:r>
    </w:p>
    <w:p>
      <w:pPr>
        <w:pStyle w:val="ListBullet"/>
        <w:spacing w:after="40"/>
      </w:pPr>
      <w:r>
        <w:rPr>
          <w:sz w:val="19"/>
        </w:rPr>
        <w:t>Source IDs</w:t>
      </w:r>
    </w:p>
    <w:p>
      <w:pPr>
        <w:pStyle w:val="ListBullet"/>
        <w:spacing w:after="40"/>
      </w:pPr>
      <w:r>
        <w:rPr>
          <w:sz w:val="19"/>
        </w:rPr>
        <w:t>Access date</w:t>
      </w:r>
    </w:p>
    <w:p>
      <w:pPr>
        <w:pStyle w:val="ListBullet"/>
        <w:spacing w:after="40"/>
      </w:pPr>
      <w:r>
        <w:rPr>
          <w:sz w:val="19"/>
        </w:rPr>
        <w:t>Evidence note</w:t>
      </w:r>
    </w:p>
    <w:p>
      <w:pPr>
        <w:pStyle w:val="Heading2"/>
        <w:keepNext/>
      </w:pPr>
      <w:r>
        <w:rPr>
          <w:sz w:val="29"/>
        </w:rPr>
        <w:t>Known limitations</w:t>
      </w:r>
    </w:p>
    <w:p>
      <w:pPr>
        <w:pStyle w:val="ListBullet"/>
        <w:spacing w:after="40"/>
      </w:pPr>
      <w:r>
        <w:rPr>
          <w:sz w:val="19"/>
        </w:rPr>
        <w:t>The small suburban and low-web-visibility tail is incomplete.</w:t>
      </w:r>
    </w:p>
    <w:p>
      <w:pPr>
        <w:pStyle w:val="ListBullet"/>
        <w:spacing w:after="40"/>
      </w:pPr>
      <w:r>
        <w:rPr>
          <w:sz w:val="19"/>
        </w:rPr>
        <w:t>Texas legal-entity and assumed-name records were not systematically exported for every brand.</w:t>
      </w:r>
    </w:p>
    <w:p>
      <w:pPr>
        <w:pStyle w:val="ListBullet"/>
        <w:spacing w:after="40"/>
      </w:pPr>
      <w:r>
        <w:rPr>
          <w:sz w:val="19"/>
        </w:rPr>
        <w:t>Pest and plumbing licenses can materially improve identity resolution; roofing lacks the same statewide licensing hook.</w:t>
      </w:r>
    </w:p>
    <w:p>
      <w:pPr>
        <w:pStyle w:val="ListBullet"/>
        <w:spacing w:after="40"/>
      </w:pPr>
      <w:r>
        <w:rPr>
          <w:sz w:val="19"/>
        </w:rPr>
        <w:t>Current owner pages may omit minority investors or intermediate entities.</w:t>
      </w:r>
    </w:p>
    <w:p>
      <w:pPr>
        <w:pStyle w:val="ListBullet"/>
        <w:spacing w:after="40"/>
      </w:pPr>
      <w:r>
        <w:rPr>
          <w:sz w:val="19"/>
        </w:rPr>
        <w:t>Private transactions may not be announced.</w:t>
      </w:r>
    </w:p>
    <w:p>
      <w:pPr>
        <w:pStyle w:val="ListBullet"/>
        <w:spacing w:after="40"/>
      </w:pPr>
      <w:r>
        <w:rPr>
          <w:sz w:val="19"/>
        </w:rPr>
        <w:t>A current service page does not prove a physical local office.</w:t>
      </w:r>
    </w:p>
    <w:p>
      <w:pPr>
        <w:pStyle w:val="ListBullet"/>
        <w:spacing w:after="40"/>
      </w:pPr>
      <w:r>
        <w:rPr>
          <w:sz w:val="19"/>
        </w:rPr>
        <w:t>Ownership does not establish revenue, service quality, pricing or market share.</w:t>
      </w:r>
    </w:p>
    <w:p>
      <w:pPr>
        <w:pStyle w:val="Heading2"/>
        <w:keepNext/>
      </w:pPr>
      <w:r>
        <w:rPr>
          <w:sz w:val="29"/>
        </w:rPr>
        <w:t>Reproduction</w:t>
      </w:r>
    </w:p>
    <w:p>
      <w:pPr>
        <w:spacing w:after="100" w:line="259" w:lineRule="auto"/>
      </w:pPr>
      <w:r>
        <w:rPr>
          <w:sz w:val="19"/>
        </w:rPr>
        <w:t>A reader can reproduce the central findings by:</w:t>
      </w:r>
    </w:p>
    <w:p>
      <w:pPr>
        <w:spacing w:after="30"/>
        <w:ind w:left="346" w:hanging="288"/>
      </w:pPr>
      <w:r>
        <w:rPr>
          <w:b/>
          <w:sz w:val="19"/>
        </w:rPr>
        <w:t xml:space="preserve">1. </w:t>
      </w:r>
      <w:r>
        <w:rPr>
          <w:sz w:val="19"/>
        </w:rPr>
        <w:t xml:space="preserve">Filtering </w:t>
      </w:r>
      <w:r>
        <w:rPr>
          <w:rFonts w:ascii="Liberation Mono" w:hAnsi="Liberation Mono"/>
          <w:sz w:val="18"/>
        </w:rPr>
        <w:t>master_brands.csv</w:t>
      </w:r>
      <w:r>
        <w:rPr>
          <w:sz w:val="19"/>
        </w:rPr>
        <w:t xml:space="preserve"> to </w:t>
      </w:r>
      <w:r>
        <w:rPr>
          <w:rFonts w:ascii="Liberation Mono" w:hAnsi="Liberation Mono"/>
          <w:sz w:val="18"/>
        </w:rPr>
        <w:t>inclusion_status=published_active</w:t>
      </w:r>
      <w:r>
        <w:rPr>
          <w:sz w:val="19"/>
        </w:rPr>
        <w:t>.</w:t>
      </w:r>
    </w:p>
    <w:p>
      <w:pPr>
        <w:spacing w:after="30"/>
        <w:ind w:left="346" w:hanging="288"/>
      </w:pPr>
      <w:r>
        <w:rPr>
          <w:b/>
          <w:sz w:val="19"/>
        </w:rPr>
        <w:t xml:space="preserve">2. </w:t>
      </w:r>
      <w:r>
        <w:rPr>
          <w:sz w:val="19"/>
        </w:rPr>
        <w:t xml:space="preserve">Counting </w:t>
      </w:r>
      <w:r>
        <w:rPr>
          <w:rFonts w:ascii="Liberation Mono" w:hAnsi="Liberation Mono"/>
          <w:sz w:val="18"/>
        </w:rPr>
        <w:t>current_owner_type</w:t>
      </w:r>
      <w:r>
        <w:rPr>
          <w:sz w:val="19"/>
        </w:rPr>
        <w:t xml:space="preserve"> for the denominator and owner buckets.</w:t>
      </w:r>
    </w:p>
    <w:p>
      <w:pPr>
        <w:spacing w:after="30"/>
        <w:ind w:left="346" w:hanging="288"/>
      </w:pPr>
      <w:r>
        <w:rPr>
          <w:b/>
          <w:sz w:val="19"/>
        </w:rPr>
        <w:t xml:space="preserve">3. </w:t>
      </w:r>
      <w:r>
        <w:rPr>
          <w:sz w:val="19"/>
        </w:rPr>
        <w:t xml:space="preserve">Joining </w:t>
      </w:r>
      <w:r>
        <w:rPr>
          <w:rFonts w:ascii="Liberation Mono" w:hAnsi="Liberation Mono"/>
          <w:sz w:val="18"/>
        </w:rPr>
        <w:t>master_relationships.csv</w:t>
      </w:r>
      <w:r>
        <w:rPr>
          <w:sz w:val="19"/>
        </w:rPr>
        <w:t xml:space="preserve"> to </w:t>
      </w:r>
      <w:r>
        <w:rPr>
          <w:rFonts w:ascii="Liberation Mono" w:hAnsi="Liberation Mono"/>
          <w:sz w:val="18"/>
        </w:rPr>
        <w:t>master_entities.csv</w:t>
      </w:r>
      <w:r>
        <w:rPr>
          <w:sz w:val="19"/>
        </w:rPr>
        <w:t xml:space="preserve"> on entity IDs.</w:t>
      </w:r>
    </w:p>
    <w:p>
      <w:pPr>
        <w:spacing w:after="30"/>
        <w:ind w:left="346" w:hanging="288"/>
      </w:pPr>
      <w:r>
        <w:rPr>
          <w:b/>
          <w:sz w:val="19"/>
        </w:rPr>
        <w:t xml:space="preserve">4. </w:t>
      </w:r>
      <w:r>
        <w:rPr>
          <w:sz w:val="19"/>
        </w:rPr>
        <w:t xml:space="preserve">Opening the source IDs in </w:t>
      </w:r>
      <w:r>
        <w:rPr>
          <w:rFonts w:ascii="Liberation Mono" w:hAnsi="Liberation Mono"/>
          <w:sz w:val="18"/>
        </w:rPr>
        <w:t>master_evidence.csv</w:t>
      </w:r>
      <w:r>
        <w:rPr>
          <w:sz w:val="19"/>
        </w:rPr>
        <w:t>.</w:t>
      </w:r>
    </w:p>
    <w:p>
      <w:pPr>
        <w:spacing w:after="30"/>
        <w:ind w:left="346" w:hanging="288"/>
      </w:pPr>
      <w:r>
        <w:rPr>
          <w:b/>
          <w:sz w:val="19"/>
        </w:rPr>
        <w:t xml:space="preserve">5. </w:t>
      </w:r>
      <w:r>
        <w:rPr>
          <w:sz w:val="19"/>
        </w:rPr>
        <w:t xml:space="preserve">Checking </w:t>
      </w:r>
      <w:r>
        <w:rPr>
          <w:rFonts w:ascii="Liberation Mono" w:hAnsi="Liberation Mono"/>
          <w:sz w:val="18"/>
        </w:rPr>
        <w:t>master_conflicts.csv</w:t>
      </w:r>
      <w:r>
        <w:rPr>
          <w:sz w:val="19"/>
        </w:rPr>
        <w:t xml:space="preserve"> and </w:t>
      </w:r>
      <w:r>
        <w:rPr>
          <w:rFonts w:ascii="Liberation Mono" w:hAnsi="Liberation Mono"/>
          <w:sz w:val="18"/>
        </w:rPr>
        <w:t>master_unresolved.csv</w:t>
      </w:r>
      <w:r>
        <w:rPr>
          <w:sz w:val="19"/>
        </w:rPr>
        <w:t xml:space="preserve"> before treating a chain as settled.</w:t>
      </w:r>
    </w:p>
    <w:p>
      <w:pPr>
        <w:spacing w:after="30"/>
        <w:ind w:left="346" w:hanging="288"/>
      </w:pPr>
      <w:r>
        <w:rPr>
          <w:b/>
          <w:sz w:val="19"/>
        </w:rPr>
        <w:t xml:space="preserve">6. </w:t>
      </w:r>
      <w:r>
        <w:rPr>
          <w:sz w:val="19"/>
        </w:rPr>
        <w:t xml:space="preserve">Rebuilding the public graph from </w:t>
      </w:r>
      <w:r>
        <w:rPr>
          <w:rFonts w:ascii="Liberation Mono" w:hAnsi="Liberation Mono"/>
          <w:sz w:val="18"/>
        </w:rPr>
        <w:t>graph.json</w:t>
      </w:r>
      <w:r>
        <w:rPr>
          <w:sz w:val="19"/>
        </w:rPr>
        <w:t>.</w:t>
      </w:r>
    </w:p>
    <w:p>
      <w:pPr>
        <w:pStyle w:val="Heading1"/>
        <w:keepNext/>
      </w:pPr>
      <w:r>
        <w:rPr>
          <w:sz w:val="38"/>
        </w:rPr>
        <w:t>Verified Findings and Calculations</w:t>
      </w:r>
    </w:p>
    <w:p>
      <w:pPr>
        <w:spacing w:after="100" w:line="259" w:lineRule="auto"/>
      </w:pPr>
      <w:r>
        <w:rPr>
          <w:b/>
          <w:sz w:val="19"/>
        </w:rPr>
        <w:t>Denominator:</w:t>
      </w:r>
      <w:r>
        <w:rPr>
          <w:sz w:val="19"/>
        </w:rPr>
        <w:t xml:space="preserve"> 67 active Austin-facing consumer-brand records as of 2026-07-26.</w:t>
      </w:r>
    </w:p>
    <w:tbl>
      <w:tblPr>
        <w:tblStyle w:val="TableGrid"/>
        <w:tblW w:type="auto" w:w="0"/>
        <w:jc w:val="center"/>
        <w:tblLook w:firstColumn="1" w:firstRow="1" w:lastColumn="0" w:lastRow="0" w:noHBand="0" w:noVBand="1" w:val="04A0"/>
      </w:tblPr>
      <w:tblGrid>
        <w:gridCol w:w="3389"/>
        <w:gridCol w:w="3389"/>
        <w:gridCol w:w="3389"/>
      </w:tblGrid>
      <w:tr>
        <w:trPr>
          <w:tblHeader w:val="true"/>
        </w:trPr>
        <w:tc>
          <w:tcPr>
            <w:tcW w:type="dxa" w:w="3389"/>
            <w:shd w:fill="E6ECE7"/>
            <w:tcMar>
              <w:top w:w="80" w:type="dxa"/>
              <w:start w:w="100" w:type="dxa"/>
              <w:bottom w:w="80" w:type="dxa"/>
              <w:end w:w="100" w:type="dxa"/>
            </w:tcMar>
            <w:vAlign w:val="center"/>
          </w:tcPr>
          <w:p>
            <w:pPr>
              <w:spacing w:after="0"/>
            </w:pPr>
            <w:r>
              <w:rPr>
                <w:b/>
                <w:sz w:val="16"/>
              </w:rPr>
              <w:t>Owner type</w:t>
            </w:r>
          </w:p>
        </w:tc>
        <w:tc>
          <w:tcPr>
            <w:tcW w:type="dxa" w:w="3389"/>
            <w:shd w:fill="E6ECE7"/>
            <w:tcMar>
              <w:top w:w="80" w:type="dxa"/>
              <w:start w:w="100" w:type="dxa"/>
              <w:bottom w:w="80" w:type="dxa"/>
              <w:end w:w="100" w:type="dxa"/>
            </w:tcMar>
            <w:vAlign w:val="center"/>
          </w:tcPr>
          <w:p>
            <w:pPr>
              <w:spacing w:after="0"/>
            </w:pPr>
            <w:r>
              <w:rPr>
                <w:b/>
                <w:sz w:val="16"/>
              </w:rPr>
              <w:t>Brands</w:t>
            </w:r>
          </w:p>
        </w:tc>
        <w:tc>
          <w:tcPr>
            <w:tcW w:type="dxa" w:w="3389"/>
            <w:shd w:fill="E6ECE7"/>
            <w:tcMar>
              <w:top w:w="80" w:type="dxa"/>
              <w:start w:w="100" w:type="dxa"/>
              <w:bottom w:w="80" w:type="dxa"/>
              <w:end w:w="100" w:type="dxa"/>
            </w:tcMar>
            <w:vAlign w:val="center"/>
          </w:tcPr>
          <w:p>
            <w:pPr>
              <w:spacing w:after="0"/>
            </w:pPr>
            <w:r>
              <w:rPr>
                <w:b/>
                <w:sz w:val="16"/>
              </w:rPr>
              <w:t>Share of 67-brand universe</w:t>
            </w:r>
          </w:p>
        </w:tc>
      </w:tr>
      <w:tr>
        <w:tc>
          <w:tcPr>
            <w:tcW w:type="dxa" w:w="3389"/>
            <w:tcMar>
              <w:top w:w="80" w:type="dxa"/>
              <w:start w:w="100" w:type="dxa"/>
              <w:bottom w:w="80" w:type="dxa"/>
              <w:end w:w="100" w:type="dxa"/>
            </w:tcMar>
            <w:vAlign w:val="top"/>
          </w:tcPr>
          <w:p>
            <w:pPr>
              <w:spacing w:after="0"/>
            </w:pPr>
            <w:r>
              <w:rPr>
                <w:sz w:val="16"/>
              </w:rPr>
              <w:t>Founder/family/local ownership</w:t>
            </w:r>
          </w:p>
        </w:tc>
        <w:tc>
          <w:tcPr>
            <w:tcW w:type="dxa" w:w="3389"/>
            <w:tcMar>
              <w:top w:w="80" w:type="dxa"/>
              <w:start w:w="100" w:type="dxa"/>
              <w:bottom w:w="80" w:type="dxa"/>
              <w:end w:w="100" w:type="dxa"/>
            </w:tcMar>
            <w:vAlign w:val="top"/>
          </w:tcPr>
          <w:p>
            <w:pPr>
              <w:spacing w:after="0"/>
            </w:pPr>
            <w:r>
              <w:rPr>
                <w:sz w:val="16"/>
              </w:rPr>
              <w:t>32</w:t>
            </w:r>
          </w:p>
        </w:tc>
        <w:tc>
          <w:tcPr>
            <w:tcW w:type="dxa" w:w="3389"/>
            <w:tcMar>
              <w:top w:w="80" w:type="dxa"/>
              <w:start w:w="100" w:type="dxa"/>
              <w:bottom w:w="80" w:type="dxa"/>
              <w:end w:w="100" w:type="dxa"/>
            </w:tcMar>
            <w:vAlign w:val="top"/>
          </w:tcPr>
          <w:p>
            <w:pPr>
              <w:spacing w:after="0"/>
            </w:pPr>
            <w:r>
              <w:rPr>
                <w:sz w:val="16"/>
              </w:rPr>
              <w:t>47.8%</w:t>
            </w:r>
          </w:p>
        </w:tc>
      </w:tr>
      <w:tr>
        <w:tc>
          <w:tcPr>
            <w:tcW w:type="dxa" w:w="3389"/>
            <w:tcMar>
              <w:top w:w="80" w:type="dxa"/>
              <w:start w:w="100" w:type="dxa"/>
              <w:bottom w:w="80" w:type="dxa"/>
              <w:end w:w="100" w:type="dxa"/>
            </w:tcMar>
            <w:vAlign w:val="top"/>
          </w:tcPr>
          <w:p>
            <w:pPr>
              <w:spacing w:after="0"/>
            </w:pPr>
            <w:r>
              <w:rPr>
                <w:sz w:val="16"/>
              </w:rPr>
              <w:t>Sponsor-backed platform</w:t>
            </w:r>
          </w:p>
        </w:tc>
        <w:tc>
          <w:tcPr>
            <w:tcW w:type="dxa" w:w="3389"/>
            <w:tcMar>
              <w:top w:w="80" w:type="dxa"/>
              <w:start w:w="100" w:type="dxa"/>
              <w:bottom w:w="80" w:type="dxa"/>
              <w:end w:w="100" w:type="dxa"/>
            </w:tcMar>
            <w:vAlign w:val="top"/>
          </w:tcPr>
          <w:p>
            <w:pPr>
              <w:spacing w:after="0"/>
            </w:pPr>
            <w:r>
              <w:rPr>
                <w:sz w:val="16"/>
              </w:rPr>
              <w:t>14</w:t>
            </w:r>
          </w:p>
        </w:tc>
        <w:tc>
          <w:tcPr>
            <w:tcW w:type="dxa" w:w="3389"/>
            <w:tcMar>
              <w:top w:w="80" w:type="dxa"/>
              <w:start w:w="100" w:type="dxa"/>
              <w:bottom w:w="80" w:type="dxa"/>
              <w:end w:w="100" w:type="dxa"/>
            </w:tcMar>
            <w:vAlign w:val="top"/>
          </w:tcPr>
          <w:p>
            <w:pPr>
              <w:spacing w:after="0"/>
            </w:pPr>
            <w:r>
              <w:rPr>
                <w:sz w:val="16"/>
              </w:rPr>
              <w:t>20.9%</w:t>
            </w:r>
          </w:p>
        </w:tc>
      </w:tr>
      <w:tr>
        <w:tc>
          <w:tcPr>
            <w:tcW w:type="dxa" w:w="3389"/>
            <w:tcMar>
              <w:top w:w="80" w:type="dxa"/>
              <w:start w:w="100" w:type="dxa"/>
              <w:bottom w:w="80" w:type="dxa"/>
              <w:end w:w="100" w:type="dxa"/>
            </w:tcMar>
            <w:vAlign w:val="top"/>
          </w:tcPr>
          <w:p>
            <w:pPr>
              <w:spacing w:after="0"/>
            </w:pPr>
            <w:r>
              <w:rPr>
                <w:sz w:val="16"/>
              </w:rPr>
              <w:t>Public-company owned</w:t>
            </w:r>
          </w:p>
        </w:tc>
        <w:tc>
          <w:tcPr>
            <w:tcW w:type="dxa" w:w="3389"/>
            <w:tcMar>
              <w:top w:w="80" w:type="dxa"/>
              <w:start w:w="100" w:type="dxa"/>
              <w:bottom w:w="80" w:type="dxa"/>
              <w:end w:w="100" w:type="dxa"/>
            </w:tcMar>
            <w:vAlign w:val="top"/>
          </w:tcPr>
          <w:p>
            <w:pPr>
              <w:spacing w:after="0"/>
            </w:pPr>
            <w:r>
              <w:rPr>
                <w:sz w:val="16"/>
              </w:rPr>
              <w:t>4</w:t>
            </w:r>
          </w:p>
        </w:tc>
        <w:tc>
          <w:tcPr>
            <w:tcW w:type="dxa" w:w="3389"/>
            <w:tcMar>
              <w:top w:w="80" w:type="dxa"/>
              <w:start w:w="100" w:type="dxa"/>
              <w:bottom w:w="80" w:type="dxa"/>
              <w:end w:w="100" w:type="dxa"/>
            </w:tcMar>
            <w:vAlign w:val="top"/>
          </w:tcPr>
          <w:p>
            <w:pPr>
              <w:spacing w:after="0"/>
            </w:pPr>
            <w:r>
              <w:rPr>
                <w:sz w:val="16"/>
              </w:rPr>
              <w:t>6.0%</w:t>
            </w:r>
          </w:p>
        </w:tc>
      </w:tr>
      <w:tr>
        <w:tc>
          <w:tcPr>
            <w:tcW w:type="dxa" w:w="3389"/>
            <w:tcMar>
              <w:top w:w="80" w:type="dxa"/>
              <w:start w:w="100" w:type="dxa"/>
              <w:bottom w:w="80" w:type="dxa"/>
              <w:end w:w="100" w:type="dxa"/>
            </w:tcMar>
            <w:vAlign w:val="top"/>
          </w:tcPr>
          <w:p>
            <w:pPr>
              <w:spacing w:after="0"/>
            </w:pPr>
            <w:r>
              <w:rPr>
                <w:sz w:val="16"/>
              </w:rPr>
              <w:t>Local franchise operator</w:t>
            </w:r>
          </w:p>
        </w:tc>
        <w:tc>
          <w:tcPr>
            <w:tcW w:type="dxa" w:w="3389"/>
            <w:tcMar>
              <w:top w:w="80" w:type="dxa"/>
              <w:start w:w="100" w:type="dxa"/>
              <w:bottom w:w="80" w:type="dxa"/>
              <w:end w:w="100" w:type="dxa"/>
            </w:tcMar>
            <w:vAlign w:val="top"/>
          </w:tcPr>
          <w:p>
            <w:pPr>
              <w:spacing w:after="0"/>
            </w:pPr>
            <w:r>
              <w:rPr>
                <w:sz w:val="16"/>
              </w:rPr>
              <w:t>5</w:t>
            </w:r>
          </w:p>
        </w:tc>
        <w:tc>
          <w:tcPr>
            <w:tcW w:type="dxa" w:w="3389"/>
            <w:tcMar>
              <w:top w:w="80" w:type="dxa"/>
              <w:start w:w="100" w:type="dxa"/>
              <w:bottom w:w="80" w:type="dxa"/>
              <w:end w:w="100" w:type="dxa"/>
            </w:tcMar>
            <w:vAlign w:val="top"/>
          </w:tcPr>
          <w:p>
            <w:pPr>
              <w:spacing w:after="0"/>
            </w:pPr>
            <w:r>
              <w:rPr>
                <w:sz w:val="16"/>
              </w:rPr>
              <w:t>7.5%</w:t>
            </w:r>
          </w:p>
        </w:tc>
      </w:tr>
      <w:tr>
        <w:tc>
          <w:tcPr>
            <w:tcW w:type="dxa" w:w="3389"/>
            <w:tcMar>
              <w:top w:w="80" w:type="dxa"/>
              <w:start w:w="100" w:type="dxa"/>
              <w:bottom w:w="80" w:type="dxa"/>
              <w:end w:w="100" w:type="dxa"/>
            </w:tcMar>
            <w:vAlign w:val="top"/>
          </w:tcPr>
          <w:p>
            <w:pPr>
              <w:spacing w:after="0"/>
            </w:pPr>
            <w:r>
              <w:rPr>
                <w:sz w:val="16"/>
              </w:rPr>
              <w:t>Private/control unresolved</w:t>
            </w:r>
          </w:p>
        </w:tc>
        <w:tc>
          <w:tcPr>
            <w:tcW w:type="dxa" w:w="3389"/>
            <w:tcMar>
              <w:top w:w="80" w:type="dxa"/>
              <w:start w:w="100" w:type="dxa"/>
              <w:bottom w:w="80" w:type="dxa"/>
              <w:end w:w="100" w:type="dxa"/>
            </w:tcMar>
            <w:vAlign w:val="top"/>
          </w:tcPr>
          <w:p>
            <w:pPr>
              <w:spacing w:after="0"/>
            </w:pPr>
            <w:r>
              <w:rPr>
                <w:sz w:val="16"/>
              </w:rPr>
              <w:t>11</w:t>
            </w:r>
          </w:p>
        </w:tc>
        <w:tc>
          <w:tcPr>
            <w:tcW w:type="dxa" w:w="3389"/>
            <w:tcMar>
              <w:top w:w="80" w:type="dxa"/>
              <w:start w:w="100" w:type="dxa"/>
              <w:bottom w:w="80" w:type="dxa"/>
              <w:end w:w="100" w:type="dxa"/>
            </w:tcMar>
            <w:vAlign w:val="top"/>
          </w:tcPr>
          <w:p>
            <w:pPr>
              <w:spacing w:after="0"/>
            </w:pPr>
            <w:r>
              <w:rPr>
                <w:sz w:val="16"/>
              </w:rPr>
              <w:t>16.4%</w:t>
            </w:r>
          </w:p>
        </w:tc>
      </w:tr>
      <w:tr>
        <w:tc>
          <w:tcPr>
            <w:tcW w:type="dxa" w:w="3389"/>
            <w:tcMar>
              <w:top w:w="80" w:type="dxa"/>
              <w:start w:w="100" w:type="dxa"/>
              <w:bottom w:w="80" w:type="dxa"/>
              <w:end w:w="100" w:type="dxa"/>
            </w:tcMar>
            <w:vAlign w:val="top"/>
          </w:tcPr>
          <w:p>
            <w:pPr>
              <w:spacing w:after="0"/>
            </w:pPr>
            <w:r>
              <w:rPr>
                <w:sz w:val="16"/>
              </w:rPr>
              <w:t>Minority-invested, founder-controlled</w:t>
            </w:r>
          </w:p>
        </w:tc>
        <w:tc>
          <w:tcPr>
            <w:tcW w:type="dxa" w:w="3389"/>
            <w:tcMar>
              <w:top w:w="80" w:type="dxa"/>
              <w:start w:w="100" w:type="dxa"/>
              <w:bottom w:w="80" w:type="dxa"/>
              <w:end w:w="100" w:type="dxa"/>
            </w:tcMar>
            <w:vAlign w:val="top"/>
          </w:tcPr>
          <w:p>
            <w:pPr>
              <w:spacing w:after="0"/>
            </w:pPr>
            <w:r>
              <w:rPr>
                <w:sz w:val="16"/>
              </w:rPr>
              <w:t>1</w:t>
            </w:r>
          </w:p>
        </w:tc>
        <w:tc>
          <w:tcPr>
            <w:tcW w:type="dxa" w:w="3389"/>
            <w:tcMar>
              <w:top w:w="80" w:type="dxa"/>
              <w:start w:w="100" w:type="dxa"/>
              <w:bottom w:w="80" w:type="dxa"/>
              <w:end w:w="100" w:type="dxa"/>
            </w:tcMar>
            <w:vAlign w:val="top"/>
          </w:tcPr>
          <w:p>
            <w:pPr>
              <w:spacing w:after="0"/>
            </w:pPr>
            <w:r>
              <w:rPr>
                <w:sz w:val="16"/>
              </w:rPr>
              <w:t>1.5%</w:t>
            </w:r>
          </w:p>
        </w:tc>
      </w:tr>
    </w:tbl>
    <w:p>
      <w:pPr>
        <w:pStyle w:val="Heading2"/>
        <w:keepNext/>
      </w:pPr>
      <w:r>
        <w:rPr>
          <w:sz w:val="29"/>
        </w:rPr>
        <w:t>Additional findings</w:t>
      </w:r>
    </w:p>
    <w:p>
      <w:pPr>
        <w:pStyle w:val="ListBullet"/>
        <w:spacing w:after="40"/>
      </w:pPr>
      <w:r>
        <w:rPr>
          <w:sz w:val="19"/>
        </w:rPr>
        <w:t xml:space="preserve">A/B and not unresolved: </w:t>
      </w:r>
      <w:r>
        <w:rPr>
          <w:b/>
          <w:sz w:val="19"/>
        </w:rPr>
        <w:t>48 of 67 (71.6%)</w:t>
      </w:r>
      <w:r>
        <w:rPr>
          <w:sz w:val="19"/>
        </w:rPr>
        <w:t>.</w:t>
      </w:r>
    </w:p>
    <w:p>
      <w:pPr>
        <w:pStyle w:val="ListBullet"/>
        <w:spacing w:after="40"/>
      </w:pPr>
      <w:r>
        <w:rPr>
          <w:sz w:val="19"/>
        </w:rPr>
        <w:t xml:space="preserve">Retained consumer names after a transaction: </w:t>
      </w:r>
      <w:r>
        <w:rPr>
          <w:b/>
          <w:sz w:val="19"/>
        </w:rPr>
        <w:t>11</w:t>
      </w:r>
      <w:r>
        <w:rPr>
          <w:sz w:val="19"/>
        </w:rPr>
        <w:t>.</w:t>
      </w:r>
    </w:p>
    <w:p>
      <w:pPr>
        <w:pStyle w:val="ListBullet"/>
        <w:spacing w:after="40"/>
      </w:pPr>
      <w:r>
        <w:rPr>
          <w:sz w:val="19"/>
        </w:rPr>
        <w:t xml:space="preserve">Local franchise records: </w:t>
      </w:r>
      <w:r>
        <w:rPr>
          <w:b/>
          <w:sz w:val="19"/>
        </w:rPr>
        <w:t>5</w:t>
      </w:r>
      <w:r>
        <w:rPr>
          <w:sz w:val="19"/>
        </w:rPr>
        <w:t>.</w:t>
      </w:r>
    </w:p>
    <w:p>
      <w:pPr>
        <w:pStyle w:val="ListBullet"/>
        <w:spacing w:after="40"/>
      </w:pPr>
      <w:r>
        <w:rPr>
          <w:sz w:val="19"/>
        </w:rPr>
        <w:t xml:space="preserve">Private/control-unresolved records: </w:t>
      </w:r>
      <w:r>
        <w:rPr>
          <w:b/>
          <w:sz w:val="19"/>
        </w:rPr>
        <w:t>11</w:t>
      </w:r>
      <w:r>
        <w:rPr>
          <w:sz w:val="19"/>
        </w:rPr>
        <w:t>.</w:t>
      </w:r>
    </w:p>
    <w:p>
      <w:pPr>
        <w:pStyle w:val="ListBullet"/>
        <w:spacing w:after="40"/>
      </w:pPr>
      <w:r>
        <w:rPr>
          <w:sz w:val="19"/>
        </w:rPr>
        <w:t xml:space="preserve">Current or historical transaction records: </w:t>
      </w:r>
      <w:r>
        <w:rPr>
          <w:b/>
          <w:sz w:val="19"/>
        </w:rPr>
        <w:t>29</w:t>
      </w:r>
      <w:r>
        <w:rPr>
          <w:sz w:val="19"/>
        </w:rPr>
        <w:t>.</w:t>
      </w:r>
    </w:p>
    <w:p>
      <w:pPr>
        <w:pStyle w:val="ListBullet"/>
        <w:spacing w:after="40"/>
      </w:pPr>
      <w:r>
        <w:rPr>
          <w:sz w:val="19"/>
        </w:rPr>
        <w:t xml:space="preserve">Preserved conflicts: </w:t>
      </w:r>
      <w:r>
        <w:rPr>
          <w:b/>
          <w:sz w:val="19"/>
        </w:rPr>
        <w:t>20</w:t>
      </w:r>
      <w:r>
        <w:rPr>
          <w:sz w:val="19"/>
        </w:rPr>
        <w:t>.</w:t>
      </w:r>
    </w:p>
    <w:p>
      <w:pPr>
        <w:pStyle w:val="ListBullet"/>
        <w:spacing w:after="40"/>
      </w:pPr>
      <w:r>
        <w:rPr>
          <w:sz w:val="19"/>
        </w:rPr>
        <w:t xml:space="preserve">Open research questions: </w:t>
      </w:r>
      <w:r>
        <w:rPr>
          <w:b/>
          <w:sz w:val="19"/>
        </w:rPr>
        <w:t>25</w:t>
      </w:r>
      <w:r>
        <w:rPr>
          <w:sz w:val="19"/>
        </w:rPr>
        <w:t>.</w:t>
      </w:r>
    </w:p>
    <w:p>
      <w:pPr>
        <w:pStyle w:val="Heading2"/>
        <w:keepNext/>
      </w:pPr>
      <w:r>
        <w:rPr>
          <w:sz w:val="29"/>
        </w:rPr>
        <w:t>Sector counts</w:t>
      </w:r>
    </w:p>
    <w:tbl>
      <w:tblPr>
        <w:tblStyle w:val="TableGrid"/>
        <w:tblW w:type="auto" w:w="0"/>
        <w:jc w:val="center"/>
        <w:tblLook w:firstColumn="1" w:firstRow="1" w:lastColumn="0" w:lastRow="0" w:noHBand="0" w:noVBand="1" w:val="04A0"/>
      </w:tblPr>
      <w:tblGrid>
        <w:gridCol w:w="3389"/>
        <w:gridCol w:w="3389"/>
        <w:gridCol w:w="3389"/>
      </w:tblGrid>
      <w:tr>
        <w:trPr>
          <w:tblHeader w:val="true"/>
        </w:trPr>
        <w:tc>
          <w:tcPr>
            <w:tcW w:type="dxa" w:w="3389"/>
            <w:shd w:fill="E6ECE7"/>
            <w:tcMar>
              <w:top w:w="80" w:type="dxa"/>
              <w:start w:w="100" w:type="dxa"/>
              <w:bottom w:w="80" w:type="dxa"/>
              <w:end w:w="100" w:type="dxa"/>
            </w:tcMar>
            <w:vAlign w:val="center"/>
          </w:tcPr>
          <w:p>
            <w:pPr>
              <w:spacing w:after="0"/>
            </w:pPr>
            <w:r>
              <w:rPr>
                <w:b/>
                <w:sz w:val="16"/>
              </w:rPr>
              <w:t>Sector</w:t>
            </w:r>
          </w:p>
        </w:tc>
        <w:tc>
          <w:tcPr>
            <w:tcW w:type="dxa" w:w="3389"/>
            <w:shd w:fill="E6ECE7"/>
            <w:tcMar>
              <w:top w:w="80" w:type="dxa"/>
              <w:start w:w="100" w:type="dxa"/>
              <w:bottom w:w="80" w:type="dxa"/>
              <w:end w:w="100" w:type="dxa"/>
            </w:tcMar>
            <w:vAlign w:val="center"/>
          </w:tcPr>
          <w:p>
            <w:pPr>
              <w:spacing w:after="0"/>
            </w:pPr>
            <w:r>
              <w:rPr>
                <w:b/>
                <w:sz w:val="16"/>
              </w:rPr>
              <w:t>Brands</w:t>
            </w:r>
          </w:p>
        </w:tc>
        <w:tc>
          <w:tcPr>
            <w:tcW w:type="dxa" w:w="3389"/>
            <w:shd w:fill="E6ECE7"/>
            <w:tcMar>
              <w:top w:w="80" w:type="dxa"/>
              <w:start w:w="100" w:type="dxa"/>
              <w:bottom w:w="80" w:type="dxa"/>
              <w:end w:w="100" w:type="dxa"/>
            </w:tcMar>
            <w:vAlign w:val="center"/>
          </w:tcPr>
          <w:p>
            <w:pPr>
              <w:spacing w:after="0"/>
            </w:pPr>
            <w:r>
              <w:rPr>
                <w:b/>
                <w:sz w:val="16"/>
              </w:rPr>
              <w:t>Share of 67-brand universe</w:t>
            </w:r>
          </w:p>
        </w:tc>
      </w:tr>
      <w:tr>
        <w:tc>
          <w:tcPr>
            <w:tcW w:type="dxa" w:w="3389"/>
            <w:tcMar>
              <w:top w:w="80" w:type="dxa"/>
              <w:start w:w="100" w:type="dxa"/>
              <w:bottom w:w="80" w:type="dxa"/>
              <w:end w:w="100" w:type="dxa"/>
            </w:tcMar>
            <w:vAlign w:val="top"/>
          </w:tcPr>
          <w:p>
            <w:pPr>
              <w:spacing w:after="0"/>
            </w:pPr>
            <w:r>
              <w:rPr>
                <w:sz w:val="16"/>
              </w:rPr>
              <w:t>HVAC, plumbing and electrical</w:t>
            </w:r>
          </w:p>
        </w:tc>
        <w:tc>
          <w:tcPr>
            <w:tcW w:type="dxa" w:w="3389"/>
            <w:tcMar>
              <w:top w:w="80" w:type="dxa"/>
              <w:start w:w="100" w:type="dxa"/>
              <w:bottom w:w="80" w:type="dxa"/>
              <w:end w:w="100" w:type="dxa"/>
            </w:tcMar>
            <w:vAlign w:val="top"/>
          </w:tcPr>
          <w:p>
            <w:pPr>
              <w:spacing w:after="0"/>
            </w:pPr>
            <w:r>
              <w:rPr>
                <w:sz w:val="16"/>
              </w:rPr>
              <w:t>26</w:t>
            </w:r>
          </w:p>
        </w:tc>
        <w:tc>
          <w:tcPr>
            <w:tcW w:type="dxa" w:w="3389"/>
            <w:tcMar>
              <w:top w:w="80" w:type="dxa"/>
              <w:start w:w="100" w:type="dxa"/>
              <w:bottom w:w="80" w:type="dxa"/>
              <w:end w:w="100" w:type="dxa"/>
            </w:tcMar>
            <w:vAlign w:val="top"/>
          </w:tcPr>
          <w:p>
            <w:pPr>
              <w:spacing w:after="0"/>
            </w:pPr>
            <w:r>
              <w:rPr>
                <w:sz w:val="16"/>
              </w:rPr>
              <w:t>38.8%</w:t>
            </w:r>
          </w:p>
        </w:tc>
      </w:tr>
      <w:tr>
        <w:tc>
          <w:tcPr>
            <w:tcW w:type="dxa" w:w="3389"/>
            <w:tcMar>
              <w:top w:w="80" w:type="dxa"/>
              <w:start w:w="100" w:type="dxa"/>
              <w:bottom w:w="80" w:type="dxa"/>
              <w:end w:w="100" w:type="dxa"/>
            </w:tcMar>
            <w:vAlign w:val="top"/>
          </w:tcPr>
          <w:p>
            <w:pPr>
              <w:spacing w:after="0"/>
            </w:pPr>
            <w:r>
              <w:rPr>
                <w:sz w:val="16"/>
              </w:rPr>
              <w:t>Roofing and exterior</w:t>
            </w:r>
          </w:p>
        </w:tc>
        <w:tc>
          <w:tcPr>
            <w:tcW w:type="dxa" w:w="3389"/>
            <w:tcMar>
              <w:top w:w="80" w:type="dxa"/>
              <w:start w:w="100" w:type="dxa"/>
              <w:bottom w:w="80" w:type="dxa"/>
              <w:end w:w="100" w:type="dxa"/>
            </w:tcMar>
            <w:vAlign w:val="top"/>
          </w:tcPr>
          <w:p>
            <w:pPr>
              <w:spacing w:after="0"/>
            </w:pPr>
            <w:r>
              <w:rPr>
                <w:sz w:val="16"/>
              </w:rPr>
              <w:t>9</w:t>
            </w:r>
          </w:p>
        </w:tc>
        <w:tc>
          <w:tcPr>
            <w:tcW w:type="dxa" w:w="3389"/>
            <w:tcMar>
              <w:top w:w="80" w:type="dxa"/>
              <w:start w:w="100" w:type="dxa"/>
              <w:bottom w:w="80" w:type="dxa"/>
              <w:end w:w="100" w:type="dxa"/>
            </w:tcMar>
            <w:vAlign w:val="top"/>
          </w:tcPr>
          <w:p>
            <w:pPr>
              <w:spacing w:after="0"/>
            </w:pPr>
            <w:r>
              <w:rPr>
                <w:sz w:val="16"/>
              </w:rPr>
              <w:t>13.4%</w:t>
            </w:r>
          </w:p>
        </w:tc>
      </w:tr>
      <w:tr>
        <w:tc>
          <w:tcPr>
            <w:tcW w:type="dxa" w:w="3389"/>
            <w:tcMar>
              <w:top w:w="80" w:type="dxa"/>
              <w:start w:w="100" w:type="dxa"/>
              <w:bottom w:w="80" w:type="dxa"/>
              <w:end w:w="100" w:type="dxa"/>
            </w:tcMar>
            <w:vAlign w:val="top"/>
          </w:tcPr>
          <w:p>
            <w:pPr>
              <w:spacing w:after="0"/>
            </w:pPr>
            <w:r>
              <w:rPr>
                <w:sz w:val="16"/>
              </w:rPr>
              <w:t>Foundation repair</w:t>
            </w:r>
          </w:p>
        </w:tc>
        <w:tc>
          <w:tcPr>
            <w:tcW w:type="dxa" w:w="3389"/>
            <w:tcMar>
              <w:top w:w="80" w:type="dxa"/>
              <w:start w:w="100" w:type="dxa"/>
              <w:bottom w:w="80" w:type="dxa"/>
              <w:end w:w="100" w:type="dxa"/>
            </w:tcMar>
            <w:vAlign w:val="top"/>
          </w:tcPr>
          <w:p>
            <w:pPr>
              <w:spacing w:after="0"/>
            </w:pPr>
            <w:r>
              <w:rPr>
                <w:sz w:val="16"/>
              </w:rPr>
              <w:t>12</w:t>
            </w:r>
          </w:p>
        </w:tc>
        <w:tc>
          <w:tcPr>
            <w:tcW w:type="dxa" w:w="3389"/>
            <w:tcMar>
              <w:top w:w="80" w:type="dxa"/>
              <w:start w:w="100" w:type="dxa"/>
              <w:bottom w:w="80" w:type="dxa"/>
              <w:end w:w="100" w:type="dxa"/>
            </w:tcMar>
            <w:vAlign w:val="top"/>
          </w:tcPr>
          <w:p>
            <w:pPr>
              <w:spacing w:after="0"/>
            </w:pPr>
            <w:r>
              <w:rPr>
                <w:sz w:val="16"/>
              </w:rPr>
              <w:t>17.9%</w:t>
            </w:r>
          </w:p>
        </w:tc>
      </w:tr>
      <w:tr>
        <w:tc>
          <w:tcPr>
            <w:tcW w:type="dxa" w:w="3389"/>
            <w:tcMar>
              <w:top w:w="80" w:type="dxa"/>
              <w:start w:w="100" w:type="dxa"/>
              <w:bottom w:w="80" w:type="dxa"/>
              <w:end w:w="100" w:type="dxa"/>
            </w:tcMar>
            <w:vAlign w:val="top"/>
          </w:tcPr>
          <w:p>
            <w:pPr>
              <w:spacing w:after="0"/>
            </w:pPr>
            <w:r>
              <w:rPr>
                <w:sz w:val="16"/>
              </w:rPr>
              <w:t>Pest control</w:t>
            </w:r>
          </w:p>
        </w:tc>
        <w:tc>
          <w:tcPr>
            <w:tcW w:type="dxa" w:w="3389"/>
            <w:tcMar>
              <w:top w:w="80" w:type="dxa"/>
              <w:start w:w="100" w:type="dxa"/>
              <w:bottom w:w="80" w:type="dxa"/>
              <w:end w:w="100" w:type="dxa"/>
            </w:tcMar>
            <w:vAlign w:val="top"/>
          </w:tcPr>
          <w:p>
            <w:pPr>
              <w:spacing w:after="0"/>
            </w:pPr>
            <w:r>
              <w:rPr>
                <w:sz w:val="16"/>
              </w:rPr>
              <w:t>20</w:t>
            </w:r>
          </w:p>
        </w:tc>
        <w:tc>
          <w:tcPr>
            <w:tcW w:type="dxa" w:w="3389"/>
            <w:tcMar>
              <w:top w:w="80" w:type="dxa"/>
              <w:start w:w="100" w:type="dxa"/>
              <w:bottom w:w="80" w:type="dxa"/>
              <w:end w:w="100" w:type="dxa"/>
            </w:tcMar>
            <w:vAlign w:val="top"/>
          </w:tcPr>
          <w:p>
            <w:pPr>
              <w:spacing w:after="0"/>
            </w:pPr>
            <w:r>
              <w:rPr>
                <w:sz w:val="16"/>
              </w:rPr>
              <w:t>29.9%</w:t>
            </w:r>
          </w:p>
        </w:tc>
      </w:tr>
    </w:tbl>
    <w:p>
      <w:pPr>
        <w:pStyle w:val="Heading2"/>
        <w:keepNext/>
      </w:pPr>
      <w:r>
        <w:rPr>
          <w:sz w:val="29"/>
        </w:rPr>
        <w:t>Current multi-brand clusters</w:t>
      </w:r>
    </w:p>
    <w:p>
      <w:pPr>
        <w:pStyle w:val="ListBullet"/>
        <w:spacing w:after="40"/>
      </w:pPr>
      <w:r>
        <w:rPr>
          <w:sz w:val="19"/>
        </w:rPr>
        <w:t>Southern Home Services / Gryphon: Fox, Precision, Daniel’s.</w:t>
      </w:r>
    </w:p>
    <w:p>
      <w:pPr>
        <w:pStyle w:val="ListBullet"/>
        <w:spacing w:after="40"/>
      </w:pPr>
      <w:r>
        <w:rPr>
          <w:sz w:val="19"/>
        </w:rPr>
        <w:t>SAS Service Partners / Storr Group: Austin Air Conditioning, Roger’s Plumbing. Cool Atmosphere is historical/absorbed.</w:t>
      </w:r>
    </w:p>
    <w:p>
      <w:pPr>
        <w:pStyle w:val="ListBullet"/>
        <w:spacing w:after="40"/>
      </w:pPr>
      <w:r>
        <w:rPr>
          <w:sz w:val="19"/>
        </w:rPr>
        <w:t>Neighborly franchisor / KKR: Mr. Rooter Austin, Aire Serv Cedar Park, Aire Serv Round Rock. These are associations through the franchisor, not KKR ownership of the local franchisees.</w:t>
      </w:r>
    </w:p>
    <w:p>
      <w:pPr>
        <w:pStyle w:val="ListBullet"/>
        <w:spacing w:after="40"/>
      </w:pPr>
      <w:r>
        <w:rPr>
          <w:sz w:val="19"/>
        </w:rPr>
        <w:t>Rollins: Orkin and HomeTeam.</w:t>
      </w:r>
    </w:p>
    <w:p>
      <w:pPr>
        <w:pStyle w:val="Heading2"/>
        <w:keepNext/>
      </w:pPr>
      <w:r>
        <w:rPr>
          <w:sz w:val="29"/>
        </w:rPr>
        <w:t>Interpretation rule</w:t>
      </w:r>
    </w:p>
    <w:p>
      <w:pPr>
        <w:spacing w:after="100" w:line="259" w:lineRule="auto"/>
      </w:pPr>
      <w:r>
        <w:rPr>
          <w:sz w:val="19"/>
        </w:rPr>
        <w:t xml:space="preserve">These percentages describe </w:t>
      </w:r>
      <w:r>
        <w:rPr>
          <w:b/>
          <w:sz w:val="19"/>
        </w:rPr>
        <w:t>brand records in the publication universe</w:t>
      </w:r>
      <w:r>
        <w:rPr>
          <w:sz w:val="19"/>
        </w:rPr>
        <w:t>. They are not market share, revenue share, customer share, job share, permit share, review share or search share.</w:t>
      </w:r>
    </w:p>
    <w:p>
      <w:pPr>
        <w:sectPr>
          <w:headerReference w:type="default" r:id="rId9"/>
          <w:footerReference w:type="default" r:id="rId10"/>
          <w:pgSz w:w="12240" w:h="15840"/>
          <w:pgMar w:top="1008" w:right="1037" w:bottom="936" w:left="1037" w:header="720" w:footer="720" w:gutter="0"/>
          <w:cols w:space="720"/>
          <w:docGrid w:linePitch="360"/>
        </w:sectPr>
      </w:pPr>
    </w:p>
    <w:p>
      <w:pPr>
        <w:pStyle w:val="Heading1"/>
      </w:pPr>
      <w:r>
        <w:t>Active Brand Roster</w:t>
      </w:r>
    </w:p>
    <w:p>
      <w:r>
        <w:t>67 active records. See the CSV and filterable HTML for all fields and source links.</w:t>
      </w:r>
    </w:p>
    <w:tbl>
      <w:tblPr>
        <w:tblStyle w:val="TableGrid"/>
        <w:tblW w:type="auto" w:w="0"/>
        <w:jc w:val="center"/>
        <w:tblLook w:firstColumn="1" w:firstRow="1" w:lastColumn="0" w:lastRow="0" w:noHBand="0" w:noVBand="1" w:val="04A0"/>
      </w:tblPr>
      <w:tblGrid>
        <w:gridCol w:w="2424"/>
        <w:gridCol w:w="2424"/>
        <w:gridCol w:w="2424"/>
        <w:gridCol w:w="2424"/>
        <w:gridCol w:w="2424"/>
        <w:gridCol w:w="2424"/>
      </w:tblGrid>
      <w:tr>
        <w:trPr>
          <w:tblHeader w:val="true"/>
        </w:trPr>
        <w:tc>
          <w:tcPr>
            <w:tcW w:type="dxa" w:w="2880"/>
            <w:shd w:fill="E6ECE7"/>
            <w:tcMar>
              <w:top w:w="80" w:type="dxa"/>
              <w:start w:w="100" w:type="dxa"/>
              <w:bottom w:w="80" w:type="dxa"/>
              <w:end w:w="100" w:type="dxa"/>
            </w:tcMar>
            <w:vAlign w:val="center"/>
          </w:tcPr>
          <w:p>
            <w:pPr>
              <w:spacing w:after="0"/>
            </w:pPr>
            <w:r>
              <w:rPr>
                <w:b/>
                <w:sz w:val="13"/>
              </w:rPr>
              <w:t>Brand</w:t>
            </w:r>
          </w:p>
        </w:tc>
        <w:tc>
          <w:tcPr>
            <w:tcW w:type="dxa" w:w="1800"/>
            <w:shd w:fill="E6ECE7"/>
            <w:tcMar>
              <w:top w:w="80" w:type="dxa"/>
              <w:start w:w="100" w:type="dxa"/>
              <w:bottom w:w="80" w:type="dxa"/>
              <w:end w:w="100" w:type="dxa"/>
            </w:tcMar>
            <w:vAlign w:val="center"/>
          </w:tcPr>
          <w:p>
            <w:pPr>
              <w:spacing w:after="0"/>
            </w:pPr>
            <w:r>
              <w:rPr>
                <w:b/>
                <w:sz w:val="13"/>
              </w:rPr>
              <w:t>Sector</w:t>
            </w:r>
          </w:p>
        </w:tc>
        <w:tc>
          <w:tcPr>
            <w:tcW w:type="dxa" w:w="2160"/>
            <w:shd w:fill="E6ECE7"/>
            <w:tcMar>
              <w:top w:w="80" w:type="dxa"/>
              <w:start w:w="100" w:type="dxa"/>
              <w:bottom w:w="80" w:type="dxa"/>
              <w:end w:w="100" w:type="dxa"/>
            </w:tcMar>
            <w:vAlign w:val="center"/>
          </w:tcPr>
          <w:p>
            <w:pPr>
              <w:spacing w:after="0"/>
            </w:pPr>
            <w:r>
              <w:rPr>
                <w:b/>
                <w:sz w:val="13"/>
              </w:rPr>
              <w:t>Owner type</w:t>
            </w:r>
          </w:p>
        </w:tc>
        <w:tc>
          <w:tcPr>
            <w:tcW w:type="dxa" w:w="2592"/>
            <w:shd w:fill="E6ECE7"/>
            <w:tcMar>
              <w:top w:w="80" w:type="dxa"/>
              <w:start w:w="100" w:type="dxa"/>
              <w:bottom w:w="80" w:type="dxa"/>
              <w:end w:w="100" w:type="dxa"/>
            </w:tcMar>
            <w:vAlign w:val="center"/>
          </w:tcPr>
          <w:p>
            <w:pPr>
              <w:spacing w:after="0"/>
            </w:pPr>
            <w:r>
              <w:rPr>
                <w:b/>
                <w:sz w:val="13"/>
              </w:rPr>
              <w:t>Platform / franchise</w:t>
            </w:r>
          </w:p>
        </w:tc>
        <w:tc>
          <w:tcPr>
            <w:tcW w:type="dxa" w:w="3888"/>
            <w:shd w:fill="E6ECE7"/>
            <w:tcMar>
              <w:top w:w="80" w:type="dxa"/>
              <w:start w:w="100" w:type="dxa"/>
              <w:bottom w:w="80" w:type="dxa"/>
              <w:end w:w="100" w:type="dxa"/>
            </w:tcMar>
            <w:vAlign w:val="center"/>
          </w:tcPr>
          <w:p>
            <w:pPr>
              <w:spacing w:after="0"/>
            </w:pPr>
            <w:r>
              <w:rPr>
                <w:b/>
                <w:sz w:val="13"/>
              </w:rPr>
              <w:t>Ultimate owner / controller</w:t>
            </w:r>
          </w:p>
        </w:tc>
        <w:tc>
          <w:tcPr>
            <w:tcW w:type="dxa" w:w="576"/>
            <w:shd w:fill="E6ECE7"/>
            <w:tcMar>
              <w:top w:w="80" w:type="dxa"/>
              <w:start w:w="100" w:type="dxa"/>
              <w:bottom w:w="80" w:type="dxa"/>
              <w:end w:w="100" w:type="dxa"/>
            </w:tcMar>
            <w:vAlign w:val="center"/>
          </w:tcPr>
          <w:p>
            <w:pPr>
              <w:spacing w:after="0"/>
            </w:pPr>
            <w:r>
              <w:rPr>
                <w:b/>
                <w:sz w:val="13"/>
              </w:rPr>
              <w:t>Rating</w:t>
            </w:r>
          </w:p>
        </w:tc>
      </w:tr>
      <w:tr>
        <w:tc>
          <w:tcPr>
            <w:tcW w:type="dxa" w:w="2880"/>
            <w:tcMar>
              <w:top w:w="80" w:type="dxa"/>
              <w:start w:w="100" w:type="dxa"/>
              <w:bottom w:w="80" w:type="dxa"/>
              <w:end w:w="100" w:type="dxa"/>
            </w:tcMar>
            <w:vAlign w:val="top"/>
          </w:tcPr>
          <w:p>
            <w:pPr>
              <w:spacing w:after="0"/>
            </w:pPr>
            <w:r>
              <w:rPr>
                <w:sz w:val="13"/>
              </w:rPr>
              <w:t>Advanced Foundation Repair</w:t>
            </w:r>
          </w:p>
        </w:tc>
        <w:tc>
          <w:tcPr>
            <w:tcW w:type="dxa" w:w="1800"/>
            <w:tcMar>
              <w:top w:w="80" w:type="dxa"/>
              <w:start w:w="100" w:type="dxa"/>
              <w:bottom w:w="80" w:type="dxa"/>
              <w:end w:w="100" w:type="dxa"/>
            </w:tcMar>
            <w:vAlign w:val="top"/>
          </w:tcPr>
          <w:p>
            <w:pPr>
              <w:spacing w:after="0"/>
            </w:pPr>
            <w:r>
              <w:rPr>
                <w:sz w:val="13"/>
              </w:rPr>
              <w:t>Foundation repair</w:t>
            </w:r>
          </w:p>
        </w:tc>
        <w:tc>
          <w:tcPr>
            <w:tcW w:type="dxa" w:w="2160"/>
            <w:tcMar>
              <w:top w:w="80" w:type="dxa"/>
              <w:start w:w="100" w:type="dxa"/>
              <w:bottom w:w="80" w:type="dxa"/>
              <w:end w:w="100" w:type="dxa"/>
            </w:tcMar>
            <w:vAlign w:val="top"/>
          </w:tcPr>
          <w:p>
            <w:pPr>
              <w:spacing w:after="0"/>
            </w:pPr>
            <w:r>
              <w:rPr>
                <w:sz w:val="13"/>
              </w:rPr>
              <w:t>Private/control unresolved</w:t>
            </w:r>
          </w:p>
        </w:tc>
        <w:tc>
          <w:tcPr>
            <w:tcW w:type="dxa" w:w="2592"/>
            <w:tcMar>
              <w:top w:w="80" w:type="dxa"/>
              <w:start w:w="100" w:type="dxa"/>
              <w:bottom w:w="80" w:type="dxa"/>
              <w:end w:w="100" w:type="dxa"/>
            </w:tcMar>
            <w:vAlign w:val="top"/>
          </w:tcPr>
          <w:p>
            <w:pPr>
              <w:spacing w:after="0"/>
            </w:pPr>
            <w:r>
              <w:rPr>
                <w:sz w:val="13"/>
              </w:rPr>
              <w:t>Advanced Foundation Repair, LP</w:t>
            </w:r>
          </w:p>
        </w:tc>
        <w:tc>
          <w:tcPr>
            <w:tcW w:type="dxa" w:w="3888"/>
            <w:tcMar>
              <w:top w:w="80" w:type="dxa"/>
              <w:start w:w="100" w:type="dxa"/>
              <w:bottom w:w="80" w:type="dxa"/>
              <w:end w:w="100" w:type="dxa"/>
            </w:tcMar>
            <w:vAlign w:val="top"/>
          </w:tcPr>
          <w:p>
            <w:pPr>
              <w:spacing w:after="0"/>
            </w:pPr>
            <w:r>
              <w:rPr>
                <w:sz w:val="13"/>
              </w:rPr>
              <w:t>Current controller unresolved</w:t>
            </w:r>
          </w:p>
        </w:tc>
        <w:tc>
          <w:tcPr>
            <w:tcW w:type="dxa" w:w="576"/>
            <w:tcMar>
              <w:top w:w="80" w:type="dxa"/>
              <w:start w:w="100" w:type="dxa"/>
              <w:bottom w:w="80" w:type="dxa"/>
              <w:end w:w="100" w:type="dxa"/>
            </w:tcMar>
            <w:vAlign w:val="top"/>
          </w:tcPr>
          <w:p>
            <w:pPr>
              <w:spacing w:after="0"/>
            </w:pPr>
            <w:r>
              <w:rPr>
                <w:sz w:val="13"/>
              </w:rPr>
              <w:t>D</w:t>
            </w:r>
          </w:p>
        </w:tc>
      </w:tr>
      <w:tr>
        <w:tc>
          <w:tcPr>
            <w:tcW w:type="dxa" w:w="2880"/>
            <w:tcMar>
              <w:top w:w="80" w:type="dxa"/>
              <w:start w:w="100" w:type="dxa"/>
              <w:bottom w:w="80" w:type="dxa"/>
              <w:end w:w="100" w:type="dxa"/>
            </w:tcMar>
            <w:vAlign w:val="top"/>
          </w:tcPr>
          <w:p>
            <w:pPr>
              <w:spacing w:after="0"/>
            </w:pPr>
            <w:r>
              <w:rPr>
                <w:sz w:val="13"/>
              </w:rPr>
              <w:t>All in One Foundation Repair</w:t>
            </w:r>
          </w:p>
        </w:tc>
        <w:tc>
          <w:tcPr>
            <w:tcW w:type="dxa" w:w="1800"/>
            <w:tcMar>
              <w:top w:w="80" w:type="dxa"/>
              <w:start w:w="100" w:type="dxa"/>
              <w:bottom w:w="80" w:type="dxa"/>
              <w:end w:w="100" w:type="dxa"/>
            </w:tcMar>
            <w:vAlign w:val="top"/>
          </w:tcPr>
          <w:p>
            <w:pPr>
              <w:spacing w:after="0"/>
            </w:pPr>
            <w:r>
              <w:rPr>
                <w:sz w:val="13"/>
              </w:rPr>
              <w:t>Foundation repair</w:t>
            </w:r>
          </w:p>
        </w:tc>
        <w:tc>
          <w:tcPr>
            <w:tcW w:type="dxa" w:w="2160"/>
            <w:tcMar>
              <w:top w:w="80" w:type="dxa"/>
              <w:start w:w="100" w:type="dxa"/>
              <w:bottom w:w="80" w:type="dxa"/>
              <w:end w:w="100" w:type="dxa"/>
            </w:tcMar>
            <w:vAlign w:val="top"/>
          </w:tcPr>
          <w:p>
            <w:pPr>
              <w:spacing w:after="0"/>
            </w:pPr>
            <w:r>
              <w:rPr>
                <w:sz w:val="13"/>
              </w:rPr>
              <w:t>Founder/family/local ownership</w:t>
            </w:r>
          </w:p>
        </w:tc>
        <w:tc>
          <w:tcPr>
            <w:tcW w:type="dxa" w:w="2592"/>
            <w:tcMar>
              <w:top w:w="80" w:type="dxa"/>
              <w:start w:w="100" w:type="dxa"/>
              <w:bottom w:w="80" w:type="dxa"/>
              <w:end w:w="100" w:type="dxa"/>
            </w:tcMar>
            <w:vAlign w:val="top"/>
          </w:tcPr>
          <w:p>
            <w:pPr>
              <w:spacing w:after="0"/>
            </w:pPr>
            <w:r>
              <w:rPr>
                <w:sz w:val="13"/>
              </w:rPr>
              <w:t>—</w:t>
            </w:r>
          </w:p>
        </w:tc>
        <w:tc>
          <w:tcPr>
            <w:tcW w:type="dxa" w:w="3888"/>
            <w:tcMar>
              <w:top w:w="80" w:type="dxa"/>
              <w:start w:w="100" w:type="dxa"/>
              <w:bottom w:w="80" w:type="dxa"/>
              <w:end w:w="100" w:type="dxa"/>
            </w:tcMar>
            <w:vAlign w:val="top"/>
          </w:tcPr>
          <w:p>
            <w:pPr>
              <w:spacing w:after="0"/>
            </w:pPr>
            <w:r>
              <w:rPr>
                <w:sz w:val="13"/>
              </w:rPr>
              <w:t>Robert J. Knight</w:t>
            </w:r>
          </w:p>
        </w:tc>
        <w:tc>
          <w:tcPr>
            <w:tcW w:type="dxa" w:w="576"/>
            <w:tcMar>
              <w:top w:w="80" w:type="dxa"/>
              <w:start w:w="100" w:type="dxa"/>
              <w:bottom w:w="80" w:type="dxa"/>
              <w:end w:w="100" w:type="dxa"/>
            </w:tcMar>
            <w:vAlign w:val="top"/>
          </w:tcPr>
          <w:p>
            <w:pPr>
              <w:spacing w:after="0"/>
            </w:pPr>
            <w:r>
              <w:rPr>
                <w:sz w:val="13"/>
              </w:rPr>
              <w:t>B</w:t>
            </w:r>
          </w:p>
        </w:tc>
      </w:tr>
      <w:tr>
        <w:tc>
          <w:tcPr>
            <w:tcW w:type="dxa" w:w="2880"/>
            <w:tcMar>
              <w:top w:w="80" w:type="dxa"/>
              <w:start w:w="100" w:type="dxa"/>
              <w:bottom w:w="80" w:type="dxa"/>
              <w:end w:w="100" w:type="dxa"/>
            </w:tcMar>
            <w:vAlign w:val="top"/>
          </w:tcPr>
          <w:p>
            <w:pPr>
              <w:spacing w:after="0"/>
            </w:pPr>
            <w:r>
              <w:rPr>
                <w:sz w:val="13"/>
              </w:rPr>
              <w:t>Baird Foundation Repair</w:t>
            </w:r>
          </w:p>
        </w:tc>
        <w:tc>
          <w:tcPr>
            <w:tcW w:type="dxa" w:w="1800"/>
            <w:tcMar>
              <w:top w:w="80" w:type="dxa"/>
              <w:start w:w="100" w:type="dxa"/>
              <w:bottom w:w="80" w:type="dxa"/>
              <w:end w:w="100" w:type="dxa"/>
            </w:tcMar>
            <w:vAlign w:val="top"/>
          </w:tcPr>
          <w:p>
            <w:pPr>
              <w:spacing w:after="0"/>
            </w:pPr>
            <w:r>
              <w:rPr>
                <w:sz w:val="13"/>
              </w:rPr>
              <w:t>Foundation repair</w:t>
            </w:r>
          </w:p>
        </w:tc>
        <w:tc>
          <w:tcPr>
            <w:tcW w:type="dxa" w:w="2160"/>
            <w:tcMar>
              <w:top w:w="80" w:type="dxa"/>
              <w:start w:w="100" w:type="dxa"/>
              <w:bottom w:w="80" w:type="dxa"/>
              <w:end w:w="100" w:type="dxa"/>
            </w:tcMar>
            <w:vAlign w:val="top"/>
          </w:tcPr>
          <w:p>
            <w:pPr>
              <w:spacing w:after="0"/>
            </w:pPr>
            <w:r>
              <w:rPr>
                <w:sz w:val="13"/>
              </w:rPr>
              <w:t>Founder/family/local ownership</w:t>
            </w:r>
          </w:p>
        </w:tc>
        <w:tc>
          <w:tcPr>
            <w:tcW w:type="dxa" w:w="2592"/>
            <w:tcMar>
              <w:top w:w="80" w:type="dxa"/>
              <w:start w:w="100" w:type="dxa"/>
              <w:bottom w:w="80" w:type="dxa"/>
              <w:end w:w="100" w:type="dxa"/>
            </w:tcMar>
            <w:vAlign w:val="top"/>
          </w:tcPr>
          <w:p>
            <w:pPr>
              <w:spacing w:after="0"/>
            </w:pPr>
            <w:r>
              <w:rPr>
                <w:sz w:val="13"/>
              </w:rPr>
              <w:t>—</w:t>
            </w:r>
          </w:p>
        </w:tc>
        <w:tc>
          <w:tcPr>
            <w:tcW w:type="dxa" w:w="3888"/>
            <w:tcMar>
              <w:top w:w="80" w:type="dxa"/>
              <w:start w:w="100" w:type="dxa"/>
              <w:bottom w:w="80" w:type="dxa"/>
              <w:end w:w="100" w:type="dxa"/>
            </w:tcMar>
            <w:vAlign w:val="top"/>
          </w:tcPr>
          <w:p>
            <w:pPr>
              <w:spacing w:after="0"/>
            </w:pPr>
            <w:r>
              <w:rPr>
                <w:sz w:val="13"/>
              </w:rPr>
              <w:t>John Baird and Melanie Baird</w:t>
            </w:r>
          </w:p>
        </w:tc>
        <w:tc>
          <w:tcPr>
            <w:tcW w:type="dxa" w:w="576"/>
            <w:tcMar>
              <w:top w:w="80" w:type="dxa"/>
              <w:start w:w="100" w:type="dxa"/>
              <w:bottom w:w="80" w:type="dxa"/>
              <w:end w:w="100" w:type="dxa"/>
            </w:tcMar>
            <w:vAlign w:val="top"/>
          </w:tcPr>
          <w:p>
            <w:pPr>
              <w:spacing w:after="0"/>
            </w:pPr>
            <w:r>
              <w:rPr>
                <w:sz w:val="13"/>
              </w:rPr>
              <w:t>A</w:t>
            </w:r>
          </w:p>
        </w:tc>
      </w:tr>
      <w:tr>
        <w:tc>
          <w:tcPr>
            <w:tcW w:type="dxa" w:w="2880"/>
            <w:tcMar>
              <w:top w:w="80" w:type="dxa"/>
              <w:start w:w="100" w:type="dxa"/>
              <w:bottom w:w="80" w:type="dxa"/>
              <w:end w:w="100" w:type="dxa"/>
            </w:tcMar>
            <w:vAlign w:val="top"/>
          </w:tcPr>
          <w:p>
            <w:pPr>
              <w:spacing w:after="0"/>
            </w:pPr>
            <w:r>
              <w:rPr>
                <w:sz w:val="13"/>
              </w:rPr>
              <w:t>Bats Foundation Repair</w:t>
            </w:r>
          </w:p>
        </w:tc>
        <w:tc>
          <w:tcPr>
            <w:tcW w:type="dxa" w:w="1800"/>
            <w:tcMar>
              <w:top w:w="80" w:type="dxa"/>
              <w:start w:w="100" w:type="dxa"/>
              <w:bottom w:w="80" w:type="dxa"/>
              <w:end w:w="100" w:type="dxa"/>
            </w:tcMar>
            <w:vAlign w:val="top"/>
          </w:tcPr>
          <w:p>
            <w:pPr>
              <w:spacing w:after="0"/>
            </w:pPr>
            <w:r>
              <w:rPr>
                <w:sz w:val="13"/>
              </w:rPr>
              <w:t>Foundation repair</w:t>
            </w:r>
          </w:p>
        </w:tc>
        <w:tc>
          <w:tcPr>
            <w:tcW w:type="dxa" w:w="2160"/>
            <w:tcMar>
              <w:top w:w="80" w:type="dxa"/>
              <w:start w:w="100" w:type="dxa"/>
              <w:bottom w:w="80" w:type="dxa"/>
              <w:end w:w="100" w:type="dxa"/>
            </w:tcMar>
            <w:vAlign w:val="top"/>
          </w:tcPr>
          <w:p>
            <w:pPr>
              <w:spacing w:after="0"/>
            </w:pPr>
            <w:r>
              <w:rPr>
                <w:sz w:val="13"/>
              </w:rPr>
              <w:t>Founder/family/local ownership</w:t>
            </w:r>
          </w:p>
        </w:tc>
        <w:tc>
          <w:tcPr>
            <w:tcW w:type="dxa" w:w="2592"/>
            <w:tcMar>
              <w:top w:w="80" w:type="dxa"/>
              <w:start w:w="100" w:type="dxa"/>
              <w:bottom w:w="80" w:type="dxa"/>
              <w:end w:w="100" w:type="dxa"/>
            </w:tcMar>
            <w:vAlign w:val="top"/>
          </w:tcPr>
          <w:p>
            <w:pPr>
              <w:spacing w:after="0"/>
            </w:pPr>
            <w:r>
              <w:rPr>
                <w:sz w:val="13"/>
              </w:rPr>
              <w:t>—</w:t>
            </w:r>
          </w:p>
        </w:tc>
        <w:tc>
          <w:tcPr>
            <w:tcW w:type="dxa" w:w="3888"/>
            <w:tcMar>
              <w:top w:w="80" w:type="dxa"/>
              <w:start w:w="100" w:type="dxa"/>
              <w:bottom w:w="80" w:type="dxa"/>
              <w:end w:w="100" w:type="dxa"/>
            </w:tcMar>
            <w:vAlign w:val="top"/>
          </w:tcPr>
          <w:p>
            <w:pPr>
              <w:spacing w:after="0"/>
            </w:pPr>
            <w:r>
              <w:rPr>
                <w:sz w:val="13"/>
              </w:rPr>
              <w:t>Brent Parks</w:t>
            </w:r>
          </w:p>
        </w:tc>
        <w:tc>
          <w:tcPr>
            <w:tcW w:type="dxa" w:w="576"/>
            <w:tcMar>
              <w:top w:w="80" w:type="dxa"/>
              <w:start w:w="100" w:type="dxa"/>
              <w:bottom w:w="80" w:type="dxa"/>
              <w:end w:w="100" w:type="dxa"/>
            </w:tcMar>
            <w:vAlign w:val="top"/>
          </w:tcPr>
          <w:p>
            <w:pPr>
              <w:spacing w:after="0"/>
            </w:pPr>
            <w:r>
              <w:rPr>
                <w:sz w:val="13"/>
              </w:rPr>
              <w:t>A</w:t>
            </w:r>
          </w:p>
        </w:tc>
      </w:tr>
      <w:tr>
        <w:tc>
          <w:tcPr>
            <w:tcW w:type="dxa" w:w="2880"/>
            <w:tcMar>
              <w:top w:w="80" w:type="dxa"/>
              <w:start w:w="100" w:type="dxa"/>
              <w:bottom w:w="80" w:type="dxa"/>
              <w:end w:w="100" w:type="dxa"/>
            </w:tcMar>
            <w:vAlign w:val="top"/>
          </w:tcPr>
          <w:p>
            <w:pPr>
              <w:spacing w:after="0"/>
            </w:pPr>
            <w:r>
              <w:rPr>
                <w:sz w:val="13"/>
              </w:rPr>
              <w:t>Bruecher Foundation</w:t>
            </w:r>
          </w:p>
        </w:tc>
        <w:tc>
          <w:tcPr>
            <w:tcW w:type="dxa" w:w="1800"/>
            <w:tcMar>
              <w:top w:w="80" w:type="dxa"/>
              <w:start w:w="100" w:type="dxa"/>
              <w:bottom w:w="80" w:type="dxa"/>
              <w:end w:w="100" w:type="dxa"/>
            </w:tcMar>
            <w:vAlign w:val="top"/>
          </w:tcPr>
          <w:p>
            <w:pPr>
              <w:spacing w:after="0"/>
            </w:pPr>
            <w:r>
              <w:rPr>
                <w:sz w:val="13"/>
              </w:rPr>
              <w:t>Foundation repair</w:t>
            </w:r>
          </w:p>
        </w:tc>
        <w:tc>
          <w:tcPr>
            <w:tcW w:type="dxa" w:w="2160"/>
            <w:tcMar>
              <w:top w:w="80" w:type="dxa"/>
              <w:start w:w="100" w:type="dxa"/>
              <w:bottom w:w="80" w:type="dxa"/>
              <w:end w:w="100" w:type="dxa"/>
            </w:tcMar>
            <w:vAlign w:val="top"/>
          </w:tcPr>
          <w:p>
            <w:pPr>
              <w:spacing w:after="0"/>
            </w:pPr>
            <w:r>
              <w:rPr>
                <w:sz w:val="13"/>
              </w:rPr>
              <w:t>Founder/family/local ownership</w:t>
            </w:r>
          </w:p>
        </w:tc>
        <w:tc>
          <w:tcPr>
            <w:tcW w:type="dxa" w:w="2592"/>
            <w:tcMar>
              <w:top w:w="80" w:type="dxa"/>
              <w:start w:w="100" w:type="dxa"/>
              <w:bottom w:w="80" w:type="dxa"/>
              <w:end w:w="100" w:type="dxa"/>
            </w:tcMar>
            <w:vAlign w:val="top"/>
          </w:tcPr>
          <w:p>
            <w:pPr>
              <w:spacing w:after="0"/>
            </w:pPr>
            <w:r>
              <w:rPr>
                <w:sz w:val="13"/>
              </w:rPr>
              <w:t>—</w:t>
            </w:r>
          </w:p>
        </w:tc>
        <w:tc>
          <w:tcPr>
            <w:tcW w:type="dxa" w:w="3888"/>
            <w:tcMar>
              <w:top w:w="80" w:type="dxa"/>
              <w:start w:w="100" w:type="dxa"/>
              <w:bottom w:w="80" w:type="dxa"/>
              <w:end w:w="100" w:type="dxa"/>
            </w:tcMar>
            <w:vAlign w:val="top"/>
          </w:tcPr>
          <w:p>
            <w:pPr>
              <w:spacing w:after="0"/>
            </w:pPr>
            <w:r>
              <w:rPr>
                <w:sz w:val="13"/>
              </w:rPr>
              <w:t>Bruecher family / local owners</w:t>
            </w:r>
          </w:p>
        </w:tc>
        <w:tc>
          <w:tcPr>
            <w:tcW w:type="dxa" w:w="576"/>
            <w:tcMar>
              <w:top w:w="80" w:type="dxa"/>
              <w:start w:w="100" w:type="dxa"/>
              <w:bottom w:w="80" w:type="dxa"/>
              <w:end w:w="100" w:type="dxa"/>
            </w:tcMar>
            <w:vAlign w:val="top"/>
          </w:tcPr>
          <w:p>
            <w:pPr>
              <w:spacing w:after="0"/>
            </w:pPr>
            <w:r>
              <w:rPr>
                <w:sz w:val="13"/>
              </w:rPr>
              <w:t>C</w:t>
            </w:r>
          </w:p>
        </w:tc>
      </w:tr>
      <w:tr>
        <w:tc>
          <w:tcPr>
            <w:tcW w:type="dxa" w:w="2880"/>
            <w:tcMar>
              <w:top w:w="80" w:type="dxa"/>
              <w:start w:w="100" w:type="dxa"/>
              <w:bottom w:w="80" w:type="dxa"/>
              <w:end w:w="100" w:type="dxa"/>
            </w:tcMar>
            <w:vAlign w:val="top"/>
          </w:tcPr>
          <w:p>
            <w:pPr>
              <w:spacing w:after="0"/>
            </w:pPr>
            <w:r>
              <w:rPr>
                <w:sz w:val="13"/>
              </w:rPr>
              <w:t>CenTex Foundation Repair</w:t>
            </w:r>
          </w:p>
        </w:tc>
        <w:tc>
          <w:tcPr>
            <w:tcW w:type="dxa" w:w="1800"/>
            <w:tcMar>
              <w:top w:w="80" w:type="dxa"/>
              <w:start w:w="100" w:type="dxa"/>
              <w:bottom w:w="80" w:type="dxa"/>
              <w:end w:w="100" w:type="dxa"/>
            </w:tcMar>
            <w:vAlign w:val="top"/>
          </w:tcPr>
          <w:p>
            <w:pPr>
              <w:spacing w:after="0"/>
            </w:pPr>
            <w:r>
              <w:rPr>
                <w:sz w:val="13"/>
              </w:rPr>
              <w:t>Foundation repair</w:t>
            </w:r>
          </w:p>
        </w:tc>
        <w:tc>
          <w:tcPr>
            <w:tcW w:type="dxa" w:w="2160"/>
            <w:tcMar>
              <w:top w:w="80" w:type="dxa"/>
              <w:start w:w="100" w:type="dxa"/>
              <w:bottom w:w="80" w:type="dxa"/>
              <w:end w:w="100" w:type="dxa"/>
            </w:tcMar>
            <w:vAlign w:val="top"/>
          </w:tcPr>
          <w:p>
            <w:pPr>
              <w:spacing w:after="0"/>
            </w:pPr>
            <w:r>
              <w:rPr>
                <w:sz w:val="13"/>
              </w:rPr>
              <w:t>Private/control unresolved</w:t>
            </w:r>
          </w:p>
        </w:tc>
        <w:tc>
          <w:tcPr>
            <w:tcW w:type="dxa" w:w="2592"/>
            <w:tcMar>
              <w:top w:w="80" w:type="dxa"/>
              <w:start w:w="100" w:type="dxa"/>
              <w:bottom w:w="80" w:type="dxa"/>
              <w:end w:w="100" w:type="dxa"/>
            </w:tcMar>
            <w:vAlign w:val="top"/>
          </w:tcPr>
          <w:p>
            <w:pPr>
              <w:spacing w:after="0"/>
            </w:pPr>
            <w:r>
              <w:rPr>
                <w:sz w:val="13"/>
              </w:rPr>
              <w:t>—</w:t>
            </w:r>
          </w:p>
        </w:tc>
        <w:tc>
          <w:tcPr>
            <w:tcW w:type="dxa" w:w="3888"/>
            <w:tcMar>
              <w:top w:w="80" w:type="dxa"/>
              <w:start w:w="100" w:type="dxa"/>
              <w:bottom w:w="80" w:type="dxa"/>
              <w:end w:w="100" w:type="dxa"/>
            </w:tcMar>
            <w:vAlign w:val="top"/>
          </w:tcPr>
          <w:p>
            <w:pPr>
              <w:spacing w:after="0"/>
            </w:pPr>
            <w:r>
              <w:rPr>
                <w:sz w:val="13"/>
              </w:rPr>
              <w:t>Current controller unresolved</w:t>
            </w:r>
          </w:p>
        </w:tc>
        <w:tc>
          <w:tcPr>
            <w:tcW w:type="dxa" w:w="576"/>
            <w:tcMar>
              <w:top w:w="80" w:type="dxa"/>
              <w:start w:w="100" w:type="dxa"/>
              <w:bottom w:w="80" w:type="dxa"/>
              <w:end w:w="100" w:type="dxa"/>
            </w:tcMar>
            <w:vAlign w:val="top"/>
          </w:tcPr>
          <w:p>
            <w:pPr>
              <w:spacing w:after="0"/>
            </w:pPr>
            <w:r>
              <w:rPr>
                <w:sz w:val="13"/>
              </w:rPr>
              <w:t>D</w:t>
            </w:r>
          </w:p>
        </w:tc>
      </w:tr>
      <w:tr>
        <w:tc>
          <w:tcPr>
            <w:tcW w:type="dxa" w:w="2880"/>
            <w:tcMar>
              <w:top w:w="80" w:type="dxa"/>
              <w:start w:w="100" w:type="dxa"/>
              <w:bottom w:w="80" w:type="dxa"/>
              <w:end w:w="100" w:type="dxa"/>
            </w:tcMar>
            <w:vAlign w:val="top"/>
          </w:tcPr>
          <w:p>
            <w:pPr>
              <w:spacing w:after="0"/>
            </w:pPr>
            <w:r>
              <w:rPr>
                <w:sz w:val="13"/>
              </w:rPr>
              <w:t>Douglas Foundation Repair</w:t>
            </w:r>
          </w:p>
        </w:tc>
        <w:tc>
          <w:tcPr>
            <w:tcW w:type="dxa" w:w="1800"/>
            <w:tcMar>
              <w:top w:w="80" w:type="dxa"/>
              <w:start w:w="100" w:type="dxa"/>
              <w:bottom w:w="80" w:type="dxa"/>
              <w:end w:w="100" w:type="dxa"/>
            </w:tcMar>
            <w:vAlign w:val="top"/>
          </w:tcPr>
          <w:p>
            <w:pPr>
              <w:spacing w:after="0"/>
            </w:pPr>
            <w:r>
              <w:rPr>
                <w:sz w:val="13"/>
              </w:rPr>
              <w:t>Foundation repair</w:t>
            </w:r>
          </w:p>
        </w:tc>
        <w:tc>
          <w:tcPr>
            <w:tcW w:type="dxa" w:w="2160"/>
            <w:tcMar>
              <w:top w:w="80" w:type="dxa"/>
              <w:start w:w="100" w:type="dxa"/>
              <w:bottom w:w="80" w:type="dxa"/>
              <w:end w:w="100" w:type="dxa"/>
            </w:tcMar>
            <w:vAlign w:val="top"/>
          </w:tcPr>
          <w:p>
            <w:pPr>
              <w:spacing w:after="0"/>
            </w:pPr>
            <w:r>
              <w:rPr>
                <w:sz w:val="13"/>
              </w:rPr>
              <w:t>Private/control unresolved</w:t>
            </w:r>
          </w:p>
        </w:tc>
        <w:tc>
          <w:tcPr>
            <w:tcW w:type="dxa" w:w="2592"/>
            <w:tcMar>
              <w:top w:w="80" w:type="dxa"/>
              <w:start w:w="100" w:type="dxa"/>
              <w:bottom w:w="80" w:type="dxa"/>
              <w:end w:w="100" w:type="dxa"/>
            </w:tcMar>
            <w:vAlign w:val="top"/>
          </w:tcPr>
          <w:p>
            <w:pPr>
              <w:spacing w:after="0"/>
            </w:pPr>
            <w:r>
              <w:rPr>
                <w:sz w:val="13"/>
              </w:rPr>
              <w:t>—</w:t>
            </w:r>
          </w:p>
        </w:tc>
        <w:tc>
          <w:tcPr>
            <w:tcW w:type="dxa" w:w="3888"/>
            <w:tcMar>
              <w:top w:w="80" w:type="dxa"/>
              <w:start w:w="100" w:type="dxa"/>
              <w:bottom w:w="80" w:type="dxa"/>
              <w:end w:w="100" w:type="dxa"/>
            </w:tcMar>
            <w:vAlign w:val="top"/>
          </w:tcPr>
          <w:p>
            <w:pPr>
              <w:spacing w:after="0"/>
            </w:pPr>
            <w:r>
              <w:rPr>
                <w:sz w:val="13"/>
              </w:rPr>
              <w:t>Current controller unresolved</w:t>
            </w:r>
          </w:p>
        </w:tc>
        <w:tc>
          <w:tcPr>
            <w:tcW w:type="dxa" w:w="576"/>
            <w:tcMar>
              <w:top w:w="80" w:type="dxa"/>
              <w:start w:w="100" w:type="dxa"/>
              <w:bottom w:w="80" w:type="dxa"/>
              <w:end w:w="100" w:type="dxa"/>
            </w:tcMar>
            <w:vAlign w:val="top"/>
          </w:tcPr>
          <w:p>
            <w:pPr>
              <w:spacing w:after="0"/>
            </w:pPr>
            <w:r>
              <w:rPr>
                <w:sz w:val="13"/>
              </w:rPr>
              <w:t>D</w:t>
            </w:r>
          </w:p>
        </w:tc>
      </w:tr>
      <w:tr>
        <w:tc>
          <w:tcPr>
            <w:tcW w:type="dxa" w:w="2880"/>
            <w:tcMar>
              <w:top w:w="80" w:type="dxa"/>
              <w:start w:w="100" w:type="dxa"/>
              <w:bottom w:w="80" w:type="dxa"/>
              <w:end w:w="100" w:type="dxa"/>
            </w:tcMar>
            <w:vAlign w:val="top"/>
          </w:tcPr>
          <w:p>
            <w:pPr>
              <w:spacing w:after="0"/>
            </w:pPr>
            <w:r>
              <w:rPr>
                <w:sz w:val="13"/>
              </w:rPr>
              <w:t>G.L. Hunt Foundation Repair</w:t>
            </w:r>
          </w:p>
        </w:tc>
        <w:tc>
          <w:tcPr>
            <w:tcW w:type="dxa" w:w="1800"/>
            <w:tcMar>
              <w:top w:w="80" w:type="dxa"/>
              <w:start w:w="100" w:type="dxa"/>
              <w:bottom w:w="80" w:type="dxa"/>
              <w:end w:w="100" w:type="dxa"/>
            </w:tcMar>
            <w:vAlign w:val="top"/>
          </w:tcPr>
          <w:p>
            <w:pPr>
              <w:spacing w:after="0"/>
            </w:pPr>
            <w:r>
              <w:rPr>
                <w:sz w:val="13"/>
              </w:rPr>
              <w:t>Foundation repair</w:t>
            </w:r>
          </w:p>
        </w:tc>
        <w:tc>
          <w:tcPr>
            <w:tcW w:type="dxa" w:w="2160"/>
            <w:tcMar>
              <w:top w:w="80" w:type="dxa"/>
              <w:start w:w="100" w:type="dxa"/>
              <w:bottom w:w="80" w:type="dxa"/>
              <w:end w:w="100" w:type="dxa"/>
            </w:tcMar>
            <w:vAlign w:val="top"/>
          </w:tcPr>
          <w:p>
            <w:pPr>
              <w:spacing w:after="0"/>
            </w:pPr>
            <w:r>
              <w:rPr>
                <w:sz w:val="13"/>
              </w:rPr>
              <w:t>Founder/family/local ownership</w:t>
            </w:r>
          </w:p>
        </w:tc>
        <w:tc>
          <w:tcPr>
            <w:tcW w:type="dxa" w:w="2592"/>
            <w:tcMar>
              <w:top w:w="80" w:type="dxa"/>
              <w:start w:w="100" w:type="dxa"/>
              <w:bottom w:w="80" w:type="dxa"/>
              <w:end w:w="100" w:type="dxa"/>
            </w:tcMar>
            <w:vAlign w:val="top"/>
          </w:tcPr>
          <w:p>
            <w:pPr>
              <w:spacing w:after="0"/>
            </w:pPr>
            <w:r>
              <w:rPr>
                <w:sz w:val="13"/>
              </w:rPr>
              <w:t>—</w:t>
            </w:r>
          </w:p>
        </w:tc>
        <w:tc>
          <w:tcPr>
            <w:tcW w:type="dxa" w:w="3888"/>
            <w:tcMar>
              <w:top w:w="80" w:type="dxa"/>
              <w:start w:w="100" w:type="dxa"/>
              <w:bottom w:w="80" w:type="dxa"/>
              <w:end w:w="100" w:type="dxa"/>
            </w:tcMar>
            <w:vAlign w:val="top"/>
          </w:tcPr>
          <w:p>
            <w:pPr>
              <w:spacing w:after="0"/>
            </w:pPr>
            <w:r>
              <w:rPr>
                <w:sz w:val="13"/>
              </w:rPr>
              <w:t>Gary Hunt / Hunt family</w:t>
            </w:r>
          </w:p>
        </w:tc>
        <w:tc>
          <w:tcPr>
            <w:tcW w:type="dxa" w:w="576"/>
            <w:tcMar>
              <w:top w:w="80" w:type="dxa"/>
              <w:start w:w="100" w:type="dxa"/>
              <w:bottom w:w="80" w:type="dxa"/>
              <w:end w:w="100" w:type="dxa"/>
            </w:tcMar>
            <w:vAlign w:val="top"/>
          </w:tcPr>
          <w:p>
            <w:pPr>
              <w:spacing w:after="0"/>
            </w:pPr>
            <w:r>
              <w:rPr>
                <w:sz w:val="13"/>
              </w:rPr>
              <w:t>B</w:t>
            </w:r>
          </w:p>
        </w:tc>
      </w:tr>
      <w:tr>
        <w:tc>
          <w:tcPr>
            <w:tcW w:type="dxa" w:w="2880"/>
            <w:tcMar>
              <w:top w:w="80" w:type="dxa"/>
              <w:start w:w="100" w:type="dxa"/>
              <w:bottom w:w="80" w:type="dxa"/>
              <w:end w:w="100" w:type="dxa"/>
            </w:tcMar>
            <w:vAlign w:val="top"/>
          </w:tcPr>
          <w:p>
            <w:pPr>
              <w:spacing w:after="0"/>
            </w:pPr>
            <w:r>
              <w:rPr>
                <w:sz w:val="13"/>
              </w:rPr>
              <w:t>Groundworks</w:t>
            </w:r>
          </w:p>
        </w:tc>
        <w:tc>
          <w:tcPr>
            <w:tcW w:type="dxa" w:w="1800"/>
            <w:tcMar>
              <w:top w:w="80" w:type="dxa"/>
              <w:start w:w="100" w:type="dxa"/>
              <w:bottom w:w="80" w:type="dxa"/>
              <w:end w:w="100" w:type="dxa"/>
            </w:tcMar>
            <w:vAlign w:val="top"/>
          </w:tcPr>
          <w:p>
            <w:pPr>
              <w:spacing w:after="0"/>
            </w:pPr>
            <w:r>
              <w:rPr>
                <w:sz w:val="13"/>
              </w:rPr>
              <w:t>Foundation repair</w:t>
            </w:r>
          </w:p>
        </w:tc>
        <w:tc>
          <w:tcPr>
            <w:tcW w:type="dxa" w:w="2160"/>
            <w:tcMar>
              <w:top w:w="80" w:type="dxa"/>
              <w:start w:w="100" w:type="dxa"/>
              <w:bottom w:w="80" w:type="dxa"/>
              <w:end w:w="100" w:type="dxa"/>
            </w:tcMar>
            <w:vAlign w:val="top"/>
          </w:tcPr>
          <w:p>
            <w:pPr>
              <w:spacing w:after="0"/>
            </w:pPr>
            <w:r>
              <w:rPr>
                <w:sz w:val="13"/>
              </w:rPr>
              <w:t>Sponsor-backed platform</w:t>
            </w:r>
          </w:p>
        </w:tc>
        <w:tc>
          <w:tcPr>
            <w:tcW w:type="dxa" w:w="2592"/>
            <w:tcMar>
              <w:top w:w="80" w:type="dxa"/>
              <w:start w:w="100" w:type="dxa"/>
              <w:bottom w:w="80" w:type="dxa"/>
              <w:end w:w="100" w:type="dxa"/>
            </w:tcMar>
            <w:vAlign w:val="top"/>
          </w:tcPr>
          <w:p>
            <w:pPr>
              <w:spacing w:after="0"/>
            </w:pPr>
            <w:r>
              <w:rPr>
                <w:sz w:val="13"/>
              </w:rPr>
              <w:t>Groundworks Companies, LLC</w:t>
            </w:r>
          </w:p>
        </w:tc>
        <w:tc>
          <w:tcPr>
            <w:tcW w:type="dxa" w:w="3888"/>
            <w:tcMar>
              <w:top w:w="80" w:type="dxa"/>
              <w:start w:w="100" w:type="dxa"/>
              <w:bottom w:w="80" w:type="dxa"/>
              <w:end w:w="100" w:type="dxa"/>
            </w:tcMar>
            <w:vAlign w:val="top"/>
          </w:tcPr>
          <w:p>
            <w:pPr>
              <w:spacing w:after="0"/>
            </w:pPr>
            <w:r>
              <w:rPr>
                <w:sz w:val="13"/>
              </w:rPr>
              <w:t>KKR; Cortec retains minority positions</w:t>
            </w:r>
          </w:p>
        </w:tc>
        <w:tc>
          <w:tcPr>
            <w:tcW w:type="dxa" w:w="576"/>
            <w:tcMar>
              <w:top w:w="80" w:type="dxa"/>
              <w:start w:w="100" w:type="dxa"/>
              <w:bottom w:w="80" w:type="dxa"/>
              <w:end w:w="100" w:type="dxa"/>
            </w:tcMar>
            <w:vAlign w:val="top"/>
          </w:tcPr>
          <w:p>
            <w:pPr>
              <w:spacing w:after="0"/>
            </w:pPr>
            <w:r>
              <w:rPr>
                <w:sz w:val="13"/>
              </w:rPr>
              <w:t>A</w:t>
            </w:r>
          </w:p>
        </w:tc>
      </w:tr>
      <w:tr>
        <w:tc>
          <w:tcPr>
            <w:tcW w:type="dxa" w:w="2880"/>
            <w:tcMar>
              <w:top w:w="80" w:type="dxa"/>
              <w:start w:w="100" w:type="dxa"/>
              <w:bottom w:w="80" w:type="dxa"/>
              <w:end w:w="100" w:type="dxa"/>
            </w:tcMar>
            <w:vAlign w:val="top"/>
          </w:tcPr>
          <w:p>
            <w:pPr>
              <w:spacing w:after="0"/>
            </w:pPr>
            <w:r>
              <w:rPr>
                <w:sz w:val="13"/>
              </w:rPr>
              <w:t>Olshan Foundation Repair</w:t>
            </w:r>
          </w:p>
        </w:tc>
        <w:tc>
          <w:tcPr>
            <w:tcW w:type="dxa" w:w="1800"/>
            <w:tcMar>
              <w:top w:w="80" w:type="dxa"/>
              <w:start w:w="100" w:type="dxa"/>
              <w:bottom w:w="80" w:type="dxa"/>
              <w:end w:w="100" w:type="dxa"/>
            </w:tcMar>
            <w:vAlign w:val="top"/>
          </w:tcPr>
          <w:p>
            <w:pPr>
              <w:spacing w:after="0"/>
            </w:pPr>
            <w:r>
              <w:rPr>
                <w:sz w:val="13"/>
              </w:rPr>
              <w:t>Foundation repair</w:t>
            </w:r>
          </w:p>
        </w:tc>
        <w:tc>
          <w:tcPr>
            <w:tcW w:type="dxa" w:w="2160"/>
            <w:tcMar>
              <w:top w:w="80" w:type="dxa"/>
              <w:start w:w="100" w:type="dxa"/>
              <w:bottom w:w="80" w:type="dxa"/>
              <w:end w:w="100" w:type="dxa"/>
            </w:tcMar>
            <w:vAlign w:val="top"/>
          </w:tcPr>
          <w:p>
            <w:pPr>
              <w:spacing w:after="0"/>
            </w:pPr>
            <w:r>
              <w:rPr>
                <w:sz w:val="13"/>
              </w:rPr>
              <w:t>Private/control unresolved</w:t>
            </w:r>
          </w:p>
        </w:tc>
        <w:tc>
          <w:tcPr>
            <w:tcW w:type="dxa" w:w="2592"/>
            <w:tcMar>
              <w:top w:w="80" w:type="dxa"/>
              <w:start w:w="100" w:type="dxa"/>
              <w:bottom w:w="80" w:type="dxa"/>
              <w:end w:w="100" w:type="dxa"/>
            </w:tcMar>
            <w:vAlign w:val="top"/>
          </w:tcPr>
          <w:p>
            <w:pPr>
              <w:spacing w:after="0"/>
            </w:pPr>
            <w:r>
              <w:rPr>
                <w:sz w:val="13"/>
              </w:rPr>
              <w:t>Olshan Foundation Repair</w:t>
            </w:r>
          </w:p>
        </w:tc>
        <w:tc>
          <w:tcPr>
            <w:tcW w:type="dxa" w:w="3888"/>
            <w:tcMar>
              <w:top w:w="80" w:type="dxa"/>
              <w:start w:w="100" w:type="dxa"/>
              <w:bottom w:w="80" w:type="dxa"/>
              <w:end w:w="100" w:type="dxa"/>
            </w:tcMar>
            <w:vAlign w:val="top"/>
          </w:tcPr>
          <w:p>
            <w:pPr>
              <w:spacing w:after="0"/>
            </w:pPr>
            <w:r>
              <w:rPr>
                <w:sz w:val="13"/>
              </w:rPr>
              <w:t>Current controlling owner unresolved</w:t>
            </w:r>
          </w:p>
        </w:tc>
        <w:tc>
          <w:tcPr>
            <w:tcW w:type="dxa" w:w="576"/>
            <w:tcMar>
              <w:top w:w="80" w:type="dxa"/>
              <w:start w:w="100" w:type="dxa"/>
              <w:bottom w:w="80" w:type="dxa"/>
              <w:end w:w="100" w:type="dxa"/>
            </w:tcMar>
            <w:vAlign w:val="top"/>
          </w:tcPr>
          <w:p>
            <w:pPr>
              <w:spacing w:after="0"/>
            </w:pPr>
            <w:r>
              <w:rPr>
                <w:sz w:val="13"/>
              </w:rPr>
              <w:t>D</w:t>
            </w:r>
          </w:p>
        </w:tc>
      </w:tr>
      <w:tr>
        <w:tc>
          <w:tcPr>
            <w:tcW w:type="dxa" w:w="2880"/>
            <w:tcMar>
              <w:top w:w="80" w:type="dxa"/>
              <w:start w:w="100" w:type="dxa"/>
              <w:bottom w:w="80" w:type="dxa"/>
              <w:end w:w="100" w:type="dxa"/>
            </w:tcMar>
            <w:vAlign w:val="top"/>
          </w:tcPr>
          <w:p>
            <w:pPr>
              <w:spacing w:after="0"/>
            </w:pPr>
            <w:r>
              <w:rPr>
                <w:sz w:val="13"/>
              </w:rPr>
              <w:t>Quality Foundation Repair</w:t>
            </w:r>
          </w:p>
        </w:tc>
        <w:tc>
          <w:tcPr>
            <w:tcW w:type="dxa" w:w="1800"/>
            <w:tcMar>
              <w:top w:w="80" w:type="dxa"/>
              <w:start w:w="100" w:type="dxa"/>
              <w:bottom w:w="80" w:type="dxa"/>
              <w:end w:w="100" w:type="dxa"/>
            </w:tcMar>
            <w:vAlign w:val="top"/>
          </w:tcPr>
          <w:p>
            <w:pPr>
              <w:spacing w:after="0"/>
            </w:pPr>
            <w:r>
              <w:rPr>
                <w:sz w:val="13"/>
              </w:rPr>
              <w:t>Foundation repair</w:t>
            </w:r>
          </w:p>
        </w:tc>
        <w:tc>
          <w:tcPr>
            <w:tcW w:type="dxa" w:w="2160"/>
            <w:tcMar>
              <w:top w:w="80" w:type="dxa"/>
              <w:start w:w="100" w:type="dxa"/>
              <w:bottom w:w="80" w:type="dxa"/>
              <w:end w:w="100" w:type="dxa"/>
            </w:tcMar>
            <w:vAlign w:val="top"/>
          </w:tcPr>
          <w:p>
            <w:pPr>
              <w:spacing w:after="0"/>
            </w:pPr>
            <w:r>
              <w:rPr>
                <w:sz w:val="13"/>
              </w:rPr>
              <w:t>Founder/family/local ownership</w:t>
            </w:r>
          </w:p>
        </w:tc>
        <w:tc>
          <w:tcPr>
            <w:tcW w:type="dxa" w:w="2592"/>
            <w:tcMar>
              <w:top w:w="80" w:type="dxa"/>
              <w:start w:w="100" w:type="dxa"/>
              <w:bottom w:w="80" w:type="dxa"/>
              <w:end w:w="100" w:type="dxa"/>
            </w:tcMar>
            <w:vAlign w:val="top"/>
          </w:tcPr>
          <w:p>
            <w:pPr>
              <w:spacing w:after="0"/>
            </w:pPr>
            <w:r>
              <w:rPr>
                <w:sz w:val="13"/>
              </w:rPr>
              <w:t>—</w:t>
            </w:r>
          </w:p>
        </w:tc>
        <w:tc>
          <w:tcPr>
            <w:tcW w:type="dxa" w:w="3888"/>
            <w:tcMar>
              <w:top w:w="80" w:type="dxa"/>
              <w:start w:w="100" w:type="dxa"/>
              <w:bottom w:w="80" w:type="dxa"/>
              <w:end w:w="100" w:type="dxa"/>
            </w:tcMar>
            <w:vAlign w:val="top"/>
          </w:tcPr>
          <w:p>
            <w:pPr>
              <w:spacing w:after="0"/>
            </w:pPr>
            <w:r>
              <w:rPr>
                <w:sz w:val="13"/>
              </w:rPr>
              <w:t>Simon Wallace</w:t>
            </w:r>
          </w:p>
        </w:tc>
        <w:tc>
          <w:tcPr>
            <w:tcW w:type="dxa" w:w="576"/>
            <w:tcMar>
              <w:top w:w="80" w:type="dxa"/>
              <w:start w:w="100" w:type="dxa"/>
              <w:bottom w:w="80" w:type="dxa"/>
              <w:end w:w="100" w:type="dxa"/>
            </w:tcMar>
            <w:vAlign w:val="top"/>
          </w:tcPr>
          <w:p>
            <w:pPr>
              <w:spacing w:after="0"/>
            </w:pPr>
            <w:r>
              <w:rPr>
                <w:sz w:val="13"/>
              </w:rPr>
              <w:t>B</w:t>
            </w:r>
          </w:p>
        </w:tc>
      </w:tr>
      <w:tr>
        <w:tc>
          <w:tcPr>
            <w:tcW w:type="dxa" w:w="2880"/>
            <w:tcMar>
              <w:top w:w="80" w:type="dxa"/>
              <w:start w:w="100" w:type="dxa"/>
              <w:bottom w:w="80" w:type="dxa"/>
              <w:end w:w="100" w:type="dxa"/>
            </w:tcMar>
            <w:vAlign w:val="top"/>
          </w:tcPr>
          <w:p>
            <w:pPr>
              <w:spacing w:after="0"/>
            </w:pPr>
            <w:r>
              <w:rPr>
                <w:sz w:val="13"/>
              </w:rPr>
              <w:t>Ram Jack Austin</w:t>
            </w:r>
          </w:p>
        </w:tc>
        <w:tc>
          <w:tcPr>
            <w:tcW w:type="dxa" w:w="1800"/>
            <w:tcMar>
              <w:top w:w="80" w:type="dxa"/>
              <w:start w:w="100" w:type="dxa"/>
              <w:bottom w:w="80" w:type="dxa"/>
              <w:end w:w="100" w:type="dxa"/>
            </w:tcMar>
            <w:vAlign w:val="top"/>
          </w:tcPr>
          <w:p>
            <w:pPr>
              <w:spacing w:after="0"/>
            </w:pPr>
            <w:r>
              <w:rPr>
                <w:sz w:val="13"/>
              </w:rPr>
              <w:t>Foundation repair</w:t>
            </w:r>
          </w:p>
        </w:tc>
        <w:tc>
          <w:tcPr>
            <w:tcW w:type="dxa" w:w="2160"/>
            <w:tcMar>
              <w:top w:w="80" w:type="dxa"/>
              <w:start w:w="100" w:type="dxa"/>
              <w:bottom w:w="80" w:type="dxa"/>
              <w:end w:w="100" w:type="dxa"/>
            </w:tcMar>
            <w:vAlign w:val="top"/>
          </w:tcPr>
          <w:p>
            <w:pPr>
              <w:spacing w:after="0"/>
            </w:pPr>
            <w:r>
              <w:rPr>
                <w:sz w:val="13"/>
              </w:rPr>
              <w:t>Local franchise operator</w:t>
            </w:r>
          </w:p>
        </w:tc>
        <w:tc>
          <w:tcPr>
            <w:tcW w:type="dxa" w:w="2592"/>
            <w:tcMar>
              <w:top w:w="80" w:type="dxa"/>
              <w:start w:w="100" w:type="dxa"/>
              <w:bottom w:w="80" w:type="dxa"/>
              <w:end w:w="100" w:type="dxa"/>
            </w:tcMar>
            <w:vAlign w:val="top"/>
          </w:tcPr>
          <w:p>
            <w:pPr>
              <w:spacing w:after="0"/>
            </w:pPr>
            <w:r>
              <w:rPr>
                <w:sz w:val="13"/>
              </w:rPr>
              <w:t>Ram Jack franchise system</w:t>
            </w:r>
          </w:p>
        </w:tc>
        <w:tc>
          <w:tcPr>
            <w:tcW w:type="dxa" w:w="3888"/>
            <w:tcMar>
              <w:top w:w="80" w:type="dxa"/>
              <w:start w:w="100" w:type="dxa"/>
              <w:bottom w:w="80" w:type="dxa"/>
              <w:end w:w="100" w:type="dxa"/>
            </w:tcMar>
            <w:vAlign w:val="top"/>
          </w:tcPr>
          <w:p>
            <w:pPr>
              <w:spacing w:after="0"/>
            </w:pPr>
            <w:r>
              <w:rPr>
                <w:sz w:val="13"/>
              </w:rPr>
              <w:t>Local franchisee identity unresolved</w:t>
            </w:r>
          </w:p>
        </w:tc>
        <w:tc>
          <w:tcPr>
            <w:tcW w:type="dxa" w:w="576"/>
            <w:tcMar>
              <w:top w:w="80" w:type="dxa"/>
              <w:start w:w="100" w:type="dxa"/>
              <w:bottom w:w="80" w:type="dxa"/>
              <w:end w:w="100" w:type="dxa"/>
            </w:tcMar>
            <w:vAlign w:val="top"/>
          </w:tcPr>
          <w:p>
            <w:pPr>
              <w:spacing w:after="0"/>
            </w:pPr>
            <w:r>
              <w:rPr>
                <w:sz w:val="13"/>
              </w:rPr>
              <w:t>B</w:t>
            </w:r>
          </w:p>
        </w:tc>
      </w:tr>
      <w:tr>
        <w:tc>
          <w:tcPr>
            <w:tcW w:type="dxa" w:w="2880"/>
            <w:tcMar>
              <w:top w:w="80" w:type="dxa"/>
              <w:start w:w="100" w:type="dxa"/>
              <w:bottom w:w="80" w:type="dxa"/>
              <w:end w:w="100" w:type="dxa"/>
            </w:tcMar>
            <w:vAlign w:val="top"/>
          </w:tcPr>
          <w:p>
            <w:pPr>
              <w:spacing w:after="0"/>
            </w:pPr>
            <w:r>
              <w:rPr>
                <w:sz w:val="13"/>
              </w:rPr>
              <w:t>ABC Home &amp; Commercial Services</w:t>
            </w:r>
          </w:p>
        </w:tc>
        <w:tc>
          <w:tcPr>
            <w:tcW w:type="dxa" w:w="1800"/>
            <w:tcMar>
              <w:top w:w="80" w:type="dxa"/>
              <w:start w:w="100" w:type="dxa"/>
              <w:bottom w:w="80" w:type="dxa"/>
              <w:end w:w="100" w:type="dxa"/>
            </w:tcMar>
            <w:vAlign w:val="top"/>
          </w:tcPr>
          <w:p>
            <w:pPr>
              <w:spacing w:after="0"/>
            </w:pPr>
            <w:r>
              <w:rPr>
                <w:sz w:val="13"/>
              </w:rPr>
              <w:t>HVAC, plumbing and electrical</w:t>
            </w:r>
          </w:p>
        </w:tc>
        <w:tc>
          <w:tcPr>
            <w:tcW w:type="dxa" w:w="2160"/>
            <w:tcMar>
              <w:top w:w="80" w:type="dxa"/>
              <w:start w:w="100" w:type="dxa"/>
              <w:bottom w:w="80" w:type="dxa"/>
              <w:end w:w="100" w:type="dxa"/>
            </w:tcMar>
            <w:vAlign w:val="top"/>
          </w:tcPr>
          <w:p>
            <w:pPr>
              <w:spacing w:after="0"/>
            </w:pPr>
            <w:r>
              <w:rPr>
                <w:sz w:val="13"/>
              </w:rPr>
              <w:t>Founder/family/local ownership</w:t>
            </w:r>
          </w:p>
        </w:tc>
        <w:tc>
          <w:tcPr>
            <w:tcW w:type="dxa" w:w="2592"/>
            <w:tcMar>
              <w:top w:w="80" w:type="dxa"/>
              <w:start w:w="100" w:type="dxa"/>
              <w:bottom w:w="80" w:type="dxa"/>
              <w:end w:w="100" w:type="dxa"/>
            </w:tcMar>
            <w:vAlign w:val="top"/>
          </w:tcPr>
          <w:p>
            <w:pPr>
              <w:spacing w:after="0"/>
            </w:pPr>
            <w:r>
              <w:rPr>
                <w:sz w:val="13"/>
              </w:rPr>
              <w:t>—</w:t>
            </w:r>
          </w:p>
        </w:tc>
        <w:tc>
          <w:tcPr>
            <w:tcW w:type="dxa" w:w="3888"/>
            <w:tcMar>
              <w:top w:w="80" w:type="dxa"/>
              <w:start w:w="100" w:type="dxa"/>
              <w:bottom w:w="80" w:type="dxa"/>
              <w:end w:w="100" w:type="dxa"/>
            </w:tcMar>
            <w:vAlign w:val="top"/>
          </w:tcPr>
          <w:p>
            <w:pPr>
              <w:spacing w:after="0"/>
            </w:pPr>
            <w:r>
              <w:rPr>
                <w:sz w:val="13"/>
              </w:rPr>
              <w:t>Jenkins family / Bobby Jenkins</w:t>
            </w:r>
          </w:p>
        </w:tc>
        <w:tc>
          <w:tcPr>
            <w:tcW w:type="dxa" w:w="576"/>
            <w:tcMar>
              <w:top w:w="80" w:type="dxa"/>
              <w:start w:w="100" w:type="dxa"/>
              <w:bottom w:w="80" w:type="dxa"/>
              <w:end w:w="100" w:type="dxa"/>
            </w:tcMar>
            <w:vAlign w:val="top"/>
          </w:tcPr>
          <w:p>
            <w:pPr>
              <w:spacing w:after="0"/>
            </w:pPr>
            <w:r>
              <w:rPr>
                <w:sz w:val="13"/>
              </w:rPr>
              <w:t>B</w:t>
            </w:r>
          </w:p>
        </w:tc>
      </w:tr>
      <w:tr>
        <w:tc>
          <w:tcPr>
            <w:tcW w:type="dxa" w:w="2880"/>
            <w:tcMar>
              <w:top w:w="80" w:type="dxa"/>
              <w:start w:w="100" w:type="dxa"/>
              <w:bottom w:w="80" w:type="dxa"/>
              <w:end w:w="100" w:type="dxa"/>
            </w:tcMar>
            <w:vAlign w:val="top"/>
          </w:tcPr>
          <w:p>
            <w:pPr>
              <w:spacing w:after="0"/>
            </w:pPr>
            <w:r>
              <w:rPr>
                <w:sz w:val="13"/>
              </w:rPr>
              <w:t>ARS/Rescue Rooter Austin</w:t>
            </w:r>
          </w:p>
        </w:tc>
        <w:tc>
          <w:tcPr>
            <w:tcW w:type="dxa" w:w="1800"/>
            <w:tcMar>
              <w:top w:w="80" w:type="dxa"/>
              <w:start w:w="100" w:type="dxa"/>
              <w:bottom w:w="80" w:type="dxa"/>
              <w:end w:w="100" w:type="dxa"/>
            </w:tcMar>
            <w:vAlign w:val="top"/>
          </w:tcPr>
          <w:p>
            <w:pPr>
              <w:spacing w:after="0"/>
            </w:pPr>
            <w:r>
              <w:rPr>
                <w:sz w:val="13"/>
              </w:rPr>
              <w:t>HVAC, plumbing and electrical</w:t>
            </w:r>
          </w:p>
        </w:tc>
        <w:tc>
          <w:tcPr>
            <w:tcW w:type="dxa" w:w="2160"/>
            <w:tcMar>
              <w:top w:w="80" w:type="dxa"/>
              <w:start w:w="100" w:type="dxa"/>
              <w:bottom w:w="80" w:type="dxa"/>
              <w:end w:w="100" w:type="dxa"/>
            </w:tcMar>
            <w:vAlign w:val="top"/>
          </w:tcPr>
          <w:p>
            <w:pPr>
              <w:spacing w:after="0"/>
            </w:pPr>
            <w:r>
              <w:rPr>
                <w:sz w:val="13"/>
              </w:rPr>
              <w:t>Sponsor-backed platform</w:t>
            </w:r>
          </w:p>
        </w:tc>
        <w:tc>
          <w:tcPr>
            <w:tcW w:type="dxa" w:w="2592"/>
            <w:tcMar>
              <w:top w:w="80" w:type="dxa"/>
              <w:start w:w="100" w:type="dxa"/>
              <w:bottom w:w="80" w:type="dxa"/>
              <w:end w:w="100" w:type="dxa"/>
            </w:tcMar>
            <w:vAlign w:val="top"/>
          </w:tcPr>
          <w:p>
            <w:pPr>
              <w:spacing w:after="0"/>
            </w:pPr>
            <w:r>
              <w:rPr>
                <w:sz w:val="13"/>
              </w:rPr>
              <w:t>American Residential Services, LLC</w:t>
            </w:r>
          </w:p>
        </w:tc>
        <w:tc>
          <w:tcPr>
            <w:tcW w:type="dxa" w:w="3888"/>
            <w:tcMar>
              <w:top w:w="80" w:type="dxa"/>
              <w:start w:w="100" w:type="dxa"/>
              <w:bottom w:w="80" w:type="dxa"/>
              <w:end w:w="100" w:type="dxa"/>
            </w:tcMar>
            <w:vAlign w:val="top"/>
          </w:tcPr>
          <w:p>
            <w:pPr>
              <w:spacing w:after="0"/>
            </w:pPr>
            <w:r>
              <w:rPr>
                <w:sz w:val="13"/>
              </w:rPr>
              <w:t>GI Partners; Charlesbank and management retain significant interests</w:t>
            </w:r>
          </w:p>
        </w:tc>
        <w:tc>
          <w:tcPr>
            <w:tcW w:type="dxa" w:w="576"/>
            <w:tcMar>
              <w:top w:w="80" w:type="dxa"/>
              <w:start w:w="100" w:type="dxa"/>
              <w:bottom w:w="80" w:type="dxa"/>
              <w:end w:w="100" w:type="dxa"/>
            </w:tcMar>
            <w:vAlign w:val="top"/>
          </w:tcPr>
          <w:p>
            <w:pPr>
              <w:spacing w:after="0"/>
            </w:pPr>
            <w:r>
              <w:rPr>
                <w:sz w:val="13"/>
              </w:rPr>
              <w:t>A</w:t>
            </w:r>
          </w:p>
        </w:tc>
      </w:tr>
      <w:tr>
        <w:tc>
          <w:tcPr>
            <w:tcW w:type="dxa" w:w="2880"/>
            <w:tcMar>
              <w:top w:w="80" w:type="dxa"/>
              <w:start w:w="100" w:type="dxa"/>
              <w:bottom w:w="80" w:type="dxa"/>
              <w:end w:w="100" w:type="dxa"/>
            </w:tcMar>
            <w:vAlign w:val="top"/>
          </w:tcPr>
          <w:p>
            <w:pPr>
              <w:spacing w:after="0"/>
            </w:pPr>
            <w:r>
              <w:rPr>
                <w:sz w:val="13"/>
              </w:rPr>
              <w:t>Abacus Plumbing, Air Conditioning &amp; Electrical</w:t>
            </w:r>
          </w:p>
        </w:tc>
        <w:tc>
          <w:tcPr>
            <w:tcW w:type="dxa" w:w="1800"/>
            <w:tcMar>
              <w:top w:w="80" w:type="dxa"/>
              <w:start w:w="100" w:type="dxa"/>
              <w:bottom w:w="80" w:type="dxa"/>
              <w:end w:w="100" w:type="dxa"/>
            </w:tcMar>
            <w:vAlign w:val="top"/>
          </w:tcPr>
          <w:p>
            <w:pPr>
              <w:spacing w:after="0"/>
            </w:pPr>
            <w:r>
              <w:rPr>
                <w:sz w:val="13"/>
              </w:rPr>
              <w:t>HVAC, plumbing and electrical</w:t>
            </w:r>
          </w:p>
        </w:tc>
        <w:tc>
          <w:tcPr>
            <w:tcW w:type="dxa" w:w="2160"/>
            <w:tcMar>
              <w:top w:w="80" w:type="dxa"/>
              <w:start w:w="100" w:type="dxa"/>
              <w:bottom w:w="80" w:type="dxa"/>
              <w:end w:w="100" w:type="dxa"/>
            </w:tcMar>
            <w:vAlign w:val="top"/>
          </w:tcPr>
          <w:p>
            <w:pPr>
              <w:spacing w:after="0"/>
            </w:pPr>
            <w:r>
              <w:rPr>
                <w:sz w:val="13"/>
              </w:rPr>
              <w:t>Sponsor-backed platform</w:t>
            </w:r>
          </w:p>
        </w:tc>
        <w:tc>
          <w:tcPr>
            <w:tcW w:type="dxa" w:w="2592"/>
            <w:tcMar>
              <w:top w:w="80" w:type="dxa"/>
              <w:start w:w="100" w:type="dxa"/>
              <w:bottom w:w="80" w:type="dxa"/>
              <w:end w:w="100" w:type="dxa"/>
            </w:tcMar>
            <w:vAlign w:val="top"/>
          </w:tcPr>
          <w:p>
            <w:pPr>
              <w:spacing w:after="0"/>
            </w:pPr>
            <w:r>
              <w:rPr>
                <w:sz w:val="13"/>
              </w:rPr>
              <w:t>Wrench Group, LLC</w:t>
            </w:r>
          </w:p>
        </w:tc>
        <w:tc>
          <w:tcPr>
            <w:tcW w:type="dxa" w:w="3888"/>
            <w:tcMar>
              <w:top w:w="80" w:type="dxa"/>
              <w:start w:w="100" w:type="dxa"/>
              <w:bottom w:w="80" w:type="dxa"/>
              <w:end w:w="100" w:type="dxa"/>
            </w:tcMar>
            <w:vAlign w:val="top"/>
          </w:tcPr>
          <w:p>
            <w:pPr>
              <w:spacing w:after="0"/>
            </w:pPr>
            <w:r>
              <w:rPr>
                <w:sz w:val="13"/>
              </w:rPr>
              <w:t>Leonard Green &amp; Partners and management; TSG Consumer Partners and Oak Hill minority</w:t>
            </w:r>
          </w:p>
        </w:tc>
        <w:tc>
          <w:tcPr>
            <w:tcW w:type="dxa" w:w="576"/>
            <w:tcMar>
              <w:top w:w="80" w:type="dxa"/>
              <w:start w:w="100" w:type="dxa"/>
              <w:bottom w:w="80" w:type="dxa"/>
              <w:end w:w="100" w:type="dxa"/>
            </w:tcMar>
            <w:vAlign w:val="top"/>
          </w:tcPr>
          <w:p>
            <w:pPr>
              <w:spacing w:after="0"/>
            </w:pPr>
            <w:r>
              <w:rPr>
                <w:sz w:val="13"/>
              </w:rPr>
              <w:t>A</w:t>
            </w:r>
          </w:p>
        </w:tc>
      </w:tr>
      <w:tr>
        <w:tc>
          <w:tcPr>
            <w:tcW w:type="dxa" w:w="2880"/>
            <w:tcMar>
              <w:top w:w="80" w:type="dxa"/>
              <w:start w:w="100" w:type="dxa"/>
              <w:bottom w:w="80" w:type="dxa"/>
              <w:end w:w="100" w:type="dxa"/>
            </w:tcMar>
            <w:vAlign w:val="top"/>
          </w:tcPr>
          <w:p>
            <w:pPr>
              <w:spacing w:after="0"/>
            </w:pPr>
            <w:r>
              <w:rPr>
                <w:sz w:val="13"/>
              </w:rPr>
              <w:t>AirFix Mechanical</w:t>
            </w:r>
          </w:p>
        </w:tc>
        <w:tc>
          <w:tcPr>
            <w:tcW w:type="dxa" w:w="1800"/>
            <w:tcMar>
              <w:top w:w="80" w:type="dxa"/>
              <w:start w:w="100" w:type="dxa"/>
              <w:bottom w:w="80" w:type="dxa"/>
              <w:end w:w="100" w:type="dxa"/>
            </w:tcMar>
            <w:vAlign w:val="top"/>
          </w:tcPr>
          <w:p>
            <w:pPr>
              <w:spacing w:after="0"/>
            </w:pPr>
            <w:r>
              <w:rPr>
                <w:sz w:val="13"/>
              </w:rPr>
              <w:t>HVAC, plumbing and electrical</w:t>
            </w:r>
          </w:p>
        </w:tc>
        <w:tc>
          <w:tcPr>
            <w:tcW w:type="dxa" w:w="2160"/>
            <w:tcMar>
              <w:top w:w="80" w:type="dxa"/>
              <w:start w:w="100" w:type="dxa"/>
              <w:bottom w:w="80" w:type="dxa"/>
              <w:end w:w="100" w:type="dxa"/>
            </w:tcMar>
            <w:vAlign w:val="top"/>
          </w:tcPr>
          <w:p>
            <w:pPr>
              <w:spacing w:after="0"/>
            </w:pPr>
            <w:r>
              <w:rPr>
                <w:sz w:val="13"/>
              </w:rPr>
              <w:t>Founder/family/local ownership</w:t>
            </w:r>
          </w:p>
        </w:tc>
        <w:tc>
          <w:tcPr>
            <w:tcW w:type="dxa" w:w="2592"/>
            <w:tcMar>
              <w:top w:w="80" w:type="dxa"/>
              <w:start w:w="100" w:type="dxa"/>
              <w:bottom w:w="80" w:type="dxa"/>
              <w:end w:w="100" w:type="dxa"/>
            </w:tcMar>
            <w:vAlign w:val="top"/>
          </w:tcPr>
          <w:p>
            <w:pPr>
              <w:spacing w:after="0"/>
            </w:pPr>
            <w:r>
              <w:rPr>
                <w:sz w:val="13"/>
              </w:rPr>
              <w:t>AirFix Mechanical, LLC</w:t>
            </w:r>
          </w:p>
        </w:tc>
        <w:tc>
          <w:tcPr>
            <w:tcW w:type="dxa" w:w="3888"/>
            <w:tcMar>
              <w:top w:w="80" w:type="dxa"/>
              <w:start w:w="100" w:type="dxa"/>
              <w:bottom w:w="80" w:type="dxa"/>
              <w:end w:w="100" w:type="dxa"/>
            </w:tcMar>
            <w:vAlign w:val="top"/>
          </w:tcPr>
          <w:p>
            <w:pPr>
              <w:spacing w:after="0"/>
            </w:pPr>
            <w:r>
              <w:rPr>
                <w:sz w:val="13"/>
              </w:rPr>
              <w:t>Exact equity owner unresolved</w:t>
            </w:r>
          </w:p>
        </w:tc>
        <w:tc>
          <w:tcPr>
            <w:tcW w:type="dxa" w:w="576"/>
            <w:tcMar>
              <w:top w:w="80" w:type="dxa"/>
              <w:start w:w="100" w:type="dxa"/>
              <w:bottom w:w="80" w:type="dxa"/>
              <w:end w:w="100" w:type="dxa"/>
            </w:tcMar>
            <w:vAlign w:val="top"/>
          </w:tcPr>
          <w:p>
            <w:pPr>
              <w:spacing w:after="0"/>
            </w:pPr>
            <w:r>
              <w:rPr>
                <w:sz w:val="13"/>
              </w:rPr>
              <w:t>C</w:t>
            </w:r>
          </w:p>
        </w:tc>
      </w:tr>
      <w:tr>
        <w:tc>
          <w:tcPr>
            <w:tcW w:type="dxa" w:w="2880"/>
            <w:tcMar>
              <w:top w:w="80" w:type="dxa"/>
              <w:start w:w="100" w:type="dxa"/>
              <w:bottom w:w="80" w:type="dxa"/>
              <w:end w:w="100" w:type="dxa"/>
            </w:tcMar>
            <w:vAlign w:val="top"/>
          </w:tcPr>
          <w:p>
            <w:pPr>
              <w:spacing w:after="0"/>
            </w:pPr>
            <w:r>
              <w:rPr>
                <w:sz w:val="13"/>
              </w:rPr>
              <w:t>Aire Serv of Cedar Park</w:t>
            </w:r>
          </w:p>
        </w:tc>
        <w:tc>
          <w:tcPr>
            <w:tcW w:type="dxa" w:w="1800"/>
            <w:tcMar>
              <w:top w:w="80" w:type="dxa"/>
              <w:start w:w="100" w:type="dxa"/>
              <w:bottom w:w="80" w:type="dxa"/>
              <w:end w:w="100" w:type="dxa"/>
            </w:tcMar>
            <w:vAlign w:val="top"/>
          </w:tcPr>
          <w:p>
            <w:pPr>
              <w:spacing w:after="0"/>
            </w:pPr>
            <w:r>
              <w:rPr>
                <w:sz w:val="13"/>
              </w:rPr>
              <w:t>HVAC, plumbing and electrical</w:t>
            </w:r>
          </w:p>
        </w:tc>
        <w:tc>
          <w:tcPr>
            <w:tcW w:type="dxa" w:w="2160"/>
            <w:tcMar>
              <w:top w:w="80" w:type="dxa"/>
              <w:start w:w="100" w:type="dxa"/>
              <w:bottom w:w="80" w:type="dxa"/>
              <w:end w:w="100" w:type="dxa"/>
            </w:tcMar>
            <w:vAlign w:val="top"/>
          </w:tcPr>
          <w:p>
            <w:pPr>
              <w:spacing w:after="0"/>
            </w:pPr>
            <w:r>
              <w:rPr>
                <w:sz w:val="13"/>
              </w:rPr>
              <w:t>Local franchise operator</w:t>
            </w:r>
          </w:p>
        </w:tc>
        <w:tc>
          <w:tcPr>
            <w:tcW w:type="dxa" w:w="2592"/>
            <w:tcMar>
              <w:top w:w="80" w:type="dxa"/>
              <w:start w:w="100" w:type="dxa"/>
              <w:bottom w:w="80" w:type="dxa"/>
              <w:end w:w="100" w:type="dxa"/>
            </w:tcMar>
            <w:vAlign w:val="top"/>
          </w:tcPr>
          <w:p>
            <w:pPr>
              <w:spacing w:after="0"/>
            </w:pPr>
            <w:r>
              <w:rPr>
                <w:sz w:val="13"/>
              </w:rPr>
              <w:t>Neighborly / Aire Serv franchise system</w:t>
            </w:r>
          </w:p>
        </w:tc>
        <w:tc>
          <w:tcPr>
            <w:tcW w:type="dxa" w:w="3888"/>
            <w:tcMar>
              <w:top w:w="80" w:type="dxa"/>
              <w:start w:w="100" w:type="dxa"/>
              <w:bottom w:w="80" w:type="dxa"/>
              <w:end w:w="100" w:type="dxa"/>
            </w:tcMar>
            <w:vAlign w:val="top"/>
          </w:tcPr>
          <w:p>
            <w:pPr>
              <w:spacing w:after="0"/>
            </w:pPr>
            <w:r>
              <w:rPr>
                <w:sz w:val="13"/>
              </w:rPr>
              <w:t>Local franchisee legal identity unresolved; KKR owns Neighborly franchisor</w:t>
            </w:r>
          </w:p>
        </w:tc>
        <w:tc>
          <w:tcPr>
            <w:tcW w:type="dxa" w:w="576"/>
            <w:tcMar>
              <w:top w:w="80" w:type="dxa"/>
              <w:start w:w="100" w:type="dxa"/>
              <w:bottom w:w="80" w:type="dxa"/>
              <w:end w:w="100" w:type="dxa"/>
            </w:tcMar>
            <w:vAlign w:val="top"/>
          </w:tcPr>
          <w:p>
            <w:pPr>
              <w:spacing w:after="0"/>
            </w:pPr>
            <w:r>
              <w:rPr>
                <w:sz w:val="13"/>
              </w:rPr>
              <w:t>B</w:t>
            </w:r>
          </w:p>
        </w:tc>
      </w:tr>
      <w:tr>
        <w:tc>
          <w:tcPr>
            <w:tcW w:type="dxa" w:w="2880"/>
            <w:tcMar>
              <w:top w:w="80" w:type="dxa"/>
              <w:start w:w="100" w:type="dxa"/>
              <w:bottom w:w="80" w:type="dxa"/>
              <w:end w:w="100" w:type="dxa"/>
            </w:tcMar>
            <w:vAlign w:val="top"/>
          </w:tcPr>
          <w:p>
            <w:pPr>
              <w:spacing w:after="0"/>
            </w:pPr>
            <w:r>
              <w:rPr>
                <w:sz w:val="13"/>
              </w:rPr>
              <w:t>Aire Serv of Round Rock</w:t>
            </w:r>
          </w:p>
        </w:tc>
        <w:tc>
          <w:tcPr>
            <w:tcW w:type="dxa" w:w="1800"/>
            <w:tcMar>
              <w:top w:w="80" w:type="dxa"/>
              <w:start w:w="100" w:type="dxa"/>
              <w:bottom w:w="80" w:type="dxa"/>
              <w:end w:w="100" w:type="dxa"/>
            </w:tcMar>
            <w:vAlign w:val="top"/>
          </w:tcPr>
          <w:p>
            <w:pPr>
              <w:spacing w:after="0"/>
            </w:pPr>
            <w:r>
              <w:rPr>
                <w:sz w:val="13"/>
              </w:rPr>
              <w:t>HVAC, plumbing and electrical</w:t>
            </w:r>
          </w:p>
        </w:tc>
        <w:tc>
          <w:tcPr>
            <w:tcW w:type="dxa" w:w="2160"/>
            <w:tcMar>
              <w:top w:w="80" w:type="dxa"/>
              <w:start w:w="100" w:type="dxa"/>
              <w:bottom w:w="80" w:type="dxa"/>
              <w:end w:w="100" w:type="dxa"/>
            </w:tcMar>
            <w:vAlign w:val="top"/>
          </w:tcPr>
          <w:p>
            <w:pPr>
              <w:spacing w:after="0"/>
            </w:pPr>
            <w:r>
              <w:rPr>
                <w:sz w:val="13"/>
              </w:rPr>
              <w:t>Local franchise operator</w:t>
            </w:r>
          </w:p>
        </w:tc>
        <w:tc>
          <w:tcPr>
            <w:tcW w:type="dxa" w:w="2592"/>
            <w:tcMar>
              <w:top w:w="80" w:type="dxa"/>
              <w:start w:w="100" w:type="dxa"/>
              <w:bottom w:w="80" w:type="dxa"/>
              <w:end w:w="100" w:type="dxa"/>
            </w:tcMar>
            <w:vAlign w:val="top"/>
          </w:tcPr>
          <w:p>
            <w:pPr>
              <w:spacing w:after="0"/>
            </w:pPr>
            <w:r>
              <w:rPr>
                <w:sz w:val="13"/>
              </w:rPr>
              <w:t>Neighborly / Aire Serv franchise system</w:t>
            </w:r>
          </w:p>
        </w:tc>
        <w:tc>
          <w:tcPr>
            <w:tcW w:type="dxa" w:w="3888"/>
            <w:tcMar>
              <w:top w:w="80" w:type="dxa"/>
              <w:start w:w="100" w:type="dxa"/>
              <w:bottom w:w="80" w:type="dxa"/>
              <w:end w:w="100" w:type="dxa"/>
            </w:tcMar>
            <w:vAlign w:val="top"/>
          </w:tcPr>
          <w:p>
            <w:pPr>
              <w:spacing w:after="0"/>
            </w:pPr>
            <w:r>
              <w:rPr>
                <w:sz w:val="13"/>
              </w:rPr>
              <w:t>Chris Rattray local owner/operator; KKR owns Neighborly franchisor</w:t>
            </w:r>
          </w:p>
        </w:tc>
        <w:tc>
          <w:tcPr>
            <w:tcW w:type="dxa" w:w="576"/>
            <w:tcMar>
              <w:top w:w="80" w:type="dxa"/>
              <w:start w:w="100" w:type="dxa"/>
              <w:bottom w:w="80" w:type="dxa"/>
              <w:end w:w="100" w:type="dxa"/>
            </w:tcMar>
            <w:vAlign w:val="top"/>
          </w:tcPr>
          <w:p>
            <w:pPr>
              <w:spacing w:after="0"/>
            </w:pPr>
            <w:r>
              <w:rPr>
                <w:sz w:val="13"/>
              </w:rPr>
              <w:t>A</w:t>
            </w:r>
          </w:p>
        </w:tc>
      </w:tr>
      <w:tr>
        <w:tc>
          <w:tcPr>
            <w:tcW w:type="dxa" w:w="2880"/>
            <w:tcMar>
              <w:top w:w="80" w:type="dxa"/>
              <w:start w:w="100" w:type="dxa"/>
              <w:bottom w:w="80" w:type="dxa"/>
              <w:end w:w="100" w:type="dxa"/>
            </w:tcMar>
            <w:vAlign w:val="top"/>
          </w:tcPr>
          <w:p>
            <w:pPr>
              <w:spacing w:after="0"/>
            </w:pPr>
            <w:r>
              <w:rPr>
                <w:sz w:val="13"/>
              </w:rPr>
              <w:t>Austin Air Conditioning</w:t>
            </w:r>
          </w:p>
        </w:tc>
        <w:tc>
          <w:tcPr>
            <w:tcW w:type="dxa" w:w="1800"/>
            <w:tcMar>
              <w:top w:w="80" w:type="dxa"/>
              <w:start w:w="100" w:type="dxa"/>
              <w:bottom w:w="80" w:type="dxa"/>
              <w:end w:w="100" w:type="dxa"/>
            </w:tcMar>
            <w:vAlign w:val="top"/>
          </w:tcPr>
          <w:p>
            <w:pPr>
              <w:spacing w:after="0"/>
            </w:pPr>
            <w:r>
              <w:rPr>
                <w:sz w:val="13"/>
              </w:rPr>
              <w:t>HVAC, plumbing and electrical</w:t>
            </w:r>
          </w:p>
        </w:tc>
        <w:tc>
          <w:tcPr>
            <w:tcW w:type="dxa" w:w="2160"/>
            <w:tcMar>
              <w:top w:w="80" w:type="dxa"/>
              <w:start w:w="100" w:type="dxa"/>
              <w:bottom w:w="80" w:type="dxa"/>
              <w:end w:w="100" w:type="dxa"/>
            </w:tcMar>
            <w:vAlign w:val="top"/>
          </w:tcPr>
          <w:p>
            <w:pPr>
              <w:spacing w:after="0"/>
            </w:pPr>
            <w:r>
              <w:rPr>
                <w:sz w:val="13"/>
              </w:rPr>
              <w:t>Sponsor-backed platform</w:t>
            </w:r>
          </w:p>
        </w:tc>
        <w:tc>
          <w:tcPr>
            <w:tcW w:type="dxa" w:w="2592"/>
            <w:tcMar>
              <w:top w:w="80" w:type="dxa"/>
              <w:start w:w="100" w:type="dxa"/>
              <w:bottom w:w="80" w:type="dxa"/>
              <w:end w:w="100" w:type="dxa"/>
            </w:tcMar>
            <w:vAlign w:val="top"/>
          </w:tcPr>
          <w:p>
            <w:pPr>
              <w:spacing w:after="0"/>
            </w:pPr>
            <w:r>
              <w:rPr>
                <w:sz w:val="13"/>
              </w:rPr>
              <w:t>SAS Service Partners</w:t>
            </w:r>
          </w:p>
        </w:tc>
        <w:tc>
          <w:tcPr>
            <w:tcW w:type="dxa" w:w="3888"/>
            <w:tcMar>
              <w:top w:w="80" w:type="dxa"/>
              <w:start w:w="100" w:type="dxa"/>
              <w:bottom w:w="80" w:type="dxa"/>
              <w:end w:w="100" w:type="dxa"/>
            </w:tcMar>
            <w:vAlign w:val="top"/>
          </w:tcPr>
          <w:p>
            <w:pPr>
              <w:spacing w:after="0"/>
            </w:pPr>
            <w:r>
              <w:rPr>
                <w:sz w:val="13"/>
              </w:rPr>
              <w:t>Storr Group</w:t>
            </w:r>
          </w:p>
        </w:tc>
        <w:tc>
          <w:tcPr>
            <w:tcW w:type="dxa" w:w="576"/>
            <w:tcMar>
              <w:top w:w="80" w:type="dxa"/>
              <w:start w:w="100" w:type="dxa"/>
              <w:bottom w:w="80" w:type="dxa"/>
              <w:end w:w="100" w:type="dxa"/>
            </w:tcMar>
            <w:vAlign w:val="top"/>
          </w:tcPr>
          <w:p>
            <w:pPr>
              <w:spacing w:after="0"/>
            </w:pPr>
            <w:r>
              <w:rPr>
                <w:sz w:val="13"/>
              </w:rPr>
              <w:t>A</w:t>
            </w:r>
          </w:p>
        </w:tc>
      </w:tr>
      <w:tr>
        <w:tc>
          <w:tcPr>
            <w:tcW w:type="dxa" w:w="2880"/>
            <w:tcMar>
              <w:top w:w="80" w:type="dxa"/>
              <w:start w:w="100" w:type="dxa"/>
              <w:bottom w:w="80" w:type="dxa"/>
              <w:end w:w="100" w:type="dxa"/>
            </w:tcMar>
            <w:vAlign w:val="top"/>
          </w:tcPr>
          <w:p>
            <w:pPr>
              <w:spacing w:after="0"/>
            </w:pPr>
            <w:r>
              <w:rPr>
                <w:sz w:val="13"/>
              </w:rPr>
              <w:t>Austin Major Air &amp; Heat</w:t>
            </w:r>
          </w:p>
        </w:tc>
        <w:tc>
          <w:tcPr>
            <w:tcW w:type="dxa" w:w="1800"/>
            <w:tcMar>
              <w:top w:w="80" w:type="dxa"/>
              <w:start w:w="100" w:type="dxa"/>
              <w:bottom w:w="80" w:type="dxa"/>
              <w:end w:w="100" w:type="dxa"/>
            </w:tcMar>
            <w:vAlign w:val="top"/>
          </w:tcPr>
          <w:p>
            <w:pPr>
              <w:spacing w:after="0"/>
            </w:pPr>
            <w:r>
              <w:rPr>
                <w:sz w:val="13"/>
              </w:rPr>
              <w:t>HVAC, plumbing and electrical</w:t>
            </w:r>
          </w:p>
        </w:tc>
        <w:tc>
          <w:tcPr>
            <w:tcW w:type="dxa" w:w="2160"/>
            <w:tcMar>
              <w:top w:w="80" w:type="dxa"/>
              <w:start w:w="100" w:type="dxa"/>
              <w:bottom w:w="80" w:type="dxa"/>
              <w:end w:w="100" w:type="dxa"/>
            </w:tcMar>
            <w:vAlign w:val="top"/>
          </w:tcPr>
          <w:p>
            <w:pPr>
              <w:spacing w:after="0"/>
            </w:pPr>
            <w:r>
              <w:rPr>
                <w:sz w:val="13"/>
              </w:rPr>
              <w:t>Private/control unresolved</w:t>
            </w:r>
          </w:p>
        </w:tc>
        <w:tc>
          <w:tcPr>
            <w:tcW w:type="dxa" w:w="2592"/>
            <w:tcMar>
              <w:top w:w="80" w:type="dxa"/>
              <w:start w:w="100" w:type="dxa"/>
              <w:bottom w:w="80" w:type="dxa"/>
              <w:end w:w="100" w:type="dxa"/>
            </w:tcMar>
            <w:vAlign w:val="top"/>
          </w:tcPr>
          <w:p>
            <w:pPr>
              <w:spacing w:after="0"/>
            </w:pPr>
            <w:r>
              <w:rPr>
                <w:sz w:val="13"/>
              </w:rPr>
              <w:t>Adoni Enterprises, Inc. (alternate legal identity lead)</w:t>
            </w:r>
          </w:p>
        </w:tc>
        <w:tc>
          <w:tcPr>
            <w:tcW w:type="dxa" w:w="3888"/>
            <w:tcMar>
              <w:top w:w="80" w:type="dxa"/>
              <w:start w:w="100" w:type="dxa"/>
              <w:bottom w:w="80" w:type="dxa"/>
              <w:end w:w="100" w:type="dxa"/>
            </w:tcMar>
            <w:vAlign w:val="top"/>
          </w:tcPr>
          <w:p>
            <w:pPr>
              <w:spacing w:after="0"/>
            </w:pPr>
            <w:r>
              <w:rPr>
                <w:sz w:val="13"/>
              </w:rPr>
              <w:t>Current controller unresolved</w:t>
            </w:r>
          </w:p>
        </w:tc>
        <w:tc>
          <w:tcPr>
            <w:tcW w:type="dxa" w:w="576"/>
            <w:tcMar>
              <w:top w:w="80" w:type="dxa"/>
              <w:start w:w="100" w:type="dxa"/>
              <w:bottom w:w="80" w:type="dxa"/>
              <w:end w:w="100" w:type="dxa"/>
            </w:tcMar>
            <w:vAlign w:val="top"/>
          </w:tcPr>
          <w:p>
            <w:pPr>
              <w:spacing w:after="0"/>
            </w:pPr>
            <w:r>
              <w:rPr>
                <w:sz w:val="13"/>
              </w:rPr>
              <w:t>D</w:t>
            </w:r>
          </w:p>
        </w:tc>
      </w:tr>
      <w:tr>
        <w:tc>
          <w:tcPr>
            <w:tcW w:type="dxa" w:w="2880"/>
            <w:tcMar>
              <w:top w:w="80" w:type="dxa"/>
              <w:start w:w="100" w:type="dxa"/>
              <w:bottom w:w="80" w:type="dxa"/>
              <w:end w:w="100" w:type="dxa"/>
            </w:tcMar>
            <w:vAlign w:val="top"/>
          </w:tcPr>
          <w:p>
            <w:pPr>
              <w:spacing w:after="0"/>
            </w:pPr>
            <w:r>
              <w:rPr>
                <w:sz w:val="13"/>
              </w:rPr>
              <w:t>Benjamin Franklin Plumbing of Austin</w:t>
            </w:r>
          </w:p>
        </w:tc>
        <w:tc>
          <w:tcPr>
            <w:tcW w:type="dxa" w:w="1800"/>
            <w:tcMar>
              <w:top w:w="80" w:type="dxa"/>
              <w:start w:w="100" w:type="dxa"/>
              <w:bottom w:w="80" w:type="dxa"/>
              <w:end w:w="100" w:type="dxa"/>
            </w:tcMar>
            <w:vAlign w:val="top"/>
          </w:tcPr>
          <w:p>
            <w:pPr>
              <w:spacing w:after="0"/>
            </w:pPr>
            <w:r>
              <w:rPr>
                <w:sz w:val="13"/>
              </w:rPr>
              <w:t>HVAC, plumbing and electrical</w:t>
            </w:r>
          </w:p>
        </w:tc>
        <w:tc>
          <w:tcPr>
            <w:tcW w:type="dxa" w:w="2160"/>
            <w:tcMar>
              <w:top w:w="80" w:type="dxa"/>
              <w:start w:w="100" w:type="dxa"/>
              <w:bottom w:w="80" w:type="dxa"/>
              <w:end w:w="100" w:type="dxa"/>
            </w:tcMar>
            <w:vAlign w:val="top"/>
          </w:tcPr>
          <w:p>
            <w:pPr>
              <w:spacing w:after="0"/>
            </w:pPr>
            <w:r>
              <w:rPr>
                <w:sz w:val="13"/>
              </w:rPr>
              <w:t>Local franchise operator</w:t>
            </w:r>
          </w:p>
        </w:tc>
        <w:tc>
          <w:tcPr>
            <w:tcW w:type="dxa" w:w="2592"/>
            <w:tcMar>
              <w:top w:w="80" w:type="dxa"/>
              <w:start w:w="100" w:type="dxa"/>
              <w:bottom w:w="80" w:type="dxa"/>
              <w:end w:w="100" w:type="dxa"/>
            </w:tcMar>
            <w:vAlign w:val="top"/>
          </w:tcPr>
          <w:p>
            <w:pPr>
              <w:spacing w:after="0"/>
            </w:pPr>
            <w:r>
              <w:rPr>
                <w:sz w:val="13"/>
              </w:rPr>
              <w:t>Authority Brands / Benjamin Franklin Plumbing</w:t>
            </w:r>
          </w:p>
        </w:tc>
        <w:tc>
          <w:tcPr>
            <w:tcW w:type="dxa" w:w="3888"/>
            <w:tcMar>
              <w:top w:w="80" w:type="dxa"/>
              <w:start w:w="100" w:type="dxa"/>
              <w:bottom w:w="80" w:type="dxa"/>
              <w:end w:w="100" w:type="dxa"/>
            </w:tcMar>
            <w:vAlign w:val="top"/>
          </w:tcPr>
          <w:p>
            <w:pPr>
              <w:spacing w:after="0"/>
            </w:pPr>
            <w:r>
              <w:rPr>
                <w:sz w:val="13"/>
              </w:rPr>
              <w:t>Local franchisee unresolved; Apax majority and BCI minority at franchisor level</w:t>
            </w:r>
          </w:p>
        </w:tc>
        <w:tc>
          <w:tcPr>
            <w:tcW w:type="dxa" w:w="576"/>
            <w:tcMar>
              <w:top w:w="80" w:type="dxa"/>
              <w:start w:w="100" w:type="dxa"/>
              <w:bottom w:w="80" w:type="dxa"/>
              <w:end w:w="100" w:type="dxa"/>
            </w:tcMar>
            <w:vAlign w:val="top"/>
          </w:tcPr>
          <w:p>
            <w:pPr>
              <w:spacing w:after="0"/>
            </w:pPr>
            <w:r>
              <w:rPr>
                <w:sz w:val="13"/>
              </w:rPr>
              <w:t>B</w:t>
            </w:r>
          </w:p>
        </w:tc>
      </w:tr>
      <w:tr>
        <w:tc>
          <w:tcPr>
            <w:tcW w:type="dxa" w:w="2880"/>
            <w:tcMar>
              <w:top w:w="80" w:type="dxa"/>
              <w:start w:w="100" w:type="dxa"/>
              <w:bottom w:w="80" w:type="dxa"/>
              <w:end w:w="100" w:type="dxa"/>
            </w:tcMar>
            <w:vAlign w:val="top"/>
          </w:tcPr>
          <w:p>
            <w:pPr>
              <w:spacing w:after="0"/>
            </w:pPr>
            <w:r>
              <w:rPr>
                <w:sz w:val="13"/>
              </w:rPr>
              <w:t>Christianson Air Conditioning &amp; Plumbing</w:t>
            </w:r>
          </w:p>
        </w:tc>
        <w:tc>
          <w:tcPr>
            <w:tcW w:type="dxa" w:w="1800"/>
            <w:tcMar>
              <w:top w:w="80" w:type="dxa"/>
              <w:start w:w="100" w:type="dxa"/>
              <w:bottom w:w="80" w:type="dxa"/>
              <w:end w:w="100" w:type="dxa"/>
            </w:tcMar>
            <w:vAlign w:val="top"/>
          </w:tcPr>
          <w:p>
            <w:pPr>
              <w:spacing w:after="0"/>
            </w:pPr>
            <w:r>
              <w:rPr>
                <w:sz w:val="13"/>
              </w:rPr>
              <w:t>HVAC, plumbing and electrical</w:t>
            </w:r>
          </w:p>
        </w:tc>
        <w:tc>
          <w:tcPr>
            <w:tcW w:type="dxa" w:w="2160"/>
            <w:tcMar>
              <w:top w:w="80" w:type="dxa"/>
              <w:start w:w="100" w:type="dxa"/>
              <w:bottom w:w="80" w:type="dxa"/>
              <w:end w:w="100" w:type="dxa"/>
            </w:tcMar>
            <w:vAlign w:val="top"/>
          </w:tcPr>
          <w:p>
            <w:pPr>
              <w:spacing w:after="0"/>
            </w:pPr>
            <w:r>
              <w:rPr>
                <w:sz w:val="13"/>
              </w:rPr>
              <w:t>Founder/family/local ownership</w:t>
            </w:r>
          </w:p>
        </w:tc>
        <w:tc>
          <w:tcPr>
            <w:tcW w:type="dxa" w:w="2592"/>
            <w:tcMar>
              <w:top w:w="80" w:type="dxa"/>
              <w:start w:w="100" w:type="dxa"/>
              <w:bottom w:w="80" w:type="dxa"/>
              <w:end w:w="100" w:type="dxa"/>
            </w:tcMar>
            <w:vAlign w:val="top"/>
          </w:tcPr>
          <w:p>
            <w:pPr>
              <w:spacing w:after="0"/>
            </w:pPr>
            <w:r>
              <w:rPr>
                <w:sz w:val="13"/>
              </w:rPr>
              <w:t>—</w:t>
            </w:r>
          </w:p>
        </w:tc>
        <w:tc>
          <w:tcPr>
            <w:tcW w:type="dxa" w:w="3888"/>
            <w:tcMar>
              <w:top w:w="80" w:type="dxa"/>
              <w:start w:w="100" w:type="dxa"/>
              <w:bottom w:w="80" w:type="dxa"/>
              <w:end w:w="100" w:type="dxa"/>
            </w:tcMar>
            <w:vAlign w:val="top"/>
          </w:tcPr>
          <w:p>
            <w:pPr>
              <w:spacing w:after="0"/>
            </w:pPr>
            <w:r>
              <w:rPr>
                <w:sz w:val="13"/>
              </w:rPr>
              <w:t>Christianson family</w:t>
            </w:r>
          </w:p>
        </w:tc>
        <w:tc>
          <w:tcPr>
            <w:tcW w:type="dxa" w:w="576"/>
            <w:tcMar>
              <w:top w:w="80" w:type="dxa"/>
              <w:start w:w="100" w:type="dxa"/>
              <w:bottom w:w="80" w:type="dxa"/>
              <w:end w:w="100" w:type="dxa"/>
            </w:tcMar>
            <w:vAlign w:val="top"/>
          </w:tcPr>
          <w:p>
            <w:pPr>
              <w:spacing w:after="0"/>
            </w:pPr>
            <w:r>
              <w:rPr>
                <w:sz w:val="13"/>
              </w:rPr>
              <w:t>B</w:t>
            </w:r>
          </w:p>
        </w:tc>
      </w:tr>
      <w:tr>
        <w:tc>
          <w:tcPr>
            <w:tcW w:type="dxa" w:w="2880"/>
            <w:tcMar>
              <w:top w:w="80" w:type="dxa"/>
              <w:start w:w="100" w:type="dxa"/>
              <w:bottom w:w="80" w:type="dxa"/>
              <w:end w:w="100" w:type="dxa"/>
            </w:tcMar>
            <w:vAlign w:val="top"/>
          </w:tcPr>
          <w:p>
            <w:pPr>
              <w:spacing w:after="0"/>
            </w:pPr>
            <w:r>
              <w:rPr>
                <w:sz w:val="13"/>
              </w:rPr>
              <w:t>Crow’s Plumbing Service</w:t>
            </w:r>
          </w:p>
        </w:tc>
        <w:tc>
          <w:tcPr>
            <w:tcW w:type="dxa" w:w="1800"/>
            <w:tcMar>
              <w:top w:w="80" w:type="dxa"/>
              <w:start w:w="100" w:type="dxa"/>
              <w:bottom w:w="80" w:type="dxa"/>
              <w:end w:w="100" w:type="dxa"/>
            </w:tcMar>
            <w:vAlign w:val="top"/>
          </w:tcPr>
          <w:p>
            <w:pPr>
              <w:spacing w:after="0"/>
            </w:pPr>
            <w:r>
              <w:rPr>
                <w:sz w:val="13"/>
              </w:rPr>
              <w:t>HVAC, plumbing and electrical</w:t>
            </w:r>
          </w:p>
        </w:tc>
        <w:tc>
          <w:tcPr>
            <w:tcW w:type="dxa" w:w="2160"/>
            <w:tcMar>
              <w:top w:w="80" w:type="dxa"/>
              <w:start w:w="100" w:type="dxa"/>
              <w:bottom w:w="80" w:type="dxa"/>
              <w:end w:w="100" w:type="dxa"/>
            </w:tcMar>
            <w:vAlign w:val="top"/>
          </w:tcPr>
          <w:p>
            <w:pPr>
              <w:spacing w:after="0"/>
            </w:pPr>
            <w:r>
              <w:rPr>
                <w:sz w:val="13"/>
              </w:rPr>
              <w:t>Founder/family/local ownership</w:t>
            </w:r>
          </w:p>
        </w:tc>
        <w:tc>
          <w:tcPr>
            <w:tcW w:type="dxa" w:w="2592"/>
            <w:tcMar>
              <w:top w:w="80" w:type="dxa"/>
              <w:start w:w="100" w:type="dxa"/>
              <w:bottom w:w="80" w:type="dxa"/>
              <w:end w:w="100" w:type="dxa"/>
            </w:tcMar>
            <w:vAlign w:val="top"/>
          </w:tcPr>
          <w:p>
            <w:pPr>
              <w:spacing w:after="0"/>
            </w:pPr>
            <w:r>
              <w:rPr>
                <w:sz w:val="13"/>
              </w:rPr>
              <w:t>—</w:t>
            </w:r>
          </w:p>
        </w:tc>
        <w:tc>
          <w:tcPr>
            <w:tcW w:type="dxa" w:w="3888"/>
            <w:tcMar>
              <w:top w:w="80" w:type="dxa"/>
              <w:start w:w="100" w:type="dxa"/>
              <w:bottom w:w="80" w:type="dxa"/>
              <w:end w:w="100" w:type="dxa"/>
            </w:tcMar>
            <w:vAlign w:val="top"/>
          </w:tcPr>
          <w:p>
            <w:pPr>
              <w:spacing w:after="0"/>
            </w:pPr>
            <w:r>
              <w:rPr>
                <w:sz w:val="13"/>
              </w:rPr>
              <w:t>Jack Crow</w:t>
            </w:r>
          </w:p>
        </w:tc>
        <w:tc>
          <w:tcPr>
            <w:tcW w:type="dxa" w:w="576"/>
            <w:tcMar>
              <w:top w:w="80" w:type="dxa"/>
              <w:start w:w="100" w:type="dxa"/>
              <w:bottom w:w="80" w:type="dxa"/>
              <w:end w:w="100" w:type="dxa"/>
            </w:tcMar>
            <w:vAlign w:val="top"/>
          </w:tcPr>
          <w:p>
            <w:pPr>
              <w:spacing w:after="0"/>
            </w:pPr>
            <w:r>
              <w:rPr>
                <w:sz w:val="13"/>
              </w:rPr>
              <w:t>B</w:t>
            </w:r>
          </w:p>
        </w:tc>
      </w:tr>
      <w:tr>
        <w:tc>
          <w:tcPr>
            <w:tcW w:type="dxa" w:w="2880"/>
            <w:tcMar>
              <w:top w:w="80" w:type="dxa"/>
              <w:start w:w="100" w:type="dxa"/>
              <w:bottom w:w="80" w:type="dxa"/>
              <w:end w:w="100" w:type="dxa"/>
            </w:tcMar>
            <w:vAlign w:val="top"/>
          </w:tcPr>
          <w:p>
            <w:pPr>
              <w:spacing w:after="0"/>
            </w:pPr>
            <w:r>
              <w:rPr>
                <w:sz w:val="13"/>
              </w:rPr>
              <w:t>Daniel’s Plumbing &amp; Air Conditioning</w:t>
            </w:r>
          </w:p>
        </w:tc>
        <w:tc>
          <w:tcPr>
            <w:tcW w:type="dxa" w:w="1800"/>
            <w:tcMar>
              <w:top w:w="80" w:type="dxa"/>
              <w:start w:w="100" w:type="dxa"/>
              <w:bottom w:w="80" w:type="dxa"/>
              <w:end w:w="100" w:type="dxa"/>
            </w:tcMar>
            <w:vAlign w:val="top"/>
          </w:tcPr>
          <w:p>
            <w:pPr>
              <w:spacing w:after="0"/>
            </w:pPr>
            <w:r>
              <w:rPr>
                <w:sz w:val="13"/>
              </w:rPr>
              <w:t>HVAC, plumbing and electrical</w:t>
            </w:r>
          </w:p>
        </w:tc>
        <w:tc>
          <w:tcPr>
            <w:tcW w:type="dxa" w:w="2160"/>
            <w:tcMar>
              <w:top w:w="80" w:type="dxa"/>
              <w:start w:w="100" w:type="dxa"/>
              <w:bottom w:w="80" w:type="dxa"/>
              <w:end w:w="100" w:type="dxa"/>
            </w:tcMar>
            <w:vAlign w:val="top"/>
          </w:tcPr>
          <w:p>
            <w:pPr>
              <w:spacing w:after="0"/>
            </w:pPr>
            <w:r>
              <w:rPr>
                <w:sz w:val="13"/>
              </w:rPr>
              <w:t>Sponsor-backed platform</w:t>
            </w:r>
          </w:p>
        </w:tc>
        <w:tc>
          <w:tcPr>
            <w:tcW w:type="dxa" w:w="2592"/>
            <w:tcMar>
              <w:top w:w="80" w:type="dxa"/>
              <w:start w:w="100" w:type="dxa"/>
              <w:bottom w:w="80" w:type="dxa"/>
              <w:end w:w="100" w:type="dxa"/>
            </w:tcMar>
            <w:vAlign w:val="top"/>
          </w:tcPr>
          <w:p>
            <w:pPr>
              <w:spacing w:after="0"/>
            </w:pPr>
            <w:r>
              <w:rPr>
                <w:sz w:val="13"/>
              </w:rPr>
              <w:t>Southern Home Services</w:t>
            </w:r>
          </w:p>
        </w:tc>
        <w:tc>
          <w:tcPr>
            <w:tcW w:type="dxa" w:w="3888"/>
            <w:tcMar>
              <w:top w:w="80" w:type="dxa"/>
              <w:start w:w="100" w:type="dxa"/>
              <w:bottom w:w="80" w:type="dxa"/>
              <w:end w:w="100" w:type="dxa"/>
            </w:tcMar>
            <w:vAlign w:val="top"/>
          </w:tcPr>
          <w:p>
            <w:pPr>
              <w:spacing w:after="0"/>
            </w:pPr>
            <w:r>
              <w:rPr>
                <w:sz w:val="13"/>
              </w:rPr>
              <w:t>Gryphon Investors via North American Essential Home Services</w:t>
            </w:r>
          </w:p>
        </w:tc>
        <w:tc>
          <w:tcPr>
            <w:tcW w:type="dxa" w:w="576"/>
            <w:tcMar>
              <w:top w:w="80" w:type="dxa"/>
              <w:start w:w="100" w:type="dxa"/>
              <w:bottom w:w="80" w:type="dxa"/>
              <w:end w:w="100" w:type="dxa"/>
            </w:tcMar>
            <w:vAlign w:val="top"/>
          </w:tcPr>
          <w:p>
            <w:pPr>
              <w:spacing w:after="0"/>
            </w:pPr>
            <w:r>
              <w:rPr>
                <w:sz w:val="13"/>
              </w:rPr>
              <w:t>A</w:t>
            </w:r>
          </w:p>
        </w:tc>
      </w:tr>
      <w:tr>
        <w:tc>
          <w:tcPr>
            <w:tcW w:type="dxa" w:w="2880"/>
            <w:tcMar>
              <w:top w:w="80" w:type="dxa"/>
              <w:start w:w="100" w:type="dxa"/>
              <w:bottom w:w="80" w:type="dxa"/>
              <w:end w:w="100" w:type="dxa"/>
            </w:tcMar>
            <w:vAlign w:val="top"/>
          </w:tcPr>
          <w:p>
            <w:pPr>
              <w:spacing w:after="0"/>
            </w:pPr>
            <w:r>
              <w:rPr>
                <w:sz w:val="13"/>
              </w:rPr>
              <w:t>Efficient AC, Electric &amp; Plumbing</w:t>
            </w:r>
          </w:p>
        </w:tc>
        <w:tc>
          <w:tcPr>
            <w:tcW w:type="dxa" w:w="1800"/>
            <w:tcMar>
              <w:top w:w="80" w:type="dxa"/>
              <w:start w:w="100" w:type="dxa"/>
              <w:bottom w:w="80" w:type="dxa"/>
              <w:end w:w="100" w:type="dxa"/>
            </w:tcMar>
            <w:vAlign w:val="top"/>
          </w:tcPr>
          <w:p>
            <w:pPr>
              <w:spacing w:after="0"/>
            </w:pPr>
            <w:r>
              <w:rPr>
                <w:sz w:val="13"/>
              </w:rPr>
              <w:t>HVAC, plumbing and electrical</w:t>
            </w:r>
          </w:p>
        </w:tc>
        <w:tc>
          <w:tcPr>
            <w:tcW w:type="dxa" w:w="2160"/>
            <w:tcMar>
              <w:top w:w="80" w:type="dxa"/>
              <w:start w:w="100" w:type="dxa"/>
              <w:bottom w:w="80" w:type="dxa"/>
              <w:end w:w="100" w:type="dxa"/>
            </w:tcMar>
            <w:vAlign w:val="top"/>
          </w:tcPr>
          <w:p>
            <w:pPr>
              <w:spacing w:after="0"/>
            </w:pPr>
            <w:r>
              <w:rPr>
                <w:sz w:val="13"/>
              </w:rPr>
              <w:t>Founder/family/local ownership</w:t>
            </w:r>
          </w:p>
        </w:tc>
        <w:tc>
          <w:tcPr>
            <w:tcW w:type="dxa" w:w="2592"/>
            <w:tcMar>
              <w:top w:w="80" w:type="dxa"/>
              <w:start w:w="100" w:type="dxa"/>
              <w:bottom w:w="80" w:type="dxa"/>
              <w:end w:w="100" w:type="dxa"/>
            </w:tcMar>
            <w:vAlign w:val="top"/>
          </w:tcPr>
          <w:p>
            <w:pPr>
              <w:spacing w:after="0"/>
            </w:pPr>
            <w:r>
              <w:rPr>
                <w:sz w:val="13"/>
              </w:rPr>
              <w:t>—</w:t>
            </w:r>
          </w:p>
        </w:tc>
        <w:tc>
          <w:tcPr>
            <w:tcW w:type="dxa" w:w="3888"/>
            <w:tcMar>
              <w:top w:w="80" w:type="dxa"/>
              <w:start w:w="100" w:type="dxa"/>
              <w:bottom w:w="80" w:type="dxa"/>
              <w:end w:w="100" w:type="dxa"/>
            </w:tcMar>
            <w:vAlign w:val="top"/>
          </w:tcPr>
          <w:p>
            <w:pPr>
              <w:spacing w:after="0"/>
            </w:pPr>
            <w:r>
              <w:rPr>
                <w:sz w:val="13"/>
              </w:rPr>
              <w:t>George Drazic and Molly Drazic</w:t>
            </w:r>
          </w:p>
        </w:tc>
        <w:tc>
          <w:tcPr>
            <w:tcW w:type="dxa" w:w="576"/>
            <w:tcMar>
              <w:top w:w="80" w:type="dxa"/>
              <w:start w:w="100" w:type="dxa"/>
              <w:bottom w:w="80" w:type="dxa"/>
              <w:end w:w="100" w:type="dxa"/>
            </w:tcMar>
            <w:vAlign w:val="top"/>
          </w:tcPr>
          <w:p>
            <w:pPr>
              <w:spacing w:after="0"/>
            </w:pPr>
            <w:r>
              <w:rPr>
                <w:sz w:val="13"/>
              </w:rPr>
              <w:t>A</w:t>
            </w:r>
          </w:p>
        </w:tc>
      </w:tr>
      <w:tr>
        <w:tc>
          <w:tcPr>
            <w:tcW w:type="dxa" w:w="2880"/>
            <w:tcMar>
              <w:top w:w="80" w:type="dxa"/>
              <w:start w:w="100" w:type="dxa"/>
              <w:bottom w:w="80" w:type="dxa"/>
              <w:end w:w="100" w:type="dxa"/>
            </w:tcMar>
            <w:vAlign w:val="top"/>
          </w:tcPr>
          <w:p>
            <w:pPr>
              <w:spacing w:after="0"/>
            </w:pPr>
            <w:r>
              <w:rPr>
                <w:sz w:val="13"/>
              </w:rPr>
              <w:t>Excalibur Plumbing</w:t>
            </w:r>
          </w:p>
        </w:tc>
        <w:tc>
          <w:tcPr>
            <w:tcW w:type="dxa" w:w="1800"/>
            <w:tcMar>
              <w:top w:w="80" w:type="dxa"/>
              <w:start w:w="100" w:type="dxa"/>
              <w:bottom w:w="80" w:type="dxa"/>
              <w:end w:w="100" w:type="dxa"/>
            </w:tcMar>
            <w:vAlign w:val="top"/>
          </w:tcPr>
          <w:p>
            <w:pPr>
              <w:spacing w:after="0"/>
            </w:pPr>
            <w:r>
              <w:rPr>
                <w:sz w:val="13"/>
              </w:rPr>
              <w:t>HVAC, plumbing and electrical</w:t>
            </w:r>
          </w:p>
        </w:tc>
        <w:tc>
          <w:tcPr>
            <w:tcW w:type="dxa" w:w="2160"/>
            <w:tcMar>
              <w:top w:w="80" w:type="dxa"/>
              <w:start w:w="100" w:type="dxa"/>
              <w:bottom w:w="80" w:type="dxa"/>
              <w:end w:w="100" w:type="dxa"/>
            </w:tcMar>
            <w:vAlign w:val="top"/>
          </w:tcPr>
          <w:p>
            <w:pPr>
              <w:spacing w:after="0"/>
            </w:pPr>
            <w:r>
              <w:rPr>
                <w:sz w:val="13"/>
              </w:rPr>
              <w:t>Founder/family/local ownership</w:t>
            </w:r>
          </w:p>
        </w:tc>
        <w:tc>
          <w:tcPr>
            <w:tcW w:type="dxa" w:w="2592"/>
            <w:tcMar>
              <w:top w:w="80" w:type="dxa"/>
              <w:start w:w="100" w:type="dxa"/>
              <w:bottom w:w="80" w:type="dxa"/>
              <w:end w:w="100" w:type="dxa"/>
            </w:tcMar>
            <w:vAlign w:val="top"/>
          </w:tcPr>
          <w:p>
            <w:pPr>
              <w:spacing w:after="0"/>
            </w:pPr>
            <w:r>
              <w:rPr>
                <w:sz w:val="13"/>
              </w:rPr>
              <w:t>Excalibur Plumbing, LLC</w:t>
            </w:r>
          </w:p>
        </w:tc>
        <w:tc>
          <w:tcPr>
            <w:tcW w:type="dxa" w:w="3888"/>
            <w:tcMar>
              <w:top w:w="80" w:type="dxa"/>
              <w:start w:w="100" w:type="dxa"/>
              <w:bottom w:w="80" w:type="dxa"/>
              <w:end w:w="100" w:type="dxa"/>
            </w:tcMar>
            <w:vAlign w:val="top"/>
          </w:tcPr>
          <w:p>
            <w:pPr>
              <w:spacing w:after="0"/>
            </w:pPr>
            <w:r>
              <w:rPr>
                <w:sz w:val="13"/>
              </w:rPr>
              <w:t>Blake Smith</w:t>
            </w:r>
          </w:p>
        </w:tc>
        <w:tc>
          <w:tcPr>
            <w:tcW w:type="dxa" w:w="576"/>
            <w:tcMar>
              <w:top w:w="80" w:type="dxa"/>
              <w:start w:w="100" w:type="dxa"/>
              <w:bottom w:w="80" w:type="dxa"/>
              <w:end w:w="100" w:type="dxa"/>
            </w:tcMar>
            <w:vAlign w:val="top"/>
          </w:tcPr>
          <w:p>
            <w:pPr>
              <w:spacing w:after="0"/>
            </w:pPr>
            <w:r>
              <w:rPr>
                <w:sz w:val="13"/>
              </w:rPr>
              <w:t>A</w:t>
            </w:r>
          </w:p>
        </w:tc>
      </w:tr>
      <w:tr>
        <w:tc>
          <w:tcPr>
            <w:tcW w:type="dxa" w:w="2880"/>
            <w:tcMar>
              <w:top w:w="80" w:type="dxa"/>
              <w:start w:w="100" w:type="dxa"/>
              <w:bottom w:w="80" w:type="dxa"/>
              <w:end w:w="100" w:type="dxa"/>
            </w:tcMar>
            <w:vAlign w:val="top"/>
          </w:tcPr>
          <w:p>
            <w:pPr>
              <w:spacing w:after="0"/>
            </w:pPr>
            <w:r>
              <w:rPr>
                <w:sz w:val="13"/>
              </w:rPr>
              <w:t>Fox Service Company</w:t>
            </w:r>
          </w:p>
        </w:tc>
        <w:tc>
          <w:tcPr>
            <w:tcW w:type="dxa" w:w="1800"/>
            <w:tcMar>
              <w:top w:w="80" w:type="dxa"/>
              <w:start w:w="100" w:type="dxa"/>
              <w:bottom w:w="80" w:type="dxa"/>
              <w:end w:w="100" w:type="dxa"/>
            </w:tcMar>
            <w:vAlign w:val="top"/>
          </w:tcPr>
          <w:p>
            <w:pPr>
              <w:spacing w:after="0"/>
            </w:pPr>
            <w:r>
              <w:rPr>
                <w:sz w:val="13"/>
              </w:rPr>
              <w:t>HVAC, plumbing and electrical</w:t>
            </w:r>
          </w:p>
        </w:tc>
        <w:tc>
          <w:tcPr>
            <w:tcW w:type="dxa" w:w="2160"/>
            <w:tcMar>
              <w:top w:w="80" w:type="dxa"/>
              <w:start w:w="100" w:type="dxa"/>
              <w:bottom w:w="80" w:type="dxa"/>
              <w:end w:w="100" w:type="dxa"/>
            </w:tcMar>
            <w:vAlign w:val="top"/>
          </w:tcPr>
          <w:p>
            <w:pPr>
              <w:spacing w:after="0"/>
            </w:pPr>
            <w:r>
              <w:rPr>
                <w:sz w:val="13"/>
              </w:rPr>
              <w:t>Sponsor-backed platform</w:t>
            </w:r>
          </w:p>
        </w:tc>
        <w:tc>
          <w:tcPr>
            <w:tcW w:type="dxa" w:w="2592"/>
            <w:tcMar>
              <w:top w:w="80" w:type="dxa"/>
              <w:start w:w="100" w:type="dxa"/>
              <w:bottom w:w="80" w:type="dxa"/>
              <w:end w:w="100" w:type="dxa"/>
            </w:tcMar>
            <w:vAlign w:val="top"/>
          </w:tcPr>
          <w:p>
            <w:pPr>
              <w:spacing w:after="0"/>
            </w:pPr>
            <w:r>
              <w:rPr>
                <w:sz w:val="13"/>
              </w:rPr>
              <w:t>Southern Home Services</w:t>
            </w:r>
          </w:p>
        </w:tc>
        <w:tc>
          <w:tcPr>
            <w:tcW w:type="dxa" w:w="3888"/>
            <w:tcMar>
              <w:top w:w="80" w:type="dxa"/>
              <w:start w:w="100" w:type="dxa"/>
              <w:bottom w:w="80" w:type="dxa"/>
              <w:end w:w="100" w:type="dxa"/>
            </w:tcMar>
            <w:vAlign w:val="top"/>
          </w:tcPr>
          <w:p>
            <w:pPr>
              <w:spacing w:after="0"/>
            </w:pPr>
            <w:r>
              <w:rPr>
                <w:sz w:val="13"/>
              </w:rPr>
              <w:t>Gryphon Investors via North American Essential Home Services</w:t>
            </w:r>
          </w:p>
        </w:tc>
        <w:tc>
          <w:tcPr>
            <w:tcW w:type="dxa" w:w="576"/>
            <w:tcMar>
              <w:top w:w="80" w:type="dxa"/>
              <w:start w:w="100" w:type="dxa"/>
              <w:bottom w:w="80" w:type="dxa"/>
              <w:end w:w="100" w:type="dxa"/>
            </w:tcMar>
            <w:vAlign w:val="top"/>
          </w:tcPr>
          <w:p>
            <w:pPr>
              <w:spacing w:after="0"/>
            </w:pPr>
            <w:r>
              <w:rPr>
                <w:sz w:val="13"/>
              </w:rPr>
              <w:t>A</w:t>
            </w:r>
          </w:p>
        </w:tc>
      </w:tr>
      <w:tr>
        <w:tc>
          <w:tcPr>
            <w:tcW w:type="dxa" w:w="2880"/>
            <w:tcMar>
              <w:top w:w="80" w:type="dxa"/>
              <w:start w:w="100" w:type="dxa"/>
              <w:bottom w:w="80" w:type="dxa"/>
              <w:end w:w="100" w:type="dxa"/>
            </w:tcMar>
            <w:vAlign w:val="top"/>
          </w:tcPr>
          <w:p>
            <w:pPr>
              <w:spacing w:after="0"/>
            </w:pPr>
            <w:r>
              <w:rPr>
                <w:sz w:val="13"/>
              </w:rPr>
              <w:t>Goettl Air Conditioning &amp; Plumbing</w:t>
            </w:r>
          </w:p>
        </w:tc>
        <w:tc>
          <w:tcPr>
            <w:tcW w:type="dxa" w:w="1800"/>
            <w:tcMar>
              <w:top w:w="80" w:type="dxa"/>
              <w:start w:w="100" w:type="dxa"/>
              <w:bottom w:w="80" w:type="dxa"/>
              <w:end w:w="100" w:type="dxa"/>
            </w:tcMar>
            <w:vAlign w:val="top"/>
          </w:tcPr>
          <w:p>
            <w:pPr>
              <w:spacing w:after="0"/>
            </w:pPr>
            <w:r>
              <w:rPr>
                <w:sz w:val="13"/>
              </w:rPr>
              <w:t>HVAC, plumbing and electrical</w:t>
            </w:r>
          </w:p>
        </w:tc>
        <w:tc>
          <w:tcPr>
            <w:tcW w:type="dxa" w:w="2160"/>
            <w:tcMar>
              <w:top w:w="80" w:type="dxa"/>
              <w:start w:w="100" w:type="dxa"/>
              <w:bottom w:w="80" w:type="dxa"/>
              <w:end w:w="100" w:type="dxa"/>
            </w:tcMar>
            <w:vAlign w:val="top"/>
          </w:tcPr>
          <w:p>
            <w:pPr>
              <w:spacing w:after="0"/>
            </w:pPr>
            <w:r>
              <w:rPr>
                <w:sz w:val="13"/>
              </w:rPr>
              <w:t>Sponsor-backed platform</w:t>
            </w:r>
          </w:p>
        </w:tc>
        <w:tc>
          <w:tcPr>
            <w:tcW w:type="dxa" w:w="2592"/>
            <w:tcMar>
              <w:top w:w="80" w:type="dxa"/>
              <w:start w:w="100" w:type="dxa"/>
              <w:bottom w:w="80" w:type="dxa"/>
              <w:end w:w="100" w:type="dxa"/>
            </w:tcMar>
            <w:vAlign w:val="top"/>
          </w:tcPr>
          <w:p>
            <w:pPr>
              <w:spacing w:after="0"/>
            </w:pPr>
            <w:r>
              <w:rPr>
                <w:sz w:val="13"/>
              </w:rPr>
              <w:t>Goettl Air Conditioning &amp; Plumbing</w:t>
            </w:r>
          </w:p>
        </w:tc>
        <w:tc>
          <w:tcPr>
            <w:tcW w:type="dxa" w:w="3888"/>
            <w:tcMar>
              <w:top w:w="80" w:type="dxa"/>
              <w:start w:w="100" w:type="dxa"/>
              <w:bottom w:w="80" w:type="dxa"/>
              <w:end w:w="100" w:type="dxa"/>
            </w:tcMar>
            <w:vAlign w:val="top"/>
          </w:tcPr>
          <w:p>
            <w:pPr>
              <w:spacing w:after="0"/>
            </w:pPr>
            <w:r>
              <w:rPr>
                <w:sz w:val="13"/>
              </w:rPr>
              <w:t>Cortec Group</w:t>
            </w:r>
          </w:p>
        </w:tc>
        <w:tc>
          <w:tcPr>
            <w:tcW w:type="dxa" w:w="576"/>
            <w:tcMar>
              <w:top w:w="80" w:type="dxa"/>
              <w:start w:w="100" w:type="dxa"/>
              <w:bottom w:w="80" w:type="dxa"/>
              <w:end w:w="100" w:type="dxa"/>
            </w:tcMar>
            <w:vAlign w:val="top"/>
          </w:tcPr>
          <w:p>
            <w:pPr>
              <w:spacing w:after="0"/>
            </w:pPr>
            <w:r>
              <w:rPr>
                <w:sz w:val="13"/>
              </w:rPr>
              <w:t>B</w:t>
            </w:r>
          </w:p>
        </w:tc>
      </w:tr>
      <w:tr>
        <w:tc>
          <w:tcPr>
            <w:tcW w:type="dxa" w:w="2880"/>
            <w:tcMar>
              <w:top w:w="80" w:type="dxa"/>
              <w:start w:w="100" w:type="dxa"/>
              <w:bottom w:w="80" w:type="dxa"/>
              <w:end w:w="100" w:type="dxa"/>
            </w:tcMar>
            <w:vAlign w:val="top"/>
          </w:tcPr>
          <w:p>
            <w:pPr>
              <w:spacing w:after="0"/>
            </w:pPr>
            <w:r>
              <w:rPr>
                <w:sz w:val="13"/>
              </w:rPr>
              <w:t>McCullough Heating &amp; Air Conditioning</w:t>
            </w:r>
          </w:p>
        </w:tc>
        <w:tc>
          <w:tcPr>
            <w:tcW w:type="dxa" w:w="1800"/>
            <w:tcMar>
              <w:top w:w="80" w:type="dxa"/>
              <w:start w:w="100" w:type="dxa"/>
              <w:bottom w:w="80" w:type="dxa"/>
              <w:end w:w="100" w:type="dxa"/>
            </w:tcMar>
            <w:vAlign w:val="top"/>
          </w:tcPr>
          <w:p>
            <w:pPr>
              <w:spacing w:after="0"/>
            </w:pPr>
            <w:r>
              <w:rPr>
                <w:sz w:val="13"/>
              </w:rPr>
              <w:t>HVAC, plumbing and electrical</w:t>
            </w:r>
          </w:p>
        </w:tc>
        <w:tc>
          <w:tcPr>
            <w:tcW w:type="dxa" w:w="2160"/>
            <w:tcMar>
              <w:top w:w="80" w:type="dxa"/>
              <w:start w:w="100" w:type="dxa"/>
              <w:bottom w:w="80" w:type="dxa"/>
              <w:end w:w="100" w:type="dxa"/>
            </w:tcMar>
            <w:vAlign w:val="top"/>
          </w:tcPr>
          <w:p>
            <w:pPr>
              <w:spacing w:after="0"/>
            </w:pPr>
            <w:r>
              <w:rPr>
                <w:sz w:val="13"/>
              </w:rPr>
              <w:t>Founder/family/local ownership</w:t>
            </w:r>
          </w:p>
        </w:tc>
        <w:tc>
          <w:tcPr>
            <w:tcW w:type="dxa" w:w="2592"/>
            <w:tcMar>
              <w:top w:w="80" w:type="dxa"/>
              <w:start w:w="100" w:type="dxa"/>
              <w:bottom w:w="80" w:type="dxa"/>
              <w:end w:w="100" w:type="dxa"/>
            </w:tcMar>
            <w:vAlign w:val="top"/>
          </w:tcPr>
          <w:p>
            <w:pPr>
              <w:spacing w:after="0"/>
            </w:pPr>
            <w:r>
              <w:rPr>
                <w:sz w:val="13"/>
              </w:rPr>
              <w:t>—</w:t>
            </w:r>
          </w:p>
        </w:tc>
        <w:tc>
          <w:tcPr>
            <w:tcW w:type="dxa" w:w="3888"/>
            <w:tcMar>
              <w:top w:w="80" w:type="dxa"/>
              <w:start w:w="100" w:type="dxa"/>
              <w:bottom w:w="80" w:type="dxa"/>
              <w:end w:w="100" w:type="dxa"/>
            </w:tcMar>
            <w:vAlign w:val="top"/>
          </w:tcPr>
          <w:p>
            <w:pPr>
              <w:spacing w:after="0"/>
            </w:pPr>
            <w:r>
              <w:rPr>
                <w:sz w:val="13"/>
              </w:rPr>
              <w:t>Local ownership asserted; exact current equity holders unresolved</w:t>
            </w:r>
          </w:p>
        </w:tc>
        <w:tc>
          <w:tcPr>
            <w:tcW w:type="dxa" w:w="576"/>
            <w:tcMar>
              <w:top w:w="80" w:type="dxa"/>
              <w:start w:w="100" w:type="dxa"/>
              <w:bottom w:w="80" w:type="dxa"/>
              <w:end w:w="100" w:type="dxa"/>
            </w:tcMar>
            <w:vAlign w:val="top"/>
          </w:tcPr>
          <w:p>
            <w:pPr>
              <w:spacing w:after="0"/>
            </w:pPr>
            <w:r>
              <w:rPr>
                <w:sz w:val="13"/>
              </w:rPr>
              <w:t>B</w:t>
            </w:r>
          </w:p>
        </w:tc>
      </w:tr>
      <w:tr>
        <w:tc>
          <w:tcPr>
            <w:tcW w:type="dxa" w:w="2880"/>
            <w:tcMar>
              <w:top w:w="80" w:type="dxa"/>
              <w:start w:w="100" w:type="dxa"/>
              <w:bottom w:w="80" w:type="dxa"/>
              <w:end w:w="100" w:type="dxa"/>
            </w:tcMar>
            <w:vAlign w:val="top"/>
          </w:tcPr>
          <w:p>
            <w:pPr>
              <w:spacing w:after="0"/>
            </w:pPr>
            <w:r>
              <w:rPr>
                <w:sz w:val="13"/>
              </w:rPr>
              <w:t>Mr. Rooter Plumbing of Austin</w:t>
            </w:r>
          </w:p>
        </w:tc>
        <w:tc>
          <w:tcPr>
            <w:tcW w:type="dxa" w:w="1800"/>
            <w:tcMar>
              <w:top w:w="80" w:type="dxa"/>
              <w:start w:w="100" w:type="dxa"/>
              <w:bottom w:w="80" w:type="dxa"/>
              <w:end w:w="100" w:type="dxa"/>
            </w:tcMar>
            <w:vAlign w:val="top"/>
          </w:tcPr>
          <w:p>
            <w:pPr>
              <w:spacing w:after="0"/>
            </w:pPr>
            <w:r>
              <w:rPr>
                <w:sz w:val="13"/>
              </w:rPr>
              <w:t>HVAC, plumbing and electrical</w:t>
            </w:r>
          </w:p>
        </w:tc>
        <w:tc>
          <w:tcPr>
            <w:tcW w:type="dxa" w:w="2160"/>
            <w:tcMar>
              <w:top w:w="80" w:type="dxa"/>
              <w:start w:w="100" w:type="dxa"/>
              <w:bottom w:w="80" w:type="dxa"/>
              <w:end w:w="100" w:type="dxa"/>
            </w:tcMar>
            <w:vAlign w:val="top"/>
          </w:tcPr>
          <w:p>
            <w:pPr>
              <w:spacing w:after="0"/>
            </w:pPr>
            <w:r>
              <w:rPr>
                <w:sz w:val="13"/>
              </w:rPr>
              <w:t>Local franchise operator</w:t>
            </w:r>
          </w:p>
        </w:tc>
        <w:tc>
          <w:tcPr>
            <w:tcW w:type="dxa" w:w="2592"/>
            <w:tcMar>
              <w:top w:w="80" w:type="dxa"/>
              <w:start w:w="100" w:type="dxa"/>
              <w:bottom w:w="80" w:type="dxa"/>
              <w:end w:w="100" w:type="dxa"/>
            </w:tcMar>
            <w:vAlign w:val="top"/>
          </w:tcPr>
          <w:p>
            <w:pPr>
              <w:spacing w:after="0"/>
            </w:pPr>
            <w:r>
              <w:rPr>
                <w:sz w:val="13"/>
              </w:rPr>
              <w:t>Neighborly / Mr. Rooter franchise system</w:t>
            </w:r>
          </w:p>
        </w:tc>
        <w:tc>
          <w:tcPr>
            <w:tcW w:type="dxa" w:w="3888"/>
            <w:tcMar>
              <w:top w:w="80" w:type="dxa"/>
              <w:start w:w="100" w:type="dxa"/>
              <w:bottom w:w="80" w:type="dxa"/>
              <w:end w:w="100" w:type="dxa"/>
            </w:tcMar>
            <w:vAlign w:val="top"/>
          </w:tcPr>
          <w:p>
            <w:pPr>
              <w:spacing w:after="0"/>
            </w:pPr>
            <w:r>
              <w:rPr>
                <w:sz w:val="13"/>
              </w:rPr>
              <w:t>Brett Bidwell owns local franchisee; KKR owns Neighborly franchisor</w:t>
            </w:r>
          </w:p>
        </w:tc>
        <w:tc>
          <w:tcPr>
            <w:tcW w:type="dxa" w:w="576"/>
            <w:tcMar>
              <w:top w:w="80" w:type="dxa"/>
              <w:start w:w="100" w:type="dxa"/>
              <w:bottom w:w="80" w:type="dxa"/>
              <w:end w:w="100" w:type="dxa"/>
            </w:tcMar>
            <w:vAlign w:val="top"/>
          </w:tcPr>
          <w:p>
            <w:pPr>
              <w:spacing w:after="0"/>
            </w:pPr>
            <w:r>
              <w:rPr>
                <w:sz w:val="13"/>
              </w:rPr>
              <w:t>A</w:t>
            </w:r>
          </w:p>
        </w:tc>
      </w:tr>
      <w:tr>
        <w:tc>
          <w:tcPr>
            <w:tcW w:type="dxa" w:w="2880"/>
            <w:tcMar>
              <w:top w:w="80" w:type="dxa"/>
              <w:start w:w="100" w:type="dxa"/>
              <w:bottom w:w="80" w:type="dxa"/>
              <w:end w:w="100" w:type="dxa"/>
            </w:tcMar>
            <w:vAlign w:val="top"/>
          </w:tcPr>
          <w:p>
            <w:pPr>
              <w:spacing w:after="0"/>
            </w:pPr>
            <w:r>
              <w:rPr>
                <w:sz w:val="13"/>
              </w:rPr>
              <w:t>Precision Heating &amp; Air</w:t>
            </w:r>
          </w:p>
        </w:tc>
        <w:tc>
          <w:tcPr>
            <w:tcW w:type="dxa" w:w="1800"/>
            <w:tcMar>
              <w:top w:w="80" w:type="dxa"/>
              <w:start w:w="100" w:type="dxa"/>
              <w:bottom w:w="80" w:type="dxa"/>
              <w:end w:w="100" w:type="dxa"/>
            </w:tcMar>
            <w:vAlign w:val="top"/>
          </w:tcPr>
          <w:p>
            <w:pPr>
              <w:spacing w:after="0"/>
            </w:pPr>
            <w:r>
              <w:rPr>
                <w:sz w:val="13"/>
              </w:rPr>
              <w:t>HVAC, plumbing and electrical</w:t>
            </w:r>
          </w:p>
        </w:tc>
        <w:tc>
          <w:tcPr>
            <w:tcW w:type="dxa" w:w="2160"/>
            <w:tcMar>
              <w:top w:w="80" w:type="dxa"/>
              <w:start w:w="100" w:type="dxa"/>
              <w:bottom w:w="80" w:type="dxa"/>
              <w:end w:w="100" w:type="dxa"/>
            </w:tcMar>
            <w:vAlign w:val="top"/>
          </w:tcPr>
          <w:p>
            <w:pPr>
              <w:spacing w:after="0"/>
            </w:pPr>
            <w:r>
              <w:rPr>
                <w:sz w:val="13"/>
              </w:rPr>
              <w:t>Sponsor-backed platform</w:t>
            </w:r>
          </w:p>
        </w:tc>
        <w:tc>
          <w:tcPr>
            <w:tcW w:type="dxa" w:w="2592"/>
            <w:tcMar>
              <w:top w:w="80" w:type="dxa"/>
              <w:start w:w="100" w:type="dxa"/>
              <w:bottom w:w="80" w:type="dxa"/>
              <w:end w:w="100" w:type="dxa"/>
            </w:tcMar>
            <w:vAlign w:val="top"/>
          </w:tcPr>
          <w:p>
            <w:pPr>
              <w:spacing w:after="0"/>
            </w:pPr>
            <w:r>
              <w:rPr>
                <w:sz w:val="13"/>
              </w:rPr>
              <w:t>Southern Home Services</w:t>
            </w:r>
          </w:p>
        </w:tc>
        <w:tc>
          <w:tcPr>
            <w:tcW w:type="dxa" w:w="3888"/>
            <w:tcMar>
              <w:top w:w="80" w:type="dxa"/>
              <w:start w:w="100" w:type="dxa"/>
              <w:bottom w:w="80" w:type="dxa"/>
              <w:end w:w="100" w:type="dxa"/>
            </w:tcMar>
            <w:vAlign w:val="top"/>
          </w:tcPr>
          <w:p>
            <w:pPr>
              <w:spacing w:after="0"/>
            </w:pPr>
            <w:r>
              <w:rPr>
                <w:sz w:val="13"/>
              </w:rPr>
              <w:t>Gryphon Investors via North American Essential Home Services</w:t>
            </w:r>
          </w:p>
        </w:tc>
        <w:tc>
          <w:tcPr>
            <w:tcW w:type="dxa" w:w="576"/>
            <w:tcMar>
              <w:top w:w="80" w:type="dxa"/>
              <w:start w:w="100" w:type="dxa"/>
              <w:bottom w:w="80" w:type="dxa"/>
              <w:end w:w="100" w:type="dxa"/>
            </w:tcMar>
            <w:vAlign w:val="top"/>
          </w:tcPr>
          <w:p>
            <w:pPr>
              <w:spacing w:after="0"/>
            </w:pPr>
            <w:r>
              <w:rPr>
                <w:sz w:val="13"/>
              </w:rPr>
              <w:t>A</w:t>
            </w:r>
          </w:p>
        </w:tc>
      </w:tr>
      <w:tr>
        <w:tc>
          <w:tcPr>
            <w:tcW w:type="dxa" w:w="2880"/>
            <w:tcMar>
              <w:top w:w="80" w:type="dxa"/>
              <w:start w:w="100" w:type="dxa"/>
              <w:bottom w:w="80" w:type="dxa"/>
              <w:end w:w="100" w:type="dxa"/>
            </w:tcMar>
            <w:vAlign w:val="top"/>
          </w:tcPr>
          <w:p>
            <w:pPr>
              <w:spacing w:after="0"/>
            </w:pPr>
            <w:r>
              <w:rPr>
                <w:sz w:val="13"/>
              </w:rPr>
              <w:t>Radiant Plumbing, Air Conditioning &amp; Electrical</w:t>
            </w:r>
          </w:p>
        </w:tc>
        <w:tc>
          <w:tcPr>
            <w:tcW w:type="dxa" w:w="1800"/>
            <w:tcMar>
              <w:top w:w="80" w:type="dxa"/>
              <w:start w:w="100" w:type="dxa"/>
              <w:bottom w:w="80" w:type="dxa"/>
              <w:end w:w="100" w:type="dxa"/>
            </w:tcMar>
            <w:vAlign w:val="top"/>
          </w:tcPr>
          <w:p>
            <w:pPr>
              <w:spacing w:after="0"/>
            </w:pPr>
            <w:r>
              <w:rPr>
                <w:sz w:val="13"/>
              </w:rPr>
              <w:t>HVAC, plumbing and electrical</w:t>
            </w:r>
          </w:p>
        </w:tc>
        <w:tc>
          <w:tcPr>
            <w:tcW w:type="dxa" w:w="2160"/>
            <w:tcMar>
              <w:top w:w="80" w:type="dxa"/>
              <w:start w:w="100" w:type="dxa"/>
              <w:bottom w:w="80" w:type="dxa"/>
              <w:end w:w="100" w:type="dxa"/>
            </w:tcMar>
            <w:vAlign w:val="top"/>
          </w:tcPr>
          <w:p>
            <w:pPr>
              <w:spacing w:after="0"/>
            </w:pPr>
            <w:r>
              <w:rPr>
                <w:sz w:val="13"/>
              </w:rPr>
              <w:t>Sponsor-backed platform</w:t>
            </w:r>
          </w:p>
        </w:tc>
        <w:tc>
          <w:tcPr>
            <w:tcW w:type="dxa" w:w="2592"/>
            <w:tcMar>
              <w:top w:w="80" w:type="dxa"/>
              <w:start w:w="100" w:type="dxa"/>
              <w:bottom w:w="80" w:type="dxa"/>
              <w:end w:w="100" w:type="dxa"/>
            </w:tcMar>
            <w:vAlign w:val="top"/>
          </w:tcPr>
          <w:p>
            <w:pPr>
              <w:spacing w:after="0"/>
            </w:pPr>
            <w:r>
              <w:rPr>
                <w:sz w:val="13"/>
              </w:rPr>
              <w:t>T3 Services Group</w:t>
            </w:r>
          </w:p>
        </w:tc>
        <w:tc>
          <w:tcPr>
            <w:tcW w:type="dxa" w:w="3888"/>
            <w:tcMar>
              <w:top w:w="80" w:type="dxa"/>
              <w:start w:w="100" w:type="dxa"/>
              <w:bottom w:w="80" w:type="dxa"/>
              <w:end w:w="100" w:type="dxa"/>
            </w:tcMar>
            <w:vAlign w:val="top"/>
          </w:tcPr>
          <w:p>
            <w:pPr>
              <w:spacing w:after="0"/>
            </w:pPr>
            <w:r>
              <w:rPr>
                <w:sz w:val="13"/>
              </w:rPr>
              <w:t>The Riverside Company</w:t>
            </w:r>
          </w:p>
        </w:tc>
        <w:tc>
          <w:tcPr>
            <w:tcW w:type="dxa" w:w="576"/>
            <w:tcMar>
              <w:top w:w="80" w:type="dxa"/>
              <w:start w:w="100" w:type="dxa"/>
              <w:bottom w:w="80" w:type="dxa"/>
              <w:end w:w="100" w:type="dxa"/>
            </w:tcMar>
            <w:vAlign w:val="top"/>
          </w:tcPr>
          <w:p>
            <w:pPr>
              <w:spacing w:after="0"/>
            </w:pPr>
            <w:r>
              <w:rPr>
                <w:sz w:val="13"/>
              </w:rPr>
              <w:t>A</w:t>
            </w:r>
          </w:p>
        </w:tc>
      </w:tr>
      <w:tr>
        <w:tc>
          <w:tcPr>
            <w:tcW w:type="dxa" w:w="2880"/>
            <w:tcMar>
              <w:top w:w="80" w:type="dxa"/>
              <w:start w:w="100" w:type="dxa"/>
              <w:bottom w:w="80" w:type="dxa"/>
              <w:end w:w="100" w:type="dxa"/>
            </w:tcMar>
            <w:vAlign w:val="top"/>
          </w:tcPr>
          <w:p>
            <w:pPr>
              <w:spacing w:after="0"/>
            </w:pPr>
            <w:r>
              <w:rPr>
                <w:sz w:val="13"/>
              </w:rPr>
              <w:t>Reliant Plumbing</w:t>
            </w:r>
          </w:p>
        </w:tc>
        <w:tc>
          <w:tcPr>
            <w:tcW w:type="dxa" w:w="1800"/>
            <w:tcMar>
              <w:top w:w="80" w:type="dxa"/>
              <w:start w:w="100" w:type="dxa"/>
              <w:bottom w:w="80" w:type="dxa"/>
              <w:end w:w="100" w:type="dxa"/>
            </w:tcMar>
            <w:vAlign w:val="top"/>
          </w:tcPr>
          <w:p>
            <w:pPr>
              <w:spacing w:after="0"/>
            </w:pPr>
            <w:r>
              <w:rPr>
                <w:sz w:val="13"/>
              </w:rPr>
              <w:t>HVAC, plumbing and electrical</w:t>
            </w:r>
          </w:p>
        </w:tc>
        <w:tc>
          <w:tcPr>
            <w:tcW w:type="dxa" w:w="2160"/>
            <w:tcMar>
              <w:top w:w="80" w:type="dxa"/>
              <w:start w:w="100" w:type="dxa"/>
              <w:bottom w:w="80" w:type="dxa"/>
              <w:end w:w="100" w:type="dxa"/>
            </w:tcMar>
            <w:vAlign w:val="top"/>
          </w:tcPr>
          <w:p>
            <w:pPr>
              <w:spacing w:after="0"/>
            </w:pPr>
            <w:r>
              <w:rPr>
                <w:sz w:val="13"/>
              </w:rPr>
              <w:t>Founder/family/local ownership</w:t>
            </w:r>
          </w:p>
        </w:tc>
        <w:tc>
          <w:tcPr>
            <w:tcW w:type="dxa" w:w="2592"/>
            <w:tcMar>
              <w:top w:w="80" w:type="dxa"/>
              <w:start w:w="100" w:type="dxa"/>
              <w:bottom w:w="80" w:type="dxa"/>
              <w:end w:w="100" w:type="dxa"/>
            </w:tcMar>
            <w:vAlign w:val="top"/>
          </w:tcPr>
          <w:p>
            <w:pPr>
              <w:spacing w:after="0"/>
            </w:pPr>
            <w:r>
              <w:rPr>
                <w:sz w:val="13"/>
              </w:rPr>
              <w:t>—</w:t>
            </w:r>
          </w:p>
        </w:tc>
        <w:tc>
          <w:tcPr>
            <w:tcW w:type="dxa" w:w="3888"/>
            <w:tcMar>
              <w:top w:w="80" w:type="dxa"/>
              <w:start w:w="100" w:type="dxa"/>
              <w:bottom w:w="80" w:type="dxa"/>
              <w:end w:w="100" w:type="dxa"/>
            </w:tcMar>
            <w:vAlign w:val="top"/>
          </w:tcPr>
          <w:p>
            <w:pPr>
              <w:spacing w:after="0"/>
            </w:pPr>
            <w:r>
              <w:rPr>
                <w:sz w:val="13"/>
              </w:rPr>
              <w:t>Max Hicks / Hicks family</w:t>
            </w:r>
          </w:p>
        </w:tc>
        <w:tc>
          <w:tcPr>
            <w:tcW w:type="dxa" w:w="576"/>
            <w:tcMar>
              <w:top w:w="80" w:type="dxa"/>
              <w:start w:w="100" w:type="dxa"/>
              <w:bottom w:w="80" w:type="dxa"/>
              <w:end w:w="100" w:type="dxa"/>
            </w:tcMar>
            <w:vAlign w:val="top"/>
          </w:tcPr>
          <w:p>
            <w:pPr>
              <w:spacing w:after="0"/>
            </w:pPr>
            <w:r>
              <w:rPr>
                <w:sz w:val="13"/>
              </w:rPr>
              <w:t>B</w:t>
            </w:r>
          </w:p>
        </w:tc>
      </w:tr>
      <w:tr>
        <w:tc>
          <w:tcPr>
            <w:tcW w:type="dxa" w:w="2880"/>
            <w:tcMar>
              <w:top w:w="80" w:type="dxa"/>
              <w:start w:w="100" w:type="dxa"/>
              <w:bottom w:w="80" w:type="dxa"/>
              <w:end w:w="100" w:type="dxa"/>
            </w:tcMar>
            <w:vAlign w:val="top"/>
          </w:tcPr>
          <w:p>
            <w:pPr>
              <w:spacing w:after="0"/>
            </w:pPr>
            <w:r>
              <w:rPr>
                <w:sz w:val="13"/>
              </w:rPr>
              <w:t>Roger’s Plumbing</w:t>
            </w:r>
          </w:p>
        </w:tc>
        <w:tc>
          <w:tcPr>
            <w:tcW w:type="dxa" w:w="1800"/>
            <w:tcMar>
              <w:top w:w="80" w:type="dxa"/>
              <w:start w:w="100" w:type="dxa"/>
              <w:bottom w:w="80" w:type="dxa"/>
              <w:end w:w="100" w:type="dxa"/>
            </w:tcMar>
            <w:vAlign w:val="top"/>
          </w:tcPr>
          <w:p>
            <w:pPr>
              <w:spacing w:after="0"/>
            </w:pPr>
            <w:r>
              <w:rPr>
                <w:sz w:val="13"/>
              </w:rPr>
              <w:t>HVAC, plumbing and electrical</w:t>
            </w:r>
          </w:p>
        </w:tc>
        <w:tc>
          <w:tcPr>
            <w:tcW w:type="dxa" w:w="2160"/>
            <w:tcMar>
              <w:top w:w="80" w:type="dxa"/>
              <w:start w:w="100" w:type="dxa"/>
              <w:bottom w:w="80" w:type="dxa"/>
              <w:end w:w="100" w:type="dxa"/>
            </w:tcMar>
            <w:vAlign w:val="top"/>
          </w:tcPr>
          <w:p>
            <w:pPr>
              <w:spacing w:after="0"/>
            </w:pPr>
            <w:r>
              <w:rPr>
                <w:sz w:val="13"/>
              </w:rPr>
              <w:t>Sponsor-backed platform</w:t>
            </w:r>
          </w:p>
        </w:tc>
        <w:tc>
          <w:tcPr>
            <w:tcW w:type="dxa" w:w="2592"/>
            <w:tcMar>
              <w:top w:w="80" w:type="dxa"/>
              <w:start w:w="100" w:type="dxa"/>
              <w:bottom w:w="80" w:type="dxa"/>
              <w:end w:w="100" w:type="dxa"/>
            </w:tcMar>
            <w:vAlign w:val="top"/>
          </w:tcPr>
          <w:p>
            <w:pPr>
              <w:spacing w:after="0"/>
            </w:pPr>
            <w:r>
              <w:rPr>
                <w:sz w:val="13"/>
              </w:rPr>
              <w:t>SAS Service Partners</w:t>
            </w:r>
          </w:p>
        </w:tc>
        <w:tc>
          <w:tcPr>
            <w:tcW w:type="dxa" w:w="3888"/>
            <w:tcMar>
              <w:top w:w="80" w:type="dxa"/>
              <w:start w:w="100" w:type="dxa"/>
              <w:bottom w:w="80" w:type="dxa"/>
              <w:end w:w="100" w:type="dxa"/>
            </w:tcMar>
            <w:vAlign w:val="top"/>
          </w:tcPr>
          <w:p>
            <w:pPr>
              <w:spacing w:after="0"/>
            </w:pPr>
            <w:r>
              <w:rPr>
                <w:sz w:val="13"/>
              </w:rPr>
              <w:t>Storr Group</w:t>
            </w:r>
          </w:p>
        </w:tc>
        <w:tc>
          <w:tcPr>
            <w:tcW w:type="dxa" w:w="576"/>
            <w:tcMar>
              <w:top w:w="80" w:type="dxa"/>
              <w:start w:w="100" w:type="dxa"/>
              <w:bottom w:w="80" w:type="dxa"/>
              <w:end w:w="100" w:type="dxa"/>
            </w:tcMar>
            <w:vAlign w:val="top"/>
          </w:tcPr>
          <w:p>
            <w:pPr>
              <w:spacing w:after="0"/>
            </w:pPr>
            <w:r>
              <w:rPr>
                <w:sz w:val="13"/>
              </w:rPr>
              <w:t>A</w:t>
            </w:r>
          </w:p>
        </w:tc>
      </w:tr>
      <w:tr>
        <w:tc>
          <w:tcPr>
            <w:tcW w:type="dxa" w:w="2880"/>
            <w:tcMar>
              <w:top w:w="80" w:type="dxa"/>
              <w:start w:w="100" w:type="dxa"/>
              <w:bottom w:w="80" w:type="dxa"/>
              <w:end w:w="100" w:type="dxa"/>
            </w:tcMar>
            <w:vAlign w:val="top"/>
          </w:tcPr>
          <w:p>
            <w:pPr>
              <w:spacing w:after="0"/>
            </w:pPr>
            <w:r>
              <w:rPr>
                <w:sz w:val="13"/>
              </w:rPr>
              <w:t>Service Wizard Heating &amp; Air Conditioning</w:t>
            </w:r>
          </w:p>
        </w:tc>
        <w:tc>
          <w:tcPr>
            <w:tcW w:type="dxa" w:w="1800"/>
            <w:tcMar>
              <w:top w:w="80" w:type="dxa"/>
              <w:start w:w="100" w:type="dxa"/>
              <w:bottom w:w="80" w:type="dxa"/>
              <w:end w:w="100" w:type="dxa"/>
            </w:tcMar>
            <w:vAlign w:val="top"/>
          </w:tcPr>
          <w:p>
            <w:pPr>
              <w:spacing w:after="0"/>
            </w:pPr>
            <w:r>
              <w:rPr>
                <w:sz w:val="13"/>
              </w:rPr>
              <w:t>HVAC, plumbing and electrical</w:t>
            </w:r>
          </w:p>
        </w:tc>
        <w:tc>
          <w:tcPr>
            <w:tcW w:type="dxa" w:w="2160"/>
            <w:tcMar>
              <w:top w:w="80" w:type="dxa"/>
              <w:start w:w="100" w:type="dxa"/>
              <w:bottom w:w="80" w:type="dxa"/>
              <w:end w:w="100" w:type="dxa"/>
            </w:tcMar>
            <w:vAlign w:val="top"/>
          </w:tcPr>
          <w:p>
            <w:pPr>
              <w:spacing w:after="0"/>
            </w:pPr>
            <w:r>
              <w:rPr>
                <w:sz w:val="13"/>
              </w:rPr>
              <w:t>Sponsor-backed platform</w:t>
            </w:r>
          </w:p>
        </w:tc>
        <w:tc>
          <w:tcPr>
            <w:tcW w:type="dxa" w:w="2592"/>
            <w:tcMar>
              <w:top w:w="80" w:type="dxa"/>
              <w:start w:w="100" w:type="dxa"/>
              <w:bottom w:w="80" w:type="dxa"/>
              <w:end w:w="100" w:type="dxa"/>
            </w:tcMar>
            <w:vAlign w:val="top"/>
          </w:tcPr>
          <w:p>
            <w:pPr>
              <w:spacing w:after="0"/>
            </w:pPr>
            <w:r>
              <w:rPr>
                <w:sz w:val="13"/>
              </w:rPr>
              <w:t>Champions Group Holdings</w:t>
            </w:r>
          </w:p>
        </w:tc>
        <w:tc>
          <w:tcPr>
            <w:tcW w:type="dxa" w:w="3888"/>
            <w:tcMar>
              <w:top w:w="80" w:type="dxa"/>
              <w:start w:w="100" w:type="dxa"/>
              <w:bottom w:w="80" w:type="dxa"/>
              <w:end w:w="100" w:type="dxa"/>
            </w:tcMar>
            <w:vAlign w:val="top"/>
          </w:tcPr>
          <w:p>
            <w:pPr>
              <w:spacing w:after="0"/>
            </w:pPr>
            <w:r>
              <w:rPr>
                <w:sz w:val="13"/>
              </w:rPr>
              <w:t>Ultimate sponsor unresolved at snapshot; last closed sponsor Odyssey, Blackstone acquisition announced</w:t>
            </w:r>
          </w:p>
        </w:tc>
        <w:tc>
          <w:tcPr>
            <w:tcW w:type="dxa" w:w="576"/>
            <w:tcMar>
              <w:top w:w="80" w:type="dxa"/>
              <w:start w:w="100" w:type="dxa"/>
              <w:bottom w:w="80" w:type="dxa"/>
              <w:end w:w="100" w:type="dxa"/>
            </w:tcMar>
            <w:vAlign w:val="top"/>
          </w:tcPr>
          <w:p>
            <w:pPr>
              <w:spacing w:after="0"/>
            </w:pPr>
            <w:r>
              <w:rPr>
                <w:sz w:val="13"/>
              </w:rPr>
              <w:t>B</w:t>
            </w:r>
          </w:p>
        </w:tc>
      </w:tr>
      <w:tr>
        <w:tc>
          <w:tcPr>
            <w:tcW w:type="dxa" w:w="2880"/>
            <w:tcMar>
              <w:top w:w="80" w:type="dxa"/>
              <w:start w:w="100" w:type="dxa"/>
              <w:bottom w:w="80" w:type="dxa"/>
              <w:end w:w="100" w:type="dxa"/>
            </w:tcMar>
            <w:vAlign w:val="top"/>
          </w:tcPr>
          <w:p>
            <w:pPr>
              <w:spacing w:after="0"/>
            </w:pPr>
            <w:r>
              <w:rPr>
                <w:sz w:val="13"/>
              </w:rPr>
              <w:t>Stan’s Heating, Air, Plumbing &amp; Electrical</w:t>
            </w:r>
          </w:p>
        </w:tc>
        <w:tc>
          <w:tcPr>
            <w:tcW w:type="dxa" w:w="1800"/>
            <w:tcMar>
              <w:top w:w="80" w:type="dxa"/>
              <w:start w:w="100" w:type="dxa"/>
              <w:bottom w:w="80" w:type="dxa"/>
              <w:end w:w="100" w:type="dxa"/>
            </w:tcMar>
            <w:vAlign w:val="top"/>
          </w:tcPr>
          <w:p>
            <w:pPr>
              <w:spacing w:after="0"/>
            </w:pPr>
            <w:r>
              <w:rPr>
                <w:sz w:val="13"/>
              </w:rPr>
              <w:t>HVAC, plumbing and electrical</w:t>
            </w:r>
          </w:p>
        </w:tc>
        <w:tc>
          <w:tcPr>
            <w:tcW w:type="dxa" w:w="2160"/>
            <w:tcMar>
              <w:top w:w="80" w:type="dxa"/>
              <w:start w:w="100" w:type="dxa"/>
              <w:bottom w:w="80" w:type="dxa"/>
              <w:end w:w="100" w:type="dxa"/>
            </w:tcMar>
            <w:vAlign w:val="top"/>
          </w:tcPr>
          <w:p>
            <w:pPr>
              <w:spacing w:after="0"/>
            </w:pPr>
            <w:r>
              <w:rPr>
                <w:sz w:val="13"/>
              </w:rPr>
              <w:t>Sponsor-backed platform</w:t>
            </w:r>
          </w:p>
        </w:tc>
        <w:tc>
          <w:tcPr>
            <w:tcW w:type="dxa" w:w="2592"/>
            <w:tcMar>
              <w:top w:w="80" w:type="dxa"/>
              <w:start w:w="100" w:type="dxa"/>
              <w:bottom w:w="80" w:type="dxa"/>
              <w:end w:w="100" w:type="dxa"/>
            </w:tcMar>
            <w:vAlign w:val="top"/>
          </w:tcPr>
          <w:p>
            <w:pPr>
              <w:spacing w:after="0"/>
            </w:pPr>
            <w:r>
              <w:rPr>
                <w:sz w:val="13"/>
              </w:rPr>
              <w:t>The Master Trades Group</w:t>
            </w:r>
          </w:p>
        </w:tc>
        <w:tc>
          <w:tcPr>
            <w:tcW w:type="dxa" w:w="3888"/>
            <w:tcMar>
              <w:top w:w="80" w:type="dxa"/>
              <w:start w:w="100" w:type="dxa"/>
              <w:bottom w:w="80" w:type="dxa"/>
              <w:end w:w="100" w:type="dxa"/>
            </w:tcMar>
            <w:vAlign w:val="top"/>
          </w:tcPr>
          <w:p>
            <w:pPr>
              <w:spacing w:after="0"/>
            </w:pPr>
            <w:r>
              <w:rPr>
                <w:sz w:val="13"/>
              </w:rPr>
              <w:t>L Catterton</w:t>
            </w:r>
          </w:p>
        </w:tc>
        <w:tc>
          <w:tcPr>
            <w:tcW w:type="dxa" w:w="576"/>
            <w:tcMar>
              <w:top w:w="80" w:type="dxa"/>
              <w:start w:w="100" w:type="dxa"/>
              <w:bottom w:w="80" w:type="dxa"/>
              <w:end w:w="100" w:type="dxa"/>
            </w:tcMar>
            <w:vAlign w:val="top"/>
          </w:tcPr>
          <w:p>
            <w:pPr>
              <w:spacing w:after="0"/>
            </w:pPr>
            <w:r>
              <w:rPr>
                <w:sz w:val="13"/>
              </w:rPr>
              <w:t>A</w:t>
            </w:r>
          </w:p>
        </w:tc>
      </w:tr>
      <w:tr>
        <w:tc>
          <w:tcPr>
            <w:tcW w:type="dxa" w:w="2880"/>
            <w:tcMar>
              <w:top w:w="80" w:type="dxa"/>
              <w:start w:w="100" w:type="dxa"/>
              <w:bottom w:w="80" w:type="dxa"/>
              <w:end w:w="100" w:type="dxa"/>
            </w:tcMar>
            <w:vAlign w:val="top"/>
          </w:tcPr>
          <w:p>
            <w:pPr>
              <w:spacing w:after="0"/>
            </w:pPr>
            <w:r>
              <w:rPr>
                <w:sz w:val="13"/>
              </w:rPr>
              <w:t>Strand Brothers Service Experts</w:t>
            </w:r>
          </w:p>
        </w:tc>
        <w:tc>
          <w:tcPr>
            <w:tcW w:type="dxa" w:w="1800"/>
            <w:tcMar>
              <w:top w:w="80" w:type="dxa"/>
              <w:start w:w="100" w:type="dxa"/>
              <w:bottom w:w="80" w:type="dxa"/>
              <w:end w:w="100" w:type="dxa"/>
            </w:tcMar>
            <w:vAlign w:val="top"/>
          </w:tcPr>
          <w:p>
            <w:pPr>
              <w:spacing w:after="0"/>
            </w:pPr>
            <w:r>
              <w:rPr>
                <w:sz w:val="13"/>
              </w:rPr>
              <w:t>HVAC, plumbing and electrical</w:t>
            </w:r>
          </w:p>
        </w:tc>
        <w:tc>
          <w:tcPr>
            <w:tcW w:type="dxa" w:w="2160"/>
            <w:tcMar>
              <w:top w:w="80" w:type="dxa"/>
              <w:start w:w="100" w:type="dxa"/>
              <w:bottom w:w="80" w:type="dxa"/>
              <w:end w:w="100" w:type="dxa"/>
            </w:tcMar>
            <w:vAlign w:val="top"/>
          </w:tcPr>
          <w:p>
            <w:pPr>
              <w:spacing w:after="0"/>
            </w:pPr>
            <w:r>
              <w:rPr>
                <w:sz w:val="13"/>
              </w:rPr>
              <w:t>Public-company owned</w:t>
            </w:r>
          </w:p>
        </w:tc>
        <w:tc>
          <w:tcPr>
            <w:tcW w:type="dxa" w:w="2592"/>
            <w:tcMar>
              <w:top w:w="80" w:type="dxa"/>
              <w:start w:w="100" w:type="dxa"/>
              <w:bottom w:w="80" w:type="dxa"/>
              <w:end w:w="100" w:type="dxa"/>
            </w:tcMar>
            <w:vAlign w:val="top"/>
          </w:tcPr>
          <w:p>
            <w:pPr>
              <w:spacing w:after="0"/>
            </w:pPr>
            <w:r>
              <w:rPr>
                <w:sz w:val="13"/>
              </w:rPr>
              <w:t>Service Experts / Enercare</w:t>
            </w:r>
          </w:p>
        </w:tc>
        <w:tc>
          <w:tcPr>
            <w:tcW w:type="dxa" w:w="3888"/>
            <w:tcMar>
              <w:top w:w="80" w:type="dxa"/>
              <w:start w:w="100" w:type="dxa"/>
              <w:bottom w:w="80" w:type="dxa"/>
              <w:end w:w="100" w:type="dxa"/>
            </w:tcMar>
            <w:vAlign w:val="top"/>
          </w:tcPr>
          <w:p>
            <w:pPr>
              <w:spacing w:after="0"/>
            </w:pPr>
            <w:r>
              <w:rPr>
                <w:sz w:val="13"/>
              </w:rPr>
              <w:t>Brookfield Infrastructure</w:t>
            </w:r>
          </w:p>
        </w:tc>
        <w:tc>
          <w:tcPr>
            <w:tcW w:type="dxa" w:w="576"/>
            <w:tcMar>
              <w:top w:w="80" w:type="dxa"/>
              <w:start w:w="100" w:type="dxa"/>
              <w:bottom w:w="80" w:type="dxa"/>
              <w:end w:w="100" w:type="dxa"/>
            </w:tcMar>
            <w:vAlign w:val="top"/>
          </w:tcPr>
          <w:p>
            <w:pPr>
              <w:spacing w:after="0"/>
            </w:pPr>
            <w:r>
              <w:rPr>
                <w:sz w:val="13"/>
              </w:rPr>
              <w:t>A</w:t>
            </w:r>
          </w:p>
        </w:tc>
      </w:tr>
      <w:tr>
        <w:tc>
          <w:tcPr>
            <w:tcW w:type="dxa" w:w="2880"/>
            <w:tcMar>
              <w:top w:w="80" w:type="dxa"/>
              <w:start w:w="100" w:type="dxa"/>
              <w:bottom w:w="80" w:type="dxa"/>
              <w:end w:w="100" w:type="dxa"/>
            </w:tcMar>
            <w:vAlign w:val="top"/>
          </w:tcPr>
          <w:p>
            <w:pPr>
              <w:spacing w:after="0"/>
            </w:pPr>
            <w:r>
              <w:rPr>
                <w:sz w:val="13"/>
              </w:rPr>
              <w:t>Whitestone Plumbing</w:t>
            </w:r>
          </w:p>
        </w:tc>
        <w:tc>
          <w:tcPr>
            <w:tcW w:type="dxa" w:w="1800"/>
            <w:tcMar>
              <w:top w:w="80" w:type="dxa"/>
              <w:start w:w="100" w:type="dxa"/>
              <w:bottom w:w="80" w:type="dxa"/>
              <w:end w:w="100" w:type="dxa"/>
            </w:tcMar>
            <w:vAlign w:val="top"/>
          </w:tcPr>
          <w:p>
            <w:pPr>
              <w:spacing w:after="0"/>
            </w:pPr>
            <w:r>
              <w:rPr>
                <w:sz w:val="13"/>
              </w:rPr>
              <w:t>HVAC, plumbing and electrical</w:t>
            </w:r>
          </w:p>
        </w:tc>
        <w:tc>
          <w:tcPr>
            <w:tcW w:type="dxa" w:w="2160"/>
            <w:tcMar>
              <w:top w:w="80" w:type="dxa"/>
              <w:start w:w="100" w:type="dxa"/>
              <w:bottom w:w="80" w:type="dxa"/>
              <w:end w:w="100" w:type="dxa"/>
            </w:tcMar>
            <w:vAlign w:val="top"/>
          </w:tcPr>
          <w:p>
            <w:pPr>
              <w:spacing w:after="0"/>
            </w:pPr>
            <w:r>
              <w:rPr>
                <w:sz w:val="13"/>
              </w:rPr>
              <w:t>Founder/family/local ownership</w:t>
            </w:r>
          </w:p>
        </w:tc>
        <w:tc>
          <w:tcPr>
            <w:tcW w:type="dxa" w:w="2592"/>
            <w:tcMar>
              <w:top w:w="80" w:type="dxa"/>
              <w:start w:w="100" w:type="dxa"/>
              <w:bottom w:w="80" w:type="dxa"/>
              <w:end w:w="100" w:type="dxa"/>
            </w:tcMar>
            <w:vAlign w:val="top"/>
          </w:tcPr>
          <w:p>
            <w:pPr>
              <w:spacing w:after="0"/>
            </w:pPr>
            <w:r>
              <w:rPr>
                <w:sz w:val="13"/>
              </w:rPr>
              <w:t>—</w:t>
            </w:r>
          </w:p>
        </w:tc>
        <w:tc>
          <w:tcPr>
            <w:tcW w:type="dxa" w:w="3888"/>
            <w:tcMar>
              <w:top w:w="80" w:type="dxa"/>
              <w:start w:w="100" w:type="dxa"/>
              <w:bottom w:w="80" w:type="dxa"/>
              <w:end w:w="100" w:type="dxa"/>
            </w:tcMar>
            <w:vAlign w:val="top"/>
          </w:tcPr>
          <w:p>
            <w:pPr>
              <w:spacing w:after="0"/>
            </w:pPr>
            <w:r>
              <w:rPr>
                <w:sz w:val="13"/>
              </w:rPr>
              <w:t>Ben Helton</w:t>
            </w:r>
          </w:p>
        </w:tc>
        <w:tc>
          <w:tcPr>
            <w:tcW w:type="dxa" w:w="576"/>
            <w:tcMar>
              <w:top w:w="80" w:type="dxa"/>
              <w:start w:w="100" w:type="dxa"/>
              <w:bottom w:w="80" w:type="dxa"/>
              <w:end w:w="100" w:type="dxa"/>
            </w:tcMar>
            <w:vAlign w:val="top"/>
          </w:tcPr>
          <w:p>
            <w:pPr>
              <w:spacing w:after="0"/>
            </w:pPr>
            <w:r>
              <w:rPr>
                <w:sz w:val="13"/>
              </w:rPr>
              <w:t>B</w:t>
            </w:r>
          </w:p>
        </w:tc>
      </w:tr>
      <w:tr>
        <w:tc>
          <w:tcPr>
            <w:tcW w:type="dxa" w:w="2880"/>
            <w:tcMar>
              <w:top w:w="80" w:type="dxa"/>
              <w:start w:w="100" w:type="dxa"/>
              <w:bottom w:w="80" w:type="dxa"/>
              <w:end w:w="100" w:type="dxa"/>
            </w:tcMar>
            <w:vAlign w:val="top"/>
          </w:tcPr>
          <w:p>
            <w:pPr>
              <w:spacing w:after="0"/>
            </w:pPr>
            <w:r>
              <w:rPr>
                <w:sz w:val="13"/>
              </w:rPr>
              <w:t>A-Tex Pest Management</w:t>
            </w:r>
          </w:p>
        </w:tc>
        <w:tc>
          <w:tcPr>
            <w:tcW w:type="dxa" w:w="1800"/>
            <w:tcMar>
              <w:top w:w="80" w:type="dxa"/>
              <w:start w:w="100" w:type="dxa"/>
              <w:bottom w:w="80" w:type="dxa"/>
              <w:end w:w="100" w:type="dxa"/>
            </w:tcMar>
            <w:vAlign w:val="top"/>
          </w:tcPr>
          <w:p>
            <w:pPr>
              <w:spacing w:after="0"/>
            </w:pPr>
            <w:r>
              <w:rPr>
                <w:sz w:val="13"/>
              </w:rPr>
              <w:t>Pest control</w:t>
            </w:r>
          </w:p>
        </w:tc>
        <w:tc>
          <w:tcPr>
            <w:tcW w:type="dxa" w:w="2160"/>
            <w:tcMar>
              <w:top w:w="80" w:type="dxa"/>
              <w:start w:w="100" w:type="dxa"/>
              <w:bottom w:w="80" w:type="dxa"/>
              <w:end w:w="100" w:type="dxa"/>
            </w:tcMar>
            <w:vAlign w:val="top"/>
          </w:tcPr>
          <w:p>
            <w:pPr>
              <w:spacing w:after="0"/>
            </w:pPr>
            <w:r>
              <w:rPr>
                <w:sz w:val="13"/>
              </w:rPr>
              <w:t>Founder/family/local ownership</w:t>
            </w:r>
          </w:p>
        </w:tc>
        <w:tc>
          <w:tcPr>
            <w:tcW w:type="dxa" w:w="2592"/>
            <w:tcMar>
              <w:top w:w="80" w:type="dxa"/>
              <w:start w:w="100" w:type="dxa"/>
              <w:bottom w:w="80" w:type="dxa"/>
              <w:end w:w="100" w:type="dxa"/>
            </w:tcMar>
            <w:vAlign w:val="top"/>
          </w:tcPr>
          <w:p>
            <w:pPr>
              <w:spacing w:after="0"/>
            </w:pPr>
            <w:r>
              <w:rPr>
                <w:sz w:val="13"/>
              </w:rPr>
              <w:t>—</w:t>
            </w:r>
          </w:p>
        </w:tc>
        <w:tc>
          <w:tcPr>
            <w:tcW w:type="dxa" w:w="3888"/>
            <w:tcMar>
              <w:top w:w="80" w:type="dxa"/>
              <w:start w:w="100" w:type="dxa"/>
              <w:bottom w:w="80" w:type="dxa"/>
              <w:end w:w="100" w:type="dxa"/>
            </w:tcMar>
            <w:vAlign w:val="top"/>
          </w:tcPr>
          <w:p>
            <w:pPr>
              <w:spacing w:after="0"/>
            </w:pPr>
            <w:r>
              <w:rPr>
                <w:sz w:val="13"/>
              </w:rPr>
              <w:t>Local ownership asserted; exact equity holders unresolved</w:t>
            </w:r>
          </w:p>
        </w:tc>
        <w:tc>
          <w:tcPr>
            <w:tcW w:type="dxa" w:w="576"/>
            <w:tcMar>
              <w:top w:w="80" w:type="dxa"/>
              <w:start w:w="100" w:type="dxa"/>
              <w:bottom w:w="80" w:type="dxa"/>
              <w:end w:w="100" w:type="dxa"/>
            </w:tcMar>
            <w:vAlign w:val="top"/>
          </w:tcPr>
          <w:p>
            <w:pPr>
              <w:spacing w:after="0"/>
            </w:pPr>
            <w:r>
              <w:rPr>
                <w:sz w:val="13"/>
              </w:rPr>
              <w:t>C</w:t>
            </w:r>
          </w:p>
        </w:tc>
      </w:tr>
      <w:tr>
        <w:tc>
          <w:tcPr>
            <w:tcW w:type="dxa" w:w="2880"/>
            <w:tcMar>
              <w:top w:w="80" w:type="dxa"/>
              <w:start w:w="100" w:type="dxa"/>
              <w:bottom w:w="80" w:type="dxa"/>
              <w:end w:w="100" w:type="dxa"/>
            </w:tcMar>
            <w:vAlign w:val="top"/>
          </w:tcPr>
          <w:p>
            <w:pPr>
              <w:spacing w:after="0"/>
            </w:pPr>
            <w:r>
              <w:rPr>
                <w:sz w:val="13"/>
              </w:rPr>
              <w:t>Absolute Pest Management</w:t>
            </w:r>
          </w:p>
        </w:tc>
        <w:tc>
          <w:tcPr>
            <w:tcW w:type="dxa" w:w="1800"/>
            <w:tcMar>
              <w:top w:w="80" w:type="dxa"/>
              <w:start w:w="100" w:type="dxa"/>
              <w:bottom w:w="80" w:type="dxa"/>
              <w:end w:w="100" w:type="dxa"/>
            </w:tcMar>
            <w:vAlign w:val="top"/>
          </w:tcPr>
          <w:p>
            <w:pPr>
              <w:spacing w:after="0"/>
            </w:pPr>
            <w:r>
              <w:rPr>
                <w:sz w:val="13"/>
              </w:rPr>
              <w:t>Pest control</w:t>
            </w:r>
          </w:p>
        </w:tc>
        <w:tc>
          <w:tcPr>
            <w:tcW w:type="dxa" w:w="2160"/>
            <w:tcMar>
              <w:top w:w="80" w:type="dxa"/>
              <w:start w:w="100" w:type="dxa"/>
              <w:bottom w:w="80" w:type="dxa"/>
              <w:end w:w="100" w:type="dxa"/>
            </w:tcMar>
            <w:vAlign w:val="top"/>
          </w:tcPr>
          <w:p>
            <w:pPr>
              <w:spacing w:after="0"/>
            </w:pPr>
            <w:r>
              <w:rPr>
                <w:sz w:val="13"/>
              </w:rPr>
              <w:t>Founder/family/local ownership</w:t>
            </w:r>
          </w:p>
        </w:tc>
        <w:tc>
          <w:tcPr>
            <w:tcW w:type="dxa" w:w="2592"/>
            <w:tcMar>
              <w:top w:w="80" w:type="dxa"/>
              <w:start w:w="100" w:type="dxa"/>
              <w:bottom w:w="80" w:type="dxa"/>
              <w:end w:w="100" w:type="dxa"/>
            </w:tcMar>
            <w:vAlign w:val="top"/>
          </w:tcPr>
          <w:p>
            <w:pPr>
              <w:spacing w:after="0"/>
            </w:pPr>
            <w:r>
              <w:rPr>
                <w:sz w:val="13"/>
              </w:rPr>
              <w:t>—</w:t>
            </w:r>
          </w:p>
        </w:tc>
        <w:tc>
          <w:tcPr>
            <w:tcW w:type="dxa" w:w="3888"/>
            <w:tcMar>
              <w:top w:w="80" w:type="dxa"/>
              <w:start w:w="100" w:type="dxa"/>
              <w:bottom w:w="80" w:type="dxa"/>
              <w:end w:w="100" w:type="dxa"/>
            </w:tcMar>
            <w:vAlign w:val="top"/>
          </w:tcPr>
          <w:p>
            <w:pPr>
              <w:spacing w:after="0"/>
            </w:pPr>
            <w:r>
              <w:rPr>
                <w:sz w:val="13"/>
              </w:rPr>
              <w:t>Tony Ragan / Ragan family</w:t>
            </w:r>
          </w:p>
        </w:tc>
        <w:tc>
          <w:tcPr>
            <w:tcW w:type="dxa" w:w="576"/>
            <w:tcMar>
              <w:top w:w="80" w:type="dxa"/>
              <w:start w:w="100" w:type="dxa"/>
              <w:bottom w:w="80" w:type="dxa"/>
              <w:end w:w="100" w:type="dxa"/>
            </w:tcMar>
            <w:vAlign w:val="top"/>
          </w:tcPr>
          <w:p>
            <w:pPr>
              <w:spacing w:after="0"/>
            </w:pPr>
            <w:r>
              <w:rPr>
                <w:sz w:val="13"/>
              </w:rPr>
              <w:t>B</w:t>
            </w:r>
          </w:p>
        </w:tc>
      </w:tr>
      <w:tr>
        <w:tc>
          <w:tcPr>
            <w:tcW w:type="dxa" w:w="2880"/>
            <w:tcMar>
              <w:top w:w="80" w:type="dxa"/>
              <w:start w:w="100" w:type="dxa"/>
              <w:bottom w:w="80" w:type="dxa"/>
              <w:end w:w="100" w:type="dxa"/>
            </w:tcMar>
            <w:vAlign w:val="top"/>
          </w:tcPr>
          <w:p>
            <w:pPr>
              <w:spacing w:after="0"/>
            </w:pPr>
            <w:r>
              <w:rPr>
                <w:sz w:val="13"/>
              </w:rPr>
              <w:t>Alta Pest Control</w:t>
            </w:r>
          </w:p>
        </w:tc>
        <w:tc>
          <w:tcPr>
            <w:tcW w:type="dxa" w:w="1800"/>
            <w:tcMar>
              <w:top w:w="80" w:type="dxa"/>
              <w:start w:w="100" w:type="dxa"/>
              <w:bottom w:w="80" w:type="dxa"/>
              <w:end w:w="100" w:type="dxa"/>
            </w:tcMar>
            <w:vAlign w:val="top"/>
          </w:tcPr>
          <w:p>
            <w:pPr>
              <w:spacing w:after="0"/>
            </w:pPr>
            <w:r>
              <w:rPr>
                <w:sz w:val="13"/>
              </w:rPr>
              <w:t>Pest control</w:t>
            </w:r>
          </w:p>
        </w:tc>
        <w:tc>
          <w:tcPr>
            <w:tcW w:type="dxa" w:w="2160"/>
            <w:tcMar>
              <w:top w:w="80" w:type="dxa"/>
              <w:start w:w="100" w:type="dxa"/>
              <w:bottom w:w="80" w:type="dxa"/>
              <w:end w:w="100" w:type="dxa"/>
            </w:tcMar>
            <w:vAlign w:val="top"/>
          </w:tcPr>
          <w:p>
            <w:pPr>
              <w:spacing w:after="0"/>
            </w:pPr>
            <w:r>
              <w:rPr>
                <w:sz w:val="13"/>
              </w:rPr>
              <w:t>Minority-invested, founder-controlled</w:t>
            </w:r>
          </w:p>
        </w:tc>
        <w:tc>
          <w:tcPr>
            <w:tcW w:type="dxa" w:w="2592"/>
            <w:tcMar>
              <w:top w:w="80" w:type="dxa"/>
              <w:start w:w="100" w:type="dxa"/>
              <w:bottom w:w="80" w:type="dxa"/>
              <w:end w:w="100" w:type="dxa"/>
            </w:tcMar>
            <w:vAlign w:val="top"/>
          </w:tcPr>
          <w:p>
            <w:pPr>
              <w:spacing w:after="0"/>
            </w:pPr>
            <w:r>
              <w:rPr>
                <w:sz w:val="13"/>
              </w:rPr>
              <w:t>Alta Pest Control</w:t>
            </w:r>
          </w:p>
        </w:tc>
        <w:tc>
          <w:tcPr>
            <w:tcW w:type="dxa" w:w="3888"/>
            <w:tcMar>
              <w:top w:w="80" w:type="dxa"/>
              <w:start w:w="100" w:type="dxa"/>
              <w:bottom w:w="80" w:type="dxa"/>
              <w:end w:w="100" w:type="dxa"/>
            </w:tcMar>
            <w:vAlign w:val="top"/>
          </w:tcPr>
          <w:p>
            <w:pPr>
              <w:spacing w:after="0"/>
            </w:pPr>
            <w:r>
              <w:rPr>
                <w:sz w:val="13"/>
              </w:rPr>
              <w:t>Founders retain control; Trivest Partners is minority investor</w:t>
            </w:r>
          </w:p>
        </w:tc>
        <w:tc>
          <w:tcPr>
            <w:tcW w:type="dxa" w:w="576"/>
            <w:tcMar>
              <w:top w:w="80" w:type="dxa"/>
              <w:start w:w="100" w:type="dxa"/>
              <w:bottom w:w="80" w:type="dxa"/>
              <w:end w:w="100" w:type="dxa"/>
            </w:tcMar>
            <w:vAlign w:val="top"/>
          </w:tcPr>
          <w:p>
            <w:pPr>
              <w:spacing w:after="0"/>
            </w:pPr>
            <w:r>
              <w:rPr>
                <w:sz w:val="13"/>
              </w:rPr>
              <w:t>A</w:t>
            </w:r>
          </w:p>
        </w:tc>
      </w:tr>
      <w:tr>
        <w:tc>
          <w:tcPr>
            <w:tcW w:type="dxa" w:w="2880"/>
            <w:tcMar>
              <w:top w:w="80" w:type="dxa"/>
              <w:start w:w="100" w:type="dxa"/>
              <w:bottom w:w="80" w:type="dxa"/>
              <w:end w:w="100" w:type="dxa"/>
            </w:tcMar>
            <w:vAlign w:val="top"/>
          </w:tcPr>
          <w:p>
            <w:pPr>
              <w:spacing w:after="0"/>
            </w:pPr>
            <w:r>
              <w:rPr>
                <w:sz w:val="13"/>
              </w:rPr>
              <w:t>Aptive Environmental</w:t>
            </w:r>
          </w:p>
        </w:tc>
        <w:tc>
          <w:tcPr>
            <w:tcW w:type="dxa" w:w="1800"/>
            <w:tcMar>
              <w:top w:w="80" w:type="dxa"/>
              <w:start w:w="100" w:type="dxa"/>
              <w:bottom w:w="80" w:type="dxa"/>
              <w:end w:w="100" w:type="dxa"/>
            </w:tcMar>
            <w:vAlign w:val="top"/>
          </w:tcPr>
          <w:p>
            <w:pPr>
              <w:spacing w:after="0"/>
            </w:pPr>
            <w:r>
              <w:rPr>
                <w:sz w:val="13"/>
              </w:rPr>
              <w:t>Pest control</w:t>
            </w:r>
          </w:p>
        </w:tc>
        <w:tc>
          <w:tcPr>
            <w:tcW w:type="dxa" w:w="2160"/>
            <w:tcMar>
              <w:top w:w="80" w:type="dxa"/>
              <w:start w:w="100" w:type="dxa"/>
              <w:bottom w:w="80" w:type="dxa"/>
              <w:end w:w="100" w:type="dxa"/>
            </w:tcMar>
            <w:vAlign w:val="top"/>
          </w:tcPr>
          <w:p>
            <w:pPr>
              <w:spacing w:after="0"/>
            </w:pPr>
            <w:r>
              <w:rPr>
                <w:sz w:val="13"/>
              </w:rPr>
              <w:t>Sponsor-backed platform</w:t>
            </w:r>
          </w:p>
        </w:tc>
        <w:tc>
          <w:tcPr>
            <w:tcW w:type="dxa" w:w="2592"/>
            <w:tcMar>
              <w:top w:w="80" w:type="dxa"/>
              <w:start w:w="100" w:type="dxa"/>
              <w:bottom w:w="80" w:type="dxa"/>
              <w:end w:w="100" w:type="dxa"/>
            </w:tcMar>
            <w:vAlign w:val="top"/>
          </w:tcPr>
          <w:p>
            <w:pPr>
              <w:spacing w:after="0"/>
            </w:pPr>
            <w:r>
              <w:rPr>
                <w:sz w:val="13"/>
              </w:rPr>
              <w:t>Aptive Environmental</w:t>
            </w:r>
          </w:p>
        </w:tc>
        <w:tc>
          <w:tcPr>
            <w:tcW w:type="dxa" w:w="3888"/>
            <w:tcMar>
              <w:top w:w="80" w:type="dxa"/>
              <w:start w:w="100" w:type="dxa"/>
              <w:bottom w:w="80" w:type="dxa"/>
              <w:end w:w="100" w:type="dxa"/>
            </w:tcMar>
            <w:vAlign w:val="top"/>
          </w:tcPr>
          <w:p>
            <w:pPr>
              <w:spacing w:after="0"/>
            </w:pPr>
            <w:r>
              <w:rPr>
                <w:sz w:val="13"/>
              </w:rPr>
              <w:t>Citation Capital; management retains significant interest</w:t>
            </w:r>
          </w:p>
        </w:tc>
        <w:tc>
          <w:tcPr>
            <w:tcW w:type="dxa" w:w="576"/>
            <w:tcMar>
              <w:top w:w="80" w:type="dxa"/>
              <w:start w:w="100" w:type="dxa"/>
              <w:bottom w:w="80" w:type="dxa"/>
              <w:end w:w="100" w:type="dxa"/>
            </w:tcMar>
            <w:vAlign w:val="top"/>
          </w:tcPr>
          <w:p>
            <w:pPr>
              <w:spacing w:after="0"/>
            </w:pPr>
            <w:r>
              <w:rPr>
                <w:sz w:val="13"/>
              </w:rPr>
              <w:t>A</w:t>
            </w:r>
          </w:p>
        </w:tc>
      </w:tr>
      <w:tr>
        <w:tc>
          <w:tcPr>
            <w:tcW w:type="dxa" w:w="2880"/>
            <w:tcMar>
              <w:top w:w="80" w:type="dxa"/>
              <w:start w:w="100" w:type="dxa"/>
              <w:bottom w:w="80" w:type="dxa"/>
              <w:end w:w="100" w:type="dxa"/>
            </w:tcMar>
            <w:vAlign w:val="top"/>
          </w:tcPr>
          <w:p>
            <w:pPr>
              <w:spacing w:after="0"/>
            </w:pPr>
            <w:r>
              <w:rPr>
                <w:sz w:val="13"/>
              </w:rPr>
              <w:t>Berrett Home Services / Berrett Pest Control</w:t>
            </w:r>
          </w:p>
        </w:tc>
        <w:tc>
          <w:tcPr>
            <w:tcW w:type="dxa" w:w="1800"/>
            <w:tcMar>
              <w:top w:w="80" w:type="dxa"/>
              <w:start w:w="100" w:type="dxa"/>
              <w:bottom w:w="80" w:type="dxa"/>
              <w:end w:w="100" w:type="dxa"/>
            </w:tcMar>
            <w:vAlign w:val="top"/>
          </w:tcPr>
          <w:p>
            <w:pPr>
              <w:spacing w:after="0"/>
            </w:pPr>
            <w:r>
              <w:rPr>
                <w:sz w:val="13"/>
              </w:rPr>
              <w:t>Pest control</w:t>
            </w:r>
          </w:p>
        </w:tc>
        <w:tc>
          <w:tcPr>
            <w:tcW w:type="dxa" w:w="2160"/>
            <w:tcMar>
              <w:top w:w="80" w:type="dxa"/>
              <w:start w:w="100" w:type="dxa"/>
              <w:bottom w:w="80" w:type="dxa"/>
              <w:end w:w="100" w:type="dxa"/>
            </w:tcMar>
            <w:vAlign w:val="top"/>
          </w:tcPr>
          <w:p>
            <w:pPr>
              <w:spacing w:after="0"/>
            </w:pPr>
            <w:r>
              <w:rPr>
                <w:sz w:val="13"/>
              </w:rPr>
              <w:t>Founder/family/local ownership</w:t>
            </w:r>
          </w:p>
        </w:tc>
        <w:tc>
          <w:tcPr>
            <w:tcW w:type="dxa" w:w="2592"/>
            <w:tcMar>
              <w:top w:w="80" w:type="dxa"/>
              <w:start w:w="100" w:type="dxa"/>
              <w:bottom w:w="80" w:type="dxa"/>
              <w:end w:w="100" w:type="dxa"/>
            </w:tcMar>
            <w:vAlign w:val="top"/>
          </w:tcPr>
          <w:p>
            <w:pPr>
              <w:spacing w:after="0"/>
            </w:pPr>
            <w:r>
              <w:rPr>
                <w:sz w:val="13"/>
              </w:rPr>
              <w:t>—</w:t>
            </w:r>
          </w:p>
        </w:tc>
        <w:tc>
          <w:tcPr>
            <w:tcW w:type="dxa" w:w="3888"/>
            <w:tcMar>
              <w:top w:w="80" w:type="dxa"/>
              <w:start w:w="100" w:type="dxa"/>
              <w:bottom w:w="80" w:type="dxa"/>
              <w:end w:w="100" w:type="dxa"/>
            </w:tcMar>
            <w:vAlign w:val="top"/>
          </w:tcPr>
          <w:p>
            <w:pPr>
              <w:spacing w:after="0"/>
            </w:pPr>
            <w:r>
              <w:rPr>
                <w:sz w:val="13"/>
              </w:rPr>
              <w:t>Nathan Berrett / Berrett family</w:t>
            </w:r>
          </w:p>
        </w:tc>
        <w:tc>
          <w:tcPr>
            <w:tcW w:type="dxa" w:w="576"/>
            <w:tcMar>
              <w:top w:w="80" w:type="dxa"/>
              <w:start w:w="100" w:type="dxa"/>
              <w:bottom w:w="80" w:type="dxa"/>
              <w:end w:w="100" w:type="dxa"/>
            </w:tcMar>
            <w:vAlign w:val="top"/>
          </w:tcPr>
          <w:p>
            <w:pPr>
              <w:spacing w:after="0"/>
            </w:pPr>
            <w:r>
              <w:rPr>
                <w:sz w:val="13"/>
              </w:rPr>
              <w:t>A</w:t>
            </w:r>
          </w:p>
        </w:tc>
      </w:tr>
      <w:tr>
        <w:tc>
          <w:tcPr>
            <w:tcW w:type="dxa" w:w="2880"/>
            <w:tcMar>
              <w:top w:w="80" w:type="dxa"/>
              <w:start w:w="100" w:type="dxa"/>
              <w:bottom w:w="80" w:type="dxa"/>
              <w:end w:w="100" w:type="dxa"/>
            </w:tcMar>
            <w:vAlign w:val="top"/>
          </w:tcPr>
          <w:p>
            <w:pPr>
              <w:spacing w:after="0"/>
            </w:pPr>
            <w:r>
              <w:rPr>
                <w:sz w:val="13"/>
              </w:rPr>
              <w:t>Bulwark Exterminating</w:t>
            </w:r>
          </w:p>
        </w:tc>
        <w:tc>
          <w:tcPr>
            <w:tcW w:type="dxa" w:w="1800"/>
            <w:tcMar>
              <w:top w:w="80" w:type="dxa"/>
              <w:start w:w="100" w:type="dxa"/>
              <w:bottom w:w="80" w:type="dxa"/>
              <w:end w:w="100" w:type="dxa"/>
            </w:tcMar>
            <w:vAlign w:val="top"/>
          </w:tcPr>
          <w:p>
            <w:pPr>
              <w:spacing w:after="0"/>
            </w:pPr>
            <w:r>
              <w:rPr>
                <w:sz w:val="13"/>
              </w:rPr>
              <w:t>Pest control</w:t>
            </w:r>
          </w:p>
        </w:tc>
        <w:tc>
          <w:tcPr>
            <w:tcW w:type="dxa" w:w="2160"/>
            <w:tcMar>
              <w:top w:w="80" w:type="dxa"/>
              <w:start w:w="100" w:type="dxa"/>
              <w:bottom w:w="80" w:type="dxa"/>
              <w:end w:w="100" w:type="dxa"/>
            </w:tcMar>
            <w:vAlign w:val="top"/>
          </w:tcPr>
          <w:p>
            <w:pPr>
              <w:spacing w:after="0"/>
            </w:pPr>
            <w:r>
              <w:rPr>
                <w:sz w:val="13"/>
              </w:rPr>
              <w:t>Founder/family/local ownership</w:t>
            </w:r>
          </w:p>
        </w:tc>
        <w:tc>
          <w:tcPr>
            <w:tcW w:type="dxa" w:w="2592"/>
            <w:tcMar>
              <w:top w:w="80" w:type="dxa"/>
              <w:start w:w="100" w:type="dxa"/>
              <w:bottom w:w="80" w:type="dxa"/>
              <w:end w:w="100" w:type="dxa"/>
            </w:tcMar>
            <w:vAlign w:val="top"/>
          </w:tcPr>
          <w:p>
            <w:pPr>
              <w:spacing w:after="0"/>
            </w:pPr>
            <w:r>
              <w:rPr>
                <w:sz w:val="13"/>
              </w:rPr>
              <w:t>—</w:t>
            </w:r>
          </w:p>
        </w:tc>
        <w:tc>
          <w:tcPr>
            <w:tcW w:type="dxa" w:w="3888"/>
            <w:tcMar>
              <w:top w:w="80" w:type="dxa"/>
              <w:start w:w="100" w:type="dxa"/>
              <w:bottom w:w="80" w:type="dxa"/>
              <w:end w:w="100" w:type="dxa"/>
            </w:tcMar>
            <w:vAlign w:val="top"/>
          </w:tcPr>
          <w:p>
            <w:pPr>
              <w:spacing w:after="0"/>
            </w:pPr>
            <w:r>
              <w:rPr>
                <w:sz w:val="13"/>
              </w:rPr>
              <w:t>Seever family</w:t>
            </w:r>
          </w:p>
        </w:tc>
        <w:tc>
          <w:tcPr>
            <w:tcW w:type="dxa" w:w="576"/>
            <w:tcMar>
              <w:top w:w="80" w:type="dxa"/>
              <w:start w:w="100" w:type="dxa"/>
              <w:bottom w:w="80" w:type="dxa"/>
              <w:end w:w="100" w:type="dxa"/>
            </w:tcMar>
            <w:vAlign w:val="top"/>
          </w:tcPr>
          <w:p>
            <w:pPr>
              <w:spacing w:after="0"/>
            </w:pPr>
            <w:r>
              <w:rPr>
                <w:sz w:val="13"/>
              </w:rPr>
              <w:t>B</w:t>
            </w:r>
          </w:p>
        </w:tc>
      </w:tr>
      <w:tr>
        <w:tc>
          <w:tcPr>
            <w:tcW w:type="dxa" w:w="2880"/>
            <w:tcMar>
              <w:top w:w="80" w:type="dxa"/>
              <w:start w:w="100" w:type="dxa"/>
              <w:bottom w:w="80" w:type="dxa"/>
              <w:end w:w="100" w:type="dxa"/>
            </w:tcMar>
            <w:vAlign w:val="top"/>
          </w:tcPr>
          <w:p>
            <w:pPr>
              <w:spacing w:after="0"/>
            </w:pPr>
            <w:r>
              <w:rPr>
                <w:sz w:val="13"/>
              </w:rPr>
              <w:t>ClearDefense Pest Control</w:t>
            </w:r>
          </w:p>
        </w:tc>
        <w:tc>
          <w:tcPr>
            <w:tcW w:type="dxa" w:w="1800"/>
            <w:tcMar>
              <w:top w:w="80" w:type="dxa"/>
              <w:start w:w="100" w:type="dxa"/>
              <w:bottom w:w="80" w:type="dxa"/>
              <w:end w:w="100" w:type="dxa"/>
            </w:tcMar>
            <w:vAlign w:val="top"/>
          </w:tcPr>
          <w:p>
            <w:pPr>
              <w:spacing w:after="0"/>
            </w:pPr>
            <w:r>
              <w:rPr>
                <w:sz w:val="13"/>
              </w:rPr>
              <w:t>Pest control</w:t>
            </w:r>
          </w:p>
        </w:tc>
        <w:tc>
          <w:tcPr>
            <w:tcW w:type="dxa" w:w="2160"/>
            <w:tcMar>
              <w:top w:w="80" w:type="dxa"/>
              <w:start w:w="100" w:type="dxa"/>
              <w:bottom w:w="80" w:type="dxa"/>
              <w:end w:w="100" w:type="dxa"/>
            </w:tcMar>
            <w:vAlign w:val="top"/>
          </w:tcPr>
          <w:p>
            <w:pPr>
              <w:spacing w:after="0"/>
            </w:pPr>
            <w:r>
              <w:rPr>
                <w:sz w:val="13"/>
              </w:rPr>
              <w:t>Founder/family/local ownership</w:t>
            </w:r>
          </w:p>
        </w:tc>
        <w:tc>
          <w:tcPr>
            <w:tcW w:type="dxa" w:w="2592"/>
            <w:tcMar>
              <w:top w:w="80" w:type="dxa"/>
              <w:start w:w="100" w:type="dxa"/>
              <w:bottom w:w="80" w:type="dxa"/>
              <w:end w:w="100" w:type="dxa"/>
            </w:tcMar>
            <w:vAlign w:val="top"/>
          </w:tcPr>
          <w:p>
            <w:pPr>
              <w:spacing w:after="0"/>
            </w:pPr>
            <w:r>
              <w:rPr>
                <w:sz w:val="13"/>
              </w:rPr>
              <w:t>—</w:t>
            </w:r>
          </w:p>
        </w:tc>
        <w:tc>
          <w:tcPr>
            <w:tcW w:type="dxa" w:w="3888"/>
            <w:tcMar>
              <w:top w:w="80" w:type="dxa"/>
              <w:start w:w="100" w:type="dxa"/>
              <w:bottom w:w="80" w:type="dxa"/>
              <w:end w:w="100" w:type="dxa"/>
            </w:tcMar>
            <w:vAlign w:val="top"/>
          </w:tcPr>
          <w:p>
            <w:pPr>
              <w:spacing w:after="0"/>
            </w:pPr>
            <w:r>
              <w:rPr>
                <w:sz w:val="13"/>
              </w:rPr>
              <w:t>Founders John-Mark Bolton, Chris Cunningham and Jason Brown; current allocation not public</w:t>
            </w:r>
          </w:p>
        </w:tc>
        <w:tc>
          <w:tcPr>
            <w:tcW w:type="dxa" w:w="576"/>
            <w:tcMar>
              <w:top w:w="80" w:type="dxa"/>
              <w:start w:w="100" w:type="dxa"/>
              <w:bottom w:w="80" w:type="dxa"/>
              <w:end w:w="100" w:type="dxa"/>
            </w:tcMar>
            <w:vAlign w:val="top"/>
          </w:tcPr>
          <w:p>
            <w:pPr>
              <w:spacing w:after="0"/>
            </w:pPr>
            <w:r>
              <w:rPr>
                <w:sz w:val="13"/>
              </w:rPr>
              <w:t>B</w:t>
            </w:r>
          </w:p>
        </w:tc>
      </w:tr>
      <w:tr>
        <w:tc>
          <w:tcPr>
            <w:tcW w:type="dxa" w:w="2880"/>
            <w:tcMar>
              <w:top w:w="80" w:type="dxa"/>
              <w:start w:w="100" w:type="dxa"/>
              <w:bottom w:w="80" w:type="dxa"/>
              <w:end w:w="100" w:type="dxa"/>
            </w:tcMar>
            <w:vAlign w:val="top"/>
          </w:tcPr>
          <w:p>
            <w:pPr>
              <w:spacing w:after="0"/>
            </w:pPr>
            <w:r>
              <w:rPr>
                <w:sz w:val="13"/>
              </w:rPr>
              <w:t>EcoShield Pest Solutions</w:t>
            </w:r>
          </w:p>
        </w:tc>
        <w:tc>
          <w:tcPr>
            <w:tcW w:type="dxa" w:w="1800"/>
            <w:tcMar>
              <w:top w:w="80" w:type="dxa"/>
              <w:start w:w="100" w:type="dxa"/>
              <w:bottom w:w="80" w:type="dxa"/>
              <w:end w:w="100" w:type="dxa"/>
            </w:tcMar>
            <w:vAlign w:val="top"/>
          </w:tcPr>
          <w:p>
            <w:pPr>
              <w:spacing w:after="0"/>
            </w:pPr>
            <w:r>
              <w:rPr>
                <w:sz w:val="13"/>
              </w:rPr>
              <w:t>Pest control</w:t>
            </w:r>
          </w:p>
        </w:tc>
        <w:tc>
          <w:tcPr>
            <w:tcW w:type="dxa" w:w="2160"/>
            <w:tcMar>
              <w:top w:w="80" w:type="dxa"/>
              <w:start w:w="100" w:type="dxa"/>
              <w:bottom w:w="80" w:type="dxa"/>
              <w:end w:w="100" w:type="dxa"/>
            </w:tcMar>
            <w:vAlign w:val="top"/>
          </w:tcPr>
          <w:p>
            <w:pPr>
              <w:spacing w:after="0"/>
            </w:pPr>
            <w:r>
              <w:rPr>
                <w:sz w:val="13"/>
              </w:rPr>
              <w:t>Private/control unresolved</w:t>
            </w:r>
          </w:p>
        </w:tc>
        <w:tc>
          <w:tcPr>
            <w:tcW w:type="dxa" w:w="2592"/>
            <w:tcMar>
              <w:top w:w="80" w:type="dxa"/>
              <w:start w:w="100" w:type="dxa"/>
              <w:bottom w:w="80" w:type="dxa"/>
              <w:end w:w="100" w:type="dxa"/>
            </w:tcMar>
            <w:vAlign w:val="top"/>
          </w:tcPr>
          <w:p>
            <w:pPr>
              <w:spacing w:after="0"/>
            </w:pPr>
            <w:r>
              <w:rPr>
                <w:sz w:val="13"/>
              </w:rPr>
              <w:t>EcoShield Pest Solutions</w:t>
            </w:r>
          </w:p>
        </w:tc>
        <w:tc>
          <w:tcPr>
            <w:tcW w:type="dxa" w:w="3888"/>
            <w:tcMar>
              <w:top w:w="80" w:type="dxa"/>
              <w:start w:w="100" w:type="dxa"/>
              <w:bottom w:w="80" w:type="dxa"/>
              <w:end w:w="100" w:type="dxa"/>
            </w:tcMar>
            <w:vAlign w:val="top"/>
          </w:tcPr>
          <w:p>
            <w:pPr>
              <w:spacing w:after="0"/>
            </w:pPr>
            <w:r>
              <w:rPr>
                <w:sz w:val="13"/>
              </w:rPr>
              <w:t>Current Austin operator/controller unresolved</w:t>
            </w:r>
          </w:p>
        </w:tc>
        <w:tc>
          <w:tcPr>
            <w:tcW w:type="dxa" w:w="576"/>
            <w:tcMar>
              <w:top w:w="80" w:type="dxa"/>
              <w:start w:w="100" w:type="dxa"/>
              <w:bottom w:w="80" w:type="dxa"/>
              <w:end w:w="100" w:type="dxa"/>
            </w:tcMar>
            <w:vAlign w:val="top"/>
          </w:tcPr>
          <w:p>
            <w:pPr>
              <w:spacing w:after="0"/>
            </w:pPr>
            <w:r>
              <w:rPr>
                <w:sz w:val="13"/>
              </w:rPr>
              <w:t>D</w:t>
            </w:r>
          </w:p>
        </w:tc>
      </w:tr>
      <w:tr>
        <w:tc>
          <w:tcPr>
            <w:tcW w:type="dxa" w:w="2880"/>
            <w:tcMar>
              <w:top w:w="80" w:type="dxa"/>
              <w:start w:w="100" w:type="dxa"/>
              <w:bottom w:w="80" w:type="dxa"/>
              <w:end w:w="100" w:type="dxa"/>
            </w:tcMar>
            <w:vAlign w:val="top"/>
          </w:tcPr>
          <w:p>
            <w:pPr>
              <w:spacing w:after="0"/>
            </w:pPr>
            <w:r>
              <w:rPr>
                <w:sz w:val="13"/>
              </w:rPr>
              <w:t>Hawx Pest Control</w:t>
            </w:r>
          </w:p>
        </w:tc>
        <w:tc>
          <w:tcPr>
            <w:tcW w:type="dxa" w:w="1800"/>
            <w:tcMar>
              <w:top w:w="80" w:type="dxa"/>
              <w:start w:w="100" w:type="dxa"/>
              <w:bottom w:w="80" w:type="dxa"/>
              <w:end w:w="100" w:type="dxa"/>
            </w:tcMar>
            <w:vAlign w:val="top"/>
          </w:tcPr>
          <w:p>
            <w:pPr>
              <w:spacing w:after="0"/>
            </w:pPr>
            <w:r>
              <w:rPr>
                <w:sz w:val="13"/>
              </w:rPr>
              <w:t>Pest control</w:t>
            </w:r>
          </w:p>
        </w:tc>
        <w:tc>
          <w:tcPr>
            <w:tcW w:type="dxa" w:w="2160"/>
            <w:tcMar>
              <w:top w:w="80" w:type="dxa"/>
              <w:start w:w="100" w:type="dxa"/>
              <w:bottom w:w="80" w:type="dxa"/>
              <w:end w:w="100" w:type="dxa"/>
            </w:tcMar>
            <w:vAlign w:val="top"/>
          </w:tcPr>
          <w:p>
            <w:pPr>
              <w:spacing w:after="0"/>
            </w:pPr>
            <w:r>
              <w:rPr>
                <w:sz w:val="13"/>
              </w:rPr>
              <w:t>Private/control unresolved</w:t>
            </w:r>
          </w:p>
        </w:tc>
        <w:tc>
          <w:tcPr>
            <w:tcW w:type="dxa" w:w="2592"/>
            <w:tcMar>
              <w:top w:w="80" w:type="dxa"/>
              <w:start w:w="100" w:type="dxa"/>
              <w:bottom w:w="80" w:type="dxa"/>
              <w:end w:w="100" w:type="dxa"/>
            </w:tcMar>
            <w:vAlign w:val="top"/>
          </w:tcPr>
          <w:p>
            <w:pPr>
              <w:spacing w:after="0"/>
            </w:pPr>
            <w:r>
              <w:rPr>
                <w:sz w:val="13"/>
              </w:rPr>
              <w:t>Hawx Services</w:t>
            </w:r>
          </w:p>
        </w:tc>
        <w:tc>
          <w:tcPr>
            <w:tcW w:type="dxa" w:w="3888"/>
            <w:tcMar>
              <w:top w:w="80" w:type="dxa"/>
              <w:start w:w="100" w:type="dxa"/>
              <w:bottom w:w="80" w:type="dxa"/>
              <w:end w:w="100" w:type="dxa"/>
            </w:tcMar>
            <w:vAlign w:val="top"/>
          </w:tcPr>
          <w:p>
            <w:pPr>
              <w:spacing w:after="0"/>
            </w:pPr>
            <w:r>
              <w:rPr>
                <w:sz w:val="13"/>
              </w:rPr>
              <w:t>Last documented sponsor PCM Growth/PCM Encore; current continuity unresolved</w:t>
            </w:r>
          </w:p>
        </w:tc>
        <w:tc>
          <w:tcPr>
            <w:tcW w:type="dxa" w:w="576"/>
            <w:tcMar>
              <w:top w:w="80" w:type="dxa"/>
              <w:start w:w="100" w:type="dxa"/>
              <w:bottom w:w="80" w:type="dxa"/>
              <w:end w:w="100" w:type="dxa"/>
            </w:tcMar>
            <w:vAlign w:val="top"/>
          </w:tcPr>
          <w:p>
            <w:pPr>
              <w:spacing w:after="0"/>
            </w:pPr>
            <w:r>
              <w:rPr>
                <w:sz w:val="13"/>
              </w:rPr>
              <w:t>D</w:t>
            </w:r>
          </w:p>
        </w:tc>
      </w:tr>
      <w:tr>
        <w:tc>
          <w:tcPr>
            <w:tcW w:type="dxa" w:w="2880"/>
            <w:tcMar>
              <w:top w:w="80" w:type="dxa"/>
              <w:start w:w="100" w:type="dxa"/>
              <w:bottom w:w="80" w:type="dxa"/>
              <w:end w:w="100" w:type="dxa"/>
            </w:tcMar>
            <w:vAlign w:val="top"/>
          </w:tcPr>
          <w:p>
            <w:pPr>
              <w:spacing w:after="0"/>
            </w:pPr>
            <w:r>
              <w:rPr>
                <w:sz w:val="13"/>
              </w:rPr>
              <w:t>HomeTeam Pest Defense</w:t>
            </w:r>
          </w:p>
        </w:tc>
        <w:tc>
          <w:tcPr>
            <w:tcW w:type="dxa" w:w="1800"/>
            <w:tcMar>
              <w:top w:w="80" w:type="dxa"/>
              <w:start w:w="100" w:type="dxa"/>
              <w:bottom w:w="80" w:type="dxa"/>
              <w:end w:w="100" w:type="dxa"/>
            </w:tcMar>
            <w:vAlign w:val="top"/>
          </w:tcPr>
          <w:p>
            <w:pPr>
              <w:spacing w:after="0"/>
            </w:pPr>
            <w:r>
              <w:rPr>
                <w:sz w:val="13"/>
              </w:rPr>
              <w:t>Pest control</w:t>
            </w:r>
          </w:p>
        </w:tc>
        <w:tc>
          <w:tcPr>
            <w:tcW w:type="dxa" w:w="2160"/>
            <w:tcMar>
              <w:top w:w="80" w:type="dxa"/>
              <w:start w:w="100" w:type="dxa"/>
              <w:bottom w:w="80" w:type="dxa"/>
              <w:end w:w="100" w:type="dxa"/>
            </w:tcMar>
            <w:vAlign w:val="top"/>
          </w:tcPr>
          <w:p>
            <w:pPr>
              <w:spacing w:after="0"/>
            </w:pPr>
            <w:r>
              <w:rPr>
                <w:sz w:val="13"/>
              </w:rPr>
              <w:t>Public-company owned</w:t>
            </w:r>
          </w:p>
        </w:tc>
        <w:tc>
          <w:tcPr>
            <w:tcW w:type="dxa" w:w="2592"/>
            <w:tcMar>
              <w:top w:w="80" w:type="dxa"/>
              <w:start w:w="100" w:type="dxa"/>
              <w:bottom w:w="80" w:type="dxa"/>
              <w:end w:w="100" w:type="dxa"/>
            </w:tcMar>
            <w:vAlign w:val="top"/>
          </w:tcPr>
          <w:p>
            <w:pPr>
              <w:spacing w:after="0"/>
            </w:pPr>
            <w:r>
              <w:rPr>
                <w:sz w:val="13"/>
              </w:rPr>
              <w:t>HomeTeam Pest Defense</w:t>
            </w:r>
          </w:p>
        </w:tc>
        <w:tc>
          <w:tcPr>
            <w:tcW w:type="dxa" w:w="3888"/>
            <w:tcMar>
              <w:top w:w="80" w:type="dxa"/>
              <w:start w:w="100" w:type="dxa"/>
              <w:bottom w:w="80" w:type="dxa"/>
              <w:end w:w="100" w:type="dxa"/>
            </w:tcMar>
            <w:vAlign w:val="top"/>
          </w:tcPr>
          <w:p>
            <w:pPr>
              <w:spacing w:after="0"/>
            </w:pPr>
            <w:r>
              <w:rPr>
                <w:sz w:val="13"/>
              </w:rPr>
              <w:t>Rollins, Inc.</w:t>
            </w:r>
          </w:p>
        </w:tc>
        <w:tc>
          <w:tcPr>
            <w:tcW w:type="dxa" w:w="576"/>
            <w:tcMar>
              <w:top w:w="80" w:type="dxa"/>
              <w:start w:w="100" w:type="dxa"/>
              <w:bottom w:w="80" w:type="dxa"/>
              <w:end w:w="100" w:type="dxa"/>
            </w:tcMar>
            <w:vAlign w:val="top"/>
          </w:tcPr>
          <w:p>
            <w:pPr>
              <w:spacing w:after="0"/>
            </w:pPr>
            <w:r>
              <w:rPr>
                <w:sz w:val="13"/>
              </w:rPr>
              <w:t>A</w:t>
            </w:r>
          </w:p>
        </w:tc>
      </w:tr>
      <w:tr>
        <w:tc>
          <w:tcPr>
            <w:tcW w:type="dxa" w:w="2880"/>
            <w:tcMar>
              <w:top w:w="80" w:type="dxa"/>
              <w:start w:w="100" w:type="dxa"/>
              <w:bottom w:w="80" w:type="dxa"/>
              <w:end w:w="100" w:type="dxa"/>
            </w:tcMar>
            <w:vAlign w:val="top"/>
          </w:tcPr>
          <w:p>
            <w:pPr>
              <w:spacing w:after="0"/>
            </w:pPr>
            <w:r>
              <w:rPr>
                <w:sz w:val="13"/>
              </w:rPr>
              <w:t>Massey Services</w:t>
            </w:r>
          </w:p>
        </w:tc>
        <w:tc>
          <w:tcPr>
            <w:tcW w:type="dxa" w:w="1800"/>
            <w:tcMar>
              <w:top w:w="80" w:type="dxa"/>
              <w:start w:w="100" w:type="dxa"/>
              <w:bottom w:w="80" w:type="dxa"/>
              <w:end w:w="100" w:type="dxa"/>
            </w:tcMar>
            <w:vAlign w:val="top"/>
          </w:tcPr>
          <w:p>
            <w:pPr>
              <w:spacing w:after="0"/>
            </w:pPr>
            <w:r>
              <w:rPr>
                <w:sz w:val="13"/>
              </w:rPr>
              <w:t>Pest control</w:t>
            </w:r>
          </w:p>
        </w:tc>
        <w:tc>
          <w:tcPr>
            <w:tcW w:type="dxa" w:w="2160"/>
            <w:tcMar>
              <w:top w:w="80" w:type="dxa"/>
              <w:start w:w="100" w:type="dxa"/>
              <w:bottom w:w="80" w:type="dxa"/>
              <w:end w:w="100" w:type="dxa"/>
            </w:tcMar>
            <w:vAlign w:val="top"/>
          </w:tcPr>
          <w:p>
            <w:pPr>
              <w:spacing w:after="0"/>
            </w:pPr>
            <w:r>
              <w:rPr>
                <w:sz w:val="13"/>
              </w:rPr>
              <w:t>Founder/family/local ownership</w:t>
            </w:r>
          </w:p>
        </w:tc>
        <w:tc>
          <w:tcPr>
            <w:tcW w:type="dxa" w:w="2592"/>
            <w:tcMar>
              <w:top w:w="80" w:type="dxa"/>
              <w:start w:w="100" w:type="dxa"/>
              <w:bottom w:w="80" w:type="dxa"/>
              <w:end w:w="100" w:type="dxa"/>
            </w:tcMar>
            <w:vAlign w:val="top"/>
          </w:tcPr>
          <w:p>
            <w:pPr>
              <w:spacing w:after="0"/>
            </w:pPr>
            <w:r>
              <w:rPr>
                <w:sz w:val="13"/>
              </w:rPr>
              <w:t>Massey Services</w:t>
            </w:r>
          </w:p>
        </w:tc>
        <w:tc>
          <w:tcPr>
            <w:tcW w:type="dxa" w:w="3888"/>
            <w:tcMar>
              <w:top w:w="80" w:type="dxa"/>
              <w:start w:w="100" w:type="dxa"/>
              <w:bottom w:w="80" w:type="dxa"/>
              <w:end w:w="100" w:type="dxa"/>
            </w:tcMar>
            <w:vAlign w:val="top"/>
          </w:tcPr>
          <w:p>
            <w:pPr>
              <w:spacing w:after="0"/>
            </w:pPr>
            <w:r>
              <w:rPr>
                <w:sz w:val="13"/>
              </w:rPr>
              <w:t>Massey family / Tony Massey</w:t>
            </w:r>
          </w:p>
        </w:tc>
        <w:tc>
          <w:tcPr>
            <w:tcW w:type="dxa" w:w="576"/>
            <w:tcMar>
              <w:top w:w="80" w:type="dxa"/>
              <w:start w:w="100" w:type="dxa"/>
              <w:bottom w:w="80" w:type="dxa"/>
              <w:end w:w="100" w:type="dxa"/>
            </w:tcMar>
            <w:vAlign w:val="top"/>
          </w:tcPr>
          <w:p>
            <w:pPr>
              <w:spacing w:after="0"/>
            </w:pPr>
            <w:r>
              <w:rPr>
                <w:sz w:val="13"/>
              </w:rPr>
              <w:t>A</w:t>
            </w:r>
          </w:p>
        </w:tc>
      </w:tr>
      <w:tr>
        <w:tc>
          <w:tcPr>
            <w:tcW w:type="dxa" w:w="2880"/>
            <w:tcMar>
              <w:top w:w="80" w:type="dxa"/>
              <w:start w:w="100" w:type="dxa"/>
              <w:bottom w:w="80" w:type="dxa"/>
              <w:end w:w="100" w:type="dxa"/>
            </w:tcMar>
            <w:vAlign w:val="top"/>
          </w:tcPr>
          <w:p>
            <w:pPr>
              <w:spacing w:after="0"/>
            </w:pPr>
            <w:r>
              <w:rPr>
                <w:sz w:val="13"/>
              </w:rPr>
              <w:t>Natran Green Pest Control</w:t>
            </w:r>
          </w:p>
        </w:tc>
        <w:tc>
          <w:tcPr>
            <w:tcW w:type="dxa" w:w="1800"/>
            <w:tcMar>
              <w:top w:w="80" w:type="dxa"/>
              <w:start w:w="100" w:type="dxa"/>
              <w:bottom w:w="80" w:type="dxa"/>
              <w:end w:w="100" w:type="dxa"/>
            </w:tcMar>
            <w:vAlign w:val="top"/>
          </w:tcPr>
          <w:p>
            <w:pPr>
              <w:spacing w:after="0"/>
            </w:pPr>
            <w:r>
              <w:rPr>
                <w:sz w:val="13"/>
              </w:rPr>
              <w:t>Pest control</w:t>
            </w:r>
          </w:p>
        </w:tc>
        <w:tc>
          <w:tcPr>
            <w:tcW w:type="dxa" w:w="2160"/>
            <w:tcMar>
              <w:top w:w="80" w:type="dxa"/>
              <w:start w:w="100" w:type="dxa"/>
              <w:bottom w:w="80" w:type="dxa"/>
              <w:end w:w="100" w:type="dxa"/>
            </w:tcMar>
            <w:vAlign w:val="top"/>
          </w:tcPr>
          <w:p>
            <w:pPr>
              <w:spacing w:after="0"/>
            </w:pPr>
            <w:r>
              <w:rPr>
                <w:sz w:val="13"/>
              </w:rPr>
              <w:t>Founder/family/local ownership</w:t>
            </w:r>
          </w:p>
        </w:tc>
        <w:tc>
          <w:tcPr>
            <w:tcW w:type="dxa" w:w="2592"/>
            <w:tcMar>
              <w:top w:w="80" w:type="dxa"/>
              <w:start w:w="100" w:type="dxa"/>
              <w:bottom w:w="80" w:type="dxa"/>
              <w:end w:w="100" w:type="dxa"/>
            </w:tcMar>
            <w:vAlign w:val="top"/>
          </w:tcPr>
          <w:p>
            <w:pPr>
              <w:spacing w:after="0"/>
            </w:pPr>
            <w:r>
              <w:rPr>
                <w:sz w:val="13"/>
              </w:rPr>
              <w:t>—</w:t>
            </w:r>
          </w:p>
        </w:tc>
        <w:tc>
          <w:tcPr>
            <w:tcW w:type="dxa" w:w="3888"/>
            <w:tcMar>
              <w:top w:w="80" w:type="dxa"/>
              <w:start w:w="100" w:type="dxa"/>
              <w:bottom w:w="80" w:type="dxa"/>
              <w:end w:w="100" w:type="dxa"/>
            </w:tcMar>
            <w:vAlign w:val="top"/>
          </w:tcPr>
          <w:p>
            <w:pPr>
              <w:spacing w:after="0"/>
            </w:pPr>
            <w:r>
              <w:rPr>
                <w:sz w:val="13"/>
              </w:rPr>
              <w:t>Gordon Doran</w:t>
            </w:r>
          </w:p>
        </w:tc>
        <w:tc>
          <w:tcPr>
            <w:tcW w:type="dxa" w:w="576"/>
            <w:tcMar>
              <w:top w:w="80" w:type="dxa"/>
              <w:start w:w="100" w:type="dxa"/>
              <w:bottom w:w="80" w:type="dxa"/>
              <w:end w:w="100" w:type="dxa"/>
            </w:tcMar>
            <w:vAlign w:val="top"/>
          </w:tcPr>
          <w:p>
            <w:pPr>
              <w:spacing w:after="0"/>
            </w:pPr>
            <w:r>
              <w:rPr>
                <w:sz w:val="13"/>
              </w:rPr>
              <w:t>A</w:t>
            </w:r>
          </w:p>
        </w:tc>
      </w:tr>
      <w:tr>
        <w:tc>
          <w:tcPr>
            <w:tcW w:type="dxa" w:w="2880"/>
            <w:tcMar>
              <w:top w:w="80" w:type="dxa"/>
              <w:start w:w="100" w:type="dxa"/>
              <w:bottom w:w="80" w:type="dxa"/>
              <w:end w:w="100" w:type="dxa"/>
            </w:tcMar>
            <w:vAlign w:val="top"/>
          </w:tcPr>
          <w:p>
            <w:pPr>
              <w:spacing w:after="0"/>
            </w:pPr>
            <w:r>
              <w:rPr>
                <w:sz w:val="13"/>
              </w:rPr>
              <w:t>Orkin</w:t>
            </w:r>
          </w:p>
        </w:tc>
        <w:tc>
          <w:tcPr>
            <w:tcW w:type="dxa" w:w="1800"/>
            <w:tcMar>
              <w:top w:w="80" w:type="dxa"/>
              <w:start w:w="100" w:type="dxa"/>
              <w:bottom w:w="80" w:type="dxa"/>
              <w:end w:w="100" w:type="dxa"/>
            </w:tcMar>
            <w:vAlign w:val="top"/>
          </w:tcPr>
          <w:p>
            <w:pPr>
              <w:spacing w:after="0"/>
            </w:pPr>
            <w:r>
              <w:rPr>
                <w:sz w:val="13"/>
              </w:rPr>
              <w:t>Pest control</w:t>
            </w:r>
          </w:p>
        </w:tc>
        <w:tc>
          <w:tcPr>
            <w:tcW w:type="dxa" w:w="2160"/>
            <w:tcMar>
              <w:top w:w="80" w:type="dxa"/>
              <w:start w:w="100" w:type="dxa"/>
              <w:bottom w:w="80" w:type="dxa"/>
              <w:end w:w="100" w:type="dxa"/>
            </w:tcMar>
            <w:vAlign w:val="top"/>
          </w:tcPr>
          <w:p>
            <w:pPr>
              <w:spacing w:after="0"/>
            </w:pPr>
            <w:r>
              <w:rPr>
                <w:sz w:val="13"/>
              </w:rPr>
              <w:t>Public-company owned</w:t>
            </w:r>
          </w:p>
        </w:tc>
        <w:tc>
          <w:tcPr>
            <w:tcW w:type="dxa" w:w="2592"/>
            <w:tcMar>
              <w:top w:w="80" w:type="dxa"/>
              <w:start w:w="100" w:type="dxa"/>
              <w:bottom w:w="80" w:type="dxa"/>
              <w:end w:w="100" w:type="dxa"/>
            </w:tcMar>
            <w:vAlign w:val="top"/>
          </w:tcPr>
          <w:p>
            <w:pPr>
              <w:spacing w:after="0"/>
            </w:pPr>
            <w:r>
              <w:rPr>
                <w:sz w:val="13"/>
              </w:rPr>
              <w:t>Orkin</w:t>
            </w:r>
          </w:p>
        </w:tc>
        <w:tc>
          <w:tcPr>
            <w:tcW w:type="dxa" w:w="3888"/>
            <w:tcMar>
              <w:top w:w="80" w:type="dxa"/>
              <w:start w:w="100" w:type="dxa"/>
              <w:bottom w:w="80" w:type="dxa"/>
              <w:end w:w="100" w:type="dxa"/>
            </w:tcMar>
            <w:vAlign w:val="top"/>
          </w:tcPr>
          <w:p>
            <w:pPr>
              <w:spacing w:after="0"/>
            </w:pPr>
            <w:r>
              <w:rPr>
                <w:sz w:val="13"/>
              </w:rPr>
              <w:t>Rollins, Inc.</w:t>
            </w:r>
          </w:p>
        </w:tc>
        <w:tc>
          <w:tcPr>
            <w:tcW w:type="dxa" w:w="576"/>
            <w:tcMar>
              <w:top w:w="80" w:type="dxa"/>
              <w:start w:w="100" w:type="dxa"/>
              <w:bottom w:w="80" w:type="dxa"/>
              <w:end w:w="100" w:type="dxa"/>
            </w:tcMar>
            <w:vAlign w:val="top"/>
          </w:tcPr>
          <w:p>
            <w:pPr>
              <w:spacing w:after="0"/>
            </w:pPr>
            <w:r>
              <w:rPr>
                <w:sz w:val="13"/>
              </w:rPr>
              <w:t>A</w:t>
            </w:r>
          </w:p>
        </w:tc>
      </w:tr>
      <w:tr>
        <w:tc>
          <w:tcPr>
            <w:tcW w:type="dxa" w:w="2880"/>
            <w:tcMar>
              <w:top w:w="80" w:type="dxa"/>
              <w:start w:w="100" w:type="dxa"/>
              <w:bottom w:w="80" w:type="dxa"/>
              <w:end w:w="100" w:type="dxa"/>
            </w:tcMar>
            <w:vAlign w:val="top"/>
          </w:tcPr>
          <w:p>
            <w:pPr>
              <w:spacing w:after="0"/>
            </w:pPr>
            <w:r>
              <w:rPr>
                <w:sz w:val="13"/>
              </w:rPr>
              <w:t>Pest Wranglers</w:t>
            </w:r>
          </w:p>
        </w:tc>
        <w:tc>
          <w:tcPr>
            <w:tcW w:type="dxa" w:w="1800"/>
            <w:tcMar>
              <w:top w:w="80" w:type="dxa"/>
              <w:start w:w="100" w:type="dxa"/>
              <w:bottom w:w="80" w:type="dxa"/>
              <w:end w:w="100" w:type="dxa"/>
            </w:tcMar>
            <w:vAlign w:val="top"/>
          </w:tcPr>
          <w:p>
            <w:pPr>
              <w:spacing w:after="0"/>
            </w:pPr>
            <w:r>
              <w:rPr>
                <w:sz w:val="13"/>
              </w:rPr>
              <w:t>Pest control</w:t>
            </w:r>
          </w:p>
        </w:tc>
        <w:tc>
          <w:tcPr>
            <w:tcW w:type="dxa" w:w="2160"/>
            <w:tcMar>
              <w:top w:w="80" w:type="dxa"/>
              <w:start w:w="100" w:type="dxa"/>
              <w:bottom w:w="80" w:type="dxa"/>
              <w:end w:w="100" w:type="dxa"/>
            </w:tcMar>
            <w:vAlign w:val="top"/>
          </w:tcPr>
          <w:p>
            <w:pPr>
              <w:spacing w:after="0"/>
            </w:pPr>
            <w:r>
              <w:rPr>
                <w:sz w:val="13"/>
              </w:rPr>
              <w:t>Founder/family/local ownership</w:t>
            </w:r>
          </w:p>
        </w:tc>
        <w:tc>
          <w:tcPr>
            <w:tcW w:type="dxa" w:w="2592"/>
            <w:tcMar>
              <w:top w:w="80" w:type="dxa"/>
              <w:start w:w="100" w:type="dxa"/>
              <w:bottom w:w="80" w:type="dxa"/>
              <w:end w:w="100" w:type="dxa"/>
            </w:tcMar>
            <w:vAlign w:val="top"/>
          </w:tcPr>
          <w:p>
            <w:pPr>
              <w:spacing w:after="0"/>
            </w:pPr>
            <w:r>
              <w:rPr>
                <w:sz w:val="13"/>
              </w:rPr>
              <w:t>Wranglers Service Group, Inc.</w:t>
            </w:r>
          </w:p>
        </w:tc>
        <w:tc>
          <w:tcPr>
            <w:tcW w:type="dxa" w:w="3888"/>
            <w:tcMar>
              <w:top w:w="80" w:type="dxa"/>
              <w:start w:w="100" w:type="dxa"/>
              <w:bottom w:w="80" w:type="dxa"/>
              <w:end w:w="100" w:type="dxa"/>
            </w:tcMar>
            <w:vAlign w:val="top"/>
          </w:tcPr>
          <w:p>
            <w:pPr>
              <w:spacing w:after="0"/>
            </w:pPr>
            <w:r>
              <w:rPr>
                <w:sz w:val="13"/>
              </w:rPr>
              <w:t>Local owners; individual controller unresolved</w:t>
            </w:r>
          </w:p>
        </w:tc>
        <w:tc>
          <w:tcPr>
            <w:tcW w:type="dxa" w:w="576"/>
            <w:tcMar>
              <w:top w:w="80" w:type="dxa"/>
              <w:start w:w="100" w:type="dxa"/>
              <w:bottom w:w="80" w:type="dxa"/>
              <w:end w:w="100" w:type="dxa"/>
            </w:tcMar>
            <w:vAlign w:val="top"/>
          </w:tcPr>
          <w:p>
            <w:pPr>
              <w:spacing w:after="0"/>
            </w:pPr>
            <w:r>
              <w:rPr>
                <w:sz w:val="13"/>
              </w:rPr>
              <w:t>C</w:t>
            </w:r>
          </w:p>
        </w:tc>
      </w:tr>
      <w:tr>
        <w:tc>
          <w:tcPr>
            <w:tcW w:type="dxa" w:w="2880"/>
            <w:tcMar>
              <w:top w:w="80" w:type="dxa"/>
              <w:start w:w="100" w:type="dxa"/>
              <w:bottom w:w="80" w:type="dxa"/>
              <w:end w:w="100" w:type="dxa"/>
            </w:tcMar>
            <w:vAlign w:val="top"/>
          </w:tcPr>
          <w:p>
            <w:pPr>
              <w:spacing w:after="0"/>
            </w:pPr>
            <w:r>
              <w:rPr>
                <w:sz w:val="13"/>
              </w:rPr>
              <w:t>Ranger Termite &amp; Pest Control</w:t>
            </w:r>
          </w:p>
        </w:tc>
        <w:tc>
          <w:tcPr>
            <w:tcW w:type="dxa" w:w="1800"/>
            <w:tcMar>
              <w:top w:w="80" w:type="dxa"/>
              <w:start w:w="100" w:type="dxa"/>
              <w:bottom w:w="80" w:type="dxa"/>
              <w:end w:w="100" w:type="dxa"/>
            </w:tcMar>
            <w:vAlign w:val="top"/>
          </w:tcPr>
          <w:p>
            <w:pPr>
              <w:spacing w:after="0"/>
            </w:pPr>
            <w:r>
              <w:rPr>
                <w:sz w:val="13"/>
              </w:rPr>
              <w:t>Pest control</w:t>
            </w:r>
          </w:p>
        </w:tc>
        <w:tc>
          <w:tcPr>
            <w:tcW w:type="dxa" w:w="2160"/>
            <w:tcMar>
              <w:top w:w="80" w:type="dxa"/>
              <w:start w:w="100" w:type="dxa"/>
              <w:bottom w:w="80" w:type="dxa"/>
              <w:end w:w="100" w:type="dxa"/>
            </w:tcMar>
            <w:vAlign w:val="top"/>
          </w:tcPr>
          <w:p>
            <w:pPr>
              <w:spacing w:after="0"/>
            </w:pPr>
            <w:r>
              <w:rPr>
                <w:sz w:val="13"/>
              </w:rPr>
              <w:t>Private/control unresolved</w:t>
            </w:r>
          </w:p>
        </w:tc>
        <w:tc>
          <w:tcPr>
            <w:tcW w:type="dxa" w:w="2592"/>
            <w:tcMar>
              <w:top w:w="80" w:type="dxa"/>
              <w:start w:w="100" w:type="dxa"/>
              <w:bottom w:w="80" w:type="dxa"/>
              <w:end w:w="100" w:type="dxa"/>
            </w:tcMar>
            <w:vAlign w:val="top"/>
          </w:tcPr>
          <w:p>
            <w:pPr>
              <w:spacing w:after="0"/>
            </w:pPr>
            <w:r>
              <w:rPr>
                <w:sz w:val="13"/>
              </w:rPr>
              <w:t>Ranger Termite &amp; Pest Control, Inc.</w:t>
            </w:r>
          </w:p>
        </w:tc>
        <w:tc>
          <w:tcPr>
            <w:tcW w:type="dxa" w:w="3888"/>
            <w:tcMar>
              <w:top w:w="80" w:type="dxa"/>
              <w:start w:w="100" w:type="dxa"/>
              <w:bottom w:w="80" w:type="dxa"/>
              <w:end w:w="100" w:type="dxa"/>
            </w:tcMar>
            <w:vAlign w:val="top"/>
          </w:tcPr>
          <w:p>
            <w:pPr>
              <w:spacing w:after="0"/>
            </w:pPr>
            <w:r>
              <w:rPr>
                <w:sz w:val="13"/>
              </w:rPr>
              <w:t>Current controller unresolved due conflicting owner/president references</w:t>
            </w:r>
          </w:p>
        </w:tc>
        <w:tc>
          <w:tcPr>
            <w:tcW w:type="dxa" w:w="576"/>
            <w:tcMar>
              <w:top w:w="80" w:type="dxa"/>
              <w:start w:w="100" w:type="dxa"/>
              <w:bottom w:w="80" w:type="dxa"/>
              <w:end w:w="100" w:type="dxa"/>
            </w:tcMar>
            <w:vAlign w:val="top"/>
          </w:tcPr>
          <w:p>
            <w:pPr>
              <w:spacing w:after="0"/>
            </w:pPr>
            <w:r>
              <w:rPr>
                <w:sz w:val="13"/>
              </w:rPr>
              <w:t>D</w:t>
            </w:r>
          </w:p>
        </w:tc>
      </w:tr>
      <w:tr>
        <w:tc>
          <w:tcPr>
            <w:tcW w:type="dxa" w:w="2880"/>
            <w:tcMar>
              <w:top w:w="80" w:type="dxa"/>
              <w:start w:w="100" w:type="dxa"/>
              <w:bottom w:w="80" w:type="dxa"/>
              <w:end w:w="100" w:type="dxa"/>
            </w:tcMar>
            <w:vAlign w:val="top"/>
          </w:tcPr>
          <w:p>
            <w:pPr>
              <w:spacing w:after="0"/>
            </w:pPr>
            <w:r>
              <w:rPr>
                <w:sz w:val="13"/>
              </w:rPr>
              <w:t>Roberts Termite &amp; Pest Control</w:t>
            </w:r>
          </w:p>
        </w:tc>
        <w:tc>
          <w:tcPr>
            <w:tcW w:type="dxa" w:w="1800"/>
            <w:tcMar>
              <w:top w:w="80" w:type="dxa"/>
              <w:start w:w="100" w:type="dxa"/>
              <w:bottom w:w="80" w:type="dxa"/>
              <w:end w:w="100" w:type="dxa"/>
            </w:tcMar>
            <w:vAlign w:val="top"/>
          </w:tcPr>
          <w:p>
            <w:pPr>
              <w:spacing w:after="0"/>
            </w:pPr>
            <w:r>
              <w:rPr>
                <w:sz w:val="13"/>
              </w:rPr>
              <w:t>Pest control</w:t>
            </w:r>
          </w:p>
        </w:tc>
        <w:tc>
          <w:tcPr>
            <w:tcW w:type="dxa" w:w="2160"/>
            <w:tcMar>
              <w:top w:w="80" w:type="dxa"/>
              <w:start w:w="100" w:type="dxa"/>
              <w:bottom w:w="80" w:type="dxa"/>
              <w:end w:w="100" w:type="dxa"/>
            </w:tcMar>
            <w:vAlign w:val="top"/>
          </w:tcPr>
          <w:p>
            <w:pPr>
              <w:spacing w:after="0"/>
            </w:pPr>
            <w:r>
              <w:rPr>
                <w:sz w:val="13"/>
              </w:rPr>
              <w:t>Founder/family/local ownership</w:t>
            </w:r>
          </w:p>
        </w:tc>
        <w:tc>
          <w:tcPr>
            <w:tcW w:type="dxa" w:w="2592"/>
            <w:tcMar>
              <w:top w:w="80" w:type="dxa"/>
              <w:start w:w="100" w:type="dxa"/>
              <w:bottom w:w="80" w:type="dxa"/>
              <w:end w:w="100" w:type="dxa"/>
            </w:tcMar>
            <w:vAlign w:val="top"/>
          </w:tcPr>
          <w:p>
            <w:pPr>
              <w:spacing w:after="0"/>
            </w:pPr>
            <w:r>
              <w:rPr>
                <w:sz w:val="13"/>
              </w:rPr>
              <w:t>—</w:t>
            </w:r>
          </w:p>
        </w:tc>
        <w:tc>
          <w:tcPr>
            <w:tcW w:type="dxa" w:w="3888"/>
            <w:tcMar>
              <w:top w:w="80" w:type="dxa"/>
              <w:start w:w="100" w:type="dxa"/>
              <w:bottom w:w="80" w:type="dxa"/>
              <w:end w:w="100" w:type="dxa"/>
            </w:tcMar>
            <w:vAlign w:val="top"/>
          </w:tcPr>
          <w:p>
            <w:pPr>
              <w:spacing w:after="0"/>
            </w:pPr>
            <w:r>
              <w:rPr>
                <w:sz w:val="13"/>
              </w:rPr>
              <w:t>Roberts family / local owners</w:t>
            </w:r>
          </w:p>
        </w:tc>
        <w:tc>
          <w:tcPr>
            <w:tcW w:type="dxa" w:w="576"/>
            <w:tcMar>
              <w:top w:w="80" w:type="dxa"/>
              <w:start w:w="100" w:type="dxa"/>
              <w:bottom w:w="80" w:type="dxa"/>
              <w:end w:w="100" w:type="dxa"/>
            </w:tcMar>
            <w:vAlign w:val="top"/>
          </w:tcPr>
          <w:p>
            <w:pPr>
              <w:spacing w:after="0"/>
            </w:pPr>
            <w:r>
              <w:rPr>
                <w:sz w:val="13"/>
              </w:rPr>
              <w:t>C</w:t>
            </w:r>
          </w:p>
        </w:tc>
      </w:tr>
      <w:tr>
        <w:tc>
          <w:tcPr>
            <w:tcW w:type="dxa" w:w="2880"/>
            <w:tcMar>
              <w:top w:w="80" w:type="dxa"/>
              <w:start w:w="100" w:type="dxa"/>
              <w:bottom w:w="80" w:type="dxa"/>
              <w:end w:w="100" w:type="dxa"/>
            </w:tcMar>
            <w:vAlign w:val="top"/>
          </w:tcPr>
          <w:p>
            <w:pPr>
              <w:spacing w:after="0"/>
            </w:pPr>
            <w:r>
              <w:rPr>
                <w:sz w:val="13"/>
              </w:rPr>
              <w:t>Romney Pest Control</w:t>
            </w:r>
          </w:p>
        </w:tc>
        <w:tc>
          <w:tcPr>
            <w:tcW w:type="dxa" w:w="1800"/>
            <w:tcMar>
              <w:top w:w="80" w:type="dxa"/>
              <w:start w:w="100" w:type="dxa"/>
              <w:bottom w:w="80" w:type="dxa"/>
              <w:end w:w="100" w:type="dxa"/>
            </w:tcMar>
            <w:vAlign w:val="top"/>
          </w:tcPr>
          <w:p>
            <w:pPr>
              <w:spacing w:after="0"/>
            </w:pPr>
            <w:r>
              <w:rPr>
                <w:sz w:val="13"/>
              </w:rPr>
              <w:t>Pest control</w:t>
            </w:r>
          </w:p>
        </w:tc>
        <w:tc>
          <w:tcPr>
            <w:tcW w:type="dxa" w:w="2160"/>
            <w:tcMar>
              <w:top w:w="80" w:type="dxa"/>
              <w:start w:w="100" w:type="dxa"/>
              <w:bottom w:w="80" w:type="dxa"/>
              <w:end w:w="100" w:type="dxa"/>
            </w:tcMar>
            <w:vAlign w:val="top"/>
          </w:tcPr>
          <w:p>
            <w:pPr>
              <w:spacing w:after="0"/>
            </w:pPr>
            <w:r>
              <w:rPr>
                <w:sz w:val="13"/>
              </w:rPr>
              <w:t>Founder/family/local ownership</w:t>
            </w:r>
          </w:p>
        </w:tc>
        <w:tc>
          <w:tcPr>
            <w:tcW w:type="dxa" w:w="2592"/>
            <w:tcMar>
              <w:top w:w="80" w:type="dxa"/>
              <w:start w:w="100" w:type="dxa"/>
              <w:bottom w:w="80" w:type="dxa"/>
              <w:end w:w="100" w:type="dxa"/>
            </w:tcMar>
            <w:vAlign w:val="top"/>
          </w:tcPr>
          <w:p>
            <w:pPr>
              <w:spacing w:after="0"/>
            </w:pPr>
            <w:r>
              <w:rPr>
                <w:sz w:val="13"/>
              </w:rPr>
              <w:t>—</w:t>
            </w:r>
          </w:p>
        </w:tc>
        <w:tc>
          <w:tcPr>
            <w:tcW w:type="dxa" w:w="3888"/>
            <w:tcMar>
              <w:top w:w="80" w:type="dxa"/>
              <w:start w:w="100" w:type="dxa"/>
              <w:bottom w:w="80" w:type="dxa"/>
              <w:end w:w="100" w:type="dxa"/>
            </w:tcMar>
            <w:vAlign w:val="top"/>
          </w:tcPr>
          <w:p>
            <w:pPr>
              <w:spacing w:after="0"/>
            </w:pPr>
            <w:r>
              <w:rPr>
                <w:sz w:val="13"/>
              </w:rPr>
              <w:t>Greg Romney and family</w:t>
            </w:r>
          </w:p>
        </w:tc>
        <w:tc>
          <w:tcPr>
            <w:tcW w:type="dxa" w:w="576"/>
            <w:tcMar>
              <w:top w:w="80" w:type="dxa"/>
              <w:start w:w="100" w:type="dxa"/>
              <w:bottom w:w="80" w:type="dxa"/>
              <w:end w:w="100" w:type="dxa"/>
            </w:tcMar>
            <w:vAlign w:val="top"/>
          </w:tcPr>
          <w:p>
            <w:pPr>
              <w:spacing w:after="0"/>
            </w:pPr>
            <w:r>
              <w:rPr>
                <w:sz w:val="13"/>
              </w:rPr>
              <w:t>B</w:t>
            </w:r>
          </w:p>
        </w:tc>
      </w:tr>
      <w:tr>
        <w:tc>
          <w:tcPr>
            <w:tcW w:type="dxa" w:w="2880"/>
            <w:tcMar>
              <w:top w:w="80" w:type="dxa"/>
              <w:start w:w="100" w:type="dxa"/>
              <w:bottom w:w="80" w:type="dxa"/>
              <w:end w:w="100" w:type="dxa"/>
            </w:tcMar>
            <w:vAlign w:val="top"/>
          </w:tcPr>
          <w:p>
            <w:pPr>
              <w:spacing w:after="0"/>
            </w:pPr>
            <w:r>
              <w:rPr>
                <w:sz w:val="13"/>
              </w:rPr>
              <w:t>Stride Pest Control</w:t>
            </w:r>
          </w:p>
        </w:tc>
        <w:tc>
          <w:tcPr>
            <w:tcW w:type="dxa" w:w="1800"/>
            <w:tcMar>
              <w:top w:w="80" w:type="dxa"/>
              <w:start w:w="100" w:type="dxa"/>
              <w:bottom w:w="80" w:type="dxa"/>
              <w:end w:w="100" w:type="dxa"/>
            </w:tcMar>
            <w:vAlign w:val="top"/>
          </w:tcPr>
          <w:p>
            <w:pPr>
              <w:spacing w:after="0"/>
            </w:pPr>
            <w:r>
              <w:rPr>
                <w:sz w:val="13"/>
              </w:rPr>
              <w:t>Pest control</w:t>
            </w:r>
          </w:p>
        </w:tc>
        <w:tc>
          <w:tcPr>
            <w:tcW w:type="dxa" w:w="2160"/>
            <w:tcMar>
              <w:top w:w="80" w:type="dxa"/>
              <w:start w:w="100" w:type="dxa"/>
              <w:bottom w:w="80" w:type="dxa"/>
              <w:end w:w="100" w:type="dxa"/>
            </w:tcMar>
            <w:vAlign w:val="top"/>
          </w:tcPr>
          <w:p>
            <w:pPr>
              <w:spacing w:after="0"/>
            </w:pPr>
            <w:r>
              <w:rPr>
                <w:sz w:val="13"/>
              </w:rPr>
              <w:t>Founder/family/local ownership</w:t>
            </w:r>
          </w:p>
        </w:tc>
        <w:tc>
          <w:tcPr>
            <w:tcW w:type="dxa" w:w="2592"/>
            <w:tcMar>
              <w:top w:w="80" w:type="dxa"/>
              <w:start w:w="100" w:type="dxa"/>
              <w:bottom w:w="80" w:type="dxa"/>
              <w:end w:w="100" w:type="dxa"/>
            </w:tcMar>
            <w:vAlign w:val="top"/>
          </w:tcPr>
          <w:p>
            <w:pPr>
              <w:spacing w:after="0"/>
            </w:pPr>
            <w:r>
              <w:rPr>
                <w:sz w:val="13"/>
              </w:rPr>
              <w:t>Stride Pest Control, LLC</w:t>
            </w:r>
          </w:p>
        </w:tc>
        <w:tc>
          <w:tcPr>
            <w:tcW w:type="dxa" w:w="3888"/>
            <w:tcMar>
              <w:top w:w="80" w:type="dxa"/>
              <w:start w:w="100" w:type="dxa"/>
              <w:bottom w:w="80" w:type="dxa"/>
              <w:end w:w="100" w:type="dxa"/>
            </w:tcMar>
            <w:vAlign w:val="top"/>
          </w:tcPr>
          <w:p>
            <w:pPr>
              <w:spacing w:after="0"/>
            </w:pPr>
            <w:r>
              <w:rPr>
                <w:sz w:val="13"/>
              </w:rPr>
              <w:t>Tyson Kearns</w:t>
            </w:r>
          </w:p>
        </w:tc>
        <w:tc>
          <w:tcPr>
            <w:tcW w:type="dxa" w:w="576"/>
            <w:tcMar>
              <w:top w:w="80" w:type="dxa"/>
              <w:start w:w="100" w:type="dxa"/>
              <w:bottom w:w="80" w:type="dxa"/>
              <w:end w:w="100" w:type="dxa"/>
            </w:tcMar>
            <w:vAlign w:val="top"/>
          </w:tcPr>
          <w:p>
            <w:pPr>
              <w:spacing w:after="0"/>
            </w:pPr>
            <w:r>
              <w:rPr>
                <w:sz w:val="13"/>
              </w:rPr>
              <w:t>A</w:t>
            </w:r>
          </w:p>
        </w:tc>
      </w:tr>
      <w:tr>
        <w:tc>
          <w:tcPr>
            <w:tcW w:type="dxa" w:w="2880"/>
            <w:tcMar>
              <w:top w:w="80" w:type="dxa"/>
              <w:start w:w="100" w:type="dxa"/>
              <w:bottom w:w="80" w:type="dxa"/>
              <w:end w:w="100" w:type="dxa"/>
            </w:tcMar>
            <w:vAlign w:val="top"/>
          </w:tcPr>
          <w:p>
            <w:pPr>
              <w:spacing w:after="0"/>
            </w:pPr>
            <w:r>
              <w:rPr>
                <w:sz w:val="13"/>
              </w:rPr>
              <w:t>Terminix</w:t>
            </w:r>
          </w:p>
        </w:tc>
        <w:tc>
          <w:tcPr>
            <w:tcW w:type="dxa" w:w="1800"/>
            <w:tcMar>
              <w:top w:w="80" w:type="dxa"/>
              <w:start w:w="100" w:type="dxa"/>
              <w:bottom w:w="80" w:type="dxa"/>
              <w:end w:w="100" w:type="dxa"/>
            </w:tcMar>
            <w:vAlign w:val="top"/>
          </w:tcPr>
          <w:p>
            <w:pPr>
              <w:spacing w:after="0"/>
            </w:pPr>
            <w:r>
              <w:rPr>
                <w:sz w:val="13"/>
              </w:rPr>
              <w:t>Pest control</w:t>
            </w:r>
          </w:p>
        </w:tc>
        <w:tc>
          <w:tcPr>
            <w:tcW w:type="dxa" w:w="2160"/>
            <w:tcMar>
              <w:top w:w="80" w:type="dxa"/>
              <w:start w:w="100" w:type="dxa"/>
              <w:bottom w:w="80" w:type="dxa"/>
              <w:end w:w="100" w:type="dxa"/>
            </w:tcMar>
            <w:vAlign w:val="top"/>
          </w:tcPr>
          <w:p>
            <w:pPr>
              <w:spacing w:after="0"/>
            </w:pPr>
            <w:r>
              <w:rPr>
                <w:sz w:val="13"/>
              </w:rPr>
              <w:t>Public-company owned</w:t>
            </w:r>
          </w:p>
        </w:tc>
        <w:tc>
          <w:tcPr>
            <w:tcW w:type="dxa" w:w="2592"/>
            <w:tcMar>
              <w:top w:w="80" w:type="dxa"/>
              <w:start w:w="100" w:type="dxa"/>
              <w:bottom w:w="80" w:type="dxa"/>
              <w:end w:w="100" w:type="dxa"/>
            </w:tcMar>
            <w:vAlign w:val="top"/>
          </w:tcPr>
          <w:p>
            <w:pPr>
              <w:spacing w:after="0"/>
            </w:pPr>
            <w:r>
              <w:rPr>
                <w:sz w:val="13"/>
              </w:rPr>
              <w:t>Terminix / Rentokil North America</w:t>
            </w:r>
          </w:p>
        </w:tc>
        <w:tc>
          <w:tcPr>
            <w:tcW w:type="dxa" w:w="3888"/>
            <w:tcMar>
              <w:top w:w="80" w:type="dxa"/>
              <w:start w:w="100" w:type="dxa"/>
              <w:bottom w:w="80" w:type="dxa"/>
              <w:end w:w="100" w:type="dxa"/>
            </w:tcMar>
            <w:vAlign w:val="top"/>
          </w:tcPr>
          <w:p>
            <w:pPr>
              <w:spacing w:after="0"/>
            </w:pPr>
            <w:r>
              <w:rPr>
                <w:sz w:val="13"/>
              </w:rPr>
              <w:t>Rentokil Initial plc</w:t>
            </w:r>
          </w:p>
        </w:tc>
        <w:tc>
          <w:tcPr>
            <w:tcW w:type="dxa" w:w="576"/>
            <w:tcMar>
              <w:top w:w="80" w:type="dxa"/>
              <w:start w:w="100" w:type="dxa"/>
              <w:bottom w:w="80" w:type="dxa"/>
              <w:end w:w="100" w:type="dxa"/>
            </w:tcMar>
            <w:vAlign w:val="top"/>
          </w:tcPr>
          <w:p>
            <w:pPr>
              <w:spacing w:after="0"/>
            </w:pPr>
            <w:r>
              <w:rPr>
                <w:sz w:val="13"/>
              </w:rPr>
              <w:t>A</w:t>
            </w:r>
          </w:p>
        </w:tc>
      </w:tr>
      <w:tr>
        <w:tc>
          <w:tcPr>
            <w:tcW w:type="dxa" w:w="2880"/>
            <w:tcMar>
              <w:top w:w="80" w:type="dxa"/>
              <w:start w:w="100" w:type="dxa"/>
              <w:bottom w:w="80" w:type="dxa"/>
              <w:end w:w="100" w:type="dxa"/>
            </w:tcMar>
            <w:vAlign w:val="top"/>
          </w:tcPr>
          <w:p>
            <w:pPr>
              <w:spacing w:after="0"/>
            </w:pPr>
            <w:r>
              <w:rPr>
                <w:sz w:val="13"/>
              </w:rPr>
              <w:t>X Out Pest Services</w:t>
            </w:r>
          </w:p>
        </w:tc>
        <w:tc>
          <w:tcPr>
            <w:tcW w:type="dxa" w:w="1800"/>
            <w:tcMar>
              <w:top w:w="80" w:type="dxa"/>
              <w:start w:w="100" w:type="dxa"/>
              <w:bottom w:w="80" w:type="dxa"/>
              <w:end w:w="100" w:type="dxa"/>
            </w:tcMar>
            <w:vAlign w:val="top"/>
          </w:tcPr>
          <w:p>
            <w:pPr>
              <w:spacing w:after="0"/>
            </w:pPr>
            <w:r>
              <w:rPr>
                <w:sz w:val="13"/>
              </w:rPr>
              <w:t>Pest control</w:t>
            </w:r>
          </w:p>
        </w:tc>
        <w:tc>
          <w:tcPr>
            <w:tcW w:type="dxa" w:w="2160"/>
            <w:tcMar>
              <w:top w:w="80" w:type="dxa"/>
              <w:start w:w="100" w:type="dxa"/>
              <w:bottom w:w="80" w:type="dxa"/>
              <w:end w:w="100" w:type="dxa"/>
            </w:tcMar>
            <w:vAlign w:val="top"/>
          </w:tcPr>
          <w:p>
            <w:pPr>
              <w:spacing w:after="0"/>
            </w:pPr>
            <w:r>
              <w:rPr>
                <w:sz w:val="13"/>
              </w:rPr>
              <w:t>Founder/family/local ownership</w:t>
            </w:r>
          </w:p>
        </w:tc>
        <w:tc>
          <w:tcPr>
            <w:tcW w:type="dxa" w:w="2592"/>
            <w:tcMar>
              <w:top w:w="80" w:type="dxa"/>
              <w:start w:w="100" w:type="dxa"/>
              <w:bottom w:w="80" w:type="dxa"/>
              <w:end w:w="100" w:type="dxa"/>
            </w:tcMar>
            <w:vAlign w:val="top"/>
          </w:tcPr>
          <w:p>
            <w:pPr>
              <w:spacing w:after="0"/>
            </w:pPr>
            <w:r>
              <w:rPr>
                <w:sz w:val="13"/>
              </w:rPr>
              <w:t>X Out Pest Services, LLC</w:t>
            </w:r>
          </w:p>
        </w:tc>
        <w:tc>
          <w:tcPr>
            <w:tcW w:type="dxa" w:w="3888"/>
            <w:tcMar>
              <w:top w:w="80" w:type="dxa"/>
              <w:start w:w="100" w:type="dxa"/>
              <w:bottom w:w="80" w:type="dxa"/>
              <w:end w:w="100" w:type="dxa"/>
            </w:tcMar>
            <w:vAlign w:val="top"/>
          </w:tcPr>
          <w:p>
            <w:pPr>
              <w:spacing w:after="0"/>
            </w:pPr>
            <w:r>
              <w:rPr>
                <w:sz w:val="13"/>
              </w:rPr>
              <w:t>Dewey Petersen</w:t>
            </w:r>
          </w:p>
        </w:tc>
        <w:tc>
          <w:tcPr>
            <w:tcW w:type="dxa" w:w="576"/>
            <w:tcMar>
              <w:top w:w="80" w:type="dxa"/>
              <w:start w:w="100" w:type="dxa"/>
              <w:bottom w:w="80" w:type="dxa"/>
              <w:end w:w="100" w:type="dxa"/>
            </w:tcMar>
            <w:vAlign w:val="top"/>
          </w:tcPr>
          <w:p>
            <w:pPr>
              <w:spacing w:after="0"/>
            </w:pPr>
            <w:r>
              <w:rPr>
                <w:sz w:val="13"/>
              </w:rPr>
              <w:t>B</w:t>
            </w:r>
          </w:p>
        </w:tc>
      </w:tr>
      <w:tr>
        <w:tc>
          <w:tcPr>
            <w:tcW w:type="dxa" w:w="2880"/>
            <w:tcMar>
              <w:top w:w="80" w:type="dxa"/>
              <w:start w:w="100" w:type="dxa"/>
              <w:bottom w:w="80" w:type="dxa"/>
              <w:end w:w="100" w:type="dxa"/>
            </w:tcMar>
            <w:vAlign w:val="top"/>
          </w:tcPr>
          <w:p>
            <w:pPr>
              <w:spacing w:after="0"/>
            </w:pPr>
            <w:r>
              <w:rPr>
                <w:sz w:val="13"/>
              </w:rPr>
              <w:t>Anderson Roofing &amp; Construction</w:t>
            </w:r>
          </w:p>
        </w:tc>
        <w:tc>
          <w:tcPr>
            <w:tcW w:type="dxa" w:w="1800"/>
            <w:tcMar>
              <w:top w:w="80" w:type="dxa"/>
              <w:start w:w="100" w:type="dxa"/>
              <w:bottom w:w="80" w:type="dxa"/>
              <w:end w:w="100" w:type="dxa"/>
            </w:tcMar>
            <w:vAlign w:val="top"/>
          </w:tcPr>
          <w:p>
            <w:pPr>
              <w:spacing w:after="0"/>
            </w:pPr>
            <w:r>
              <w:rPr>
                <w:sz w:val="13"/>
              </w:rPr>
              <w:t>Roofing and exterior</w:t>
            </w:r>
          </w:p>
        </w:tc>
        <w:tc>
          <w:tcPr>
            <w:tcW w:type="dxa" w:w="2160"/>
            <w:tcMar>
              <w:top w:w="80" w:type="dxa"/>
              <w:start w:w="100" w:type="dxa"/>
              <w:bottom w:w="80" w:type="dxa"/>
              <w:end w:w="100" w:type="dxa"/>
            </w:tcMar>
            <w:vAlign w:val="top"/>
          </w:tcPr>
          <w:p>
            <w:pPr>
              <w:spacing w:after="0"/>
            </w:pPr>
            <w:r>
              <w:rPr>
                <w:sz w:val="13"/>
              </w:rPr>
              <w:t>Founder/family/local ownership</w:t>
            </w:r>
          </w:p>
        </w:tc>
        <w:tc>
          <w:tcPr>
            <w:tcW w:type="dxa" w:w="2592"/>
            <w:tcMar>
              <w:top w:w="80" w:type="dxa"/>
              <w:start w:w="100" w:type="dxa"/>
              <w:bottom w:w="80" w:type="dxa"/>
              <w:end w:w="100" w:type="dxa"/>
            </w:tcMar>
            <w:vAlign w:val="top"/>
          </w:tcPr>
          <w:p>
            <w:pPr>
              <w:spacing w:after="0"/>
            </w:pPr>
            <w:r>
              <w:rPr>
                <w:sz w:val="13"/>
              </w:rPr>
              <w:t>—</w:t>
            </w:r>
          </w:p>
        </w:tc>
        <w:tc>
          <w:tcPr>
            <w:tcW w:type="dxa" w:w="3888"/>
            <w:tcMar>
              <w:top w:w="80" w:type="dxa"/>
              <w:start w:w="100" w:type="dxa"/>
              <w:bottom w:w="80" w:type="dxa"/>
              <w:end w:w="100" w:type="dxa"/>
            </w:tcMar>
            <w:vAlign w:val="top"/>
          </w:tcPr>
          <w:p>
            <w:pPr>
              <w:spacing w:after="0"/>
            </w:pPr>
            <w:r>
              <w:rPr>
                <w:sz w:val="13"/>
              </w:rPr>
              <w:t>Anderson family / local owners</w:t>
            </w:r>
          </w:p>
        </w:tc>
        <w:tc>
          <w:tcPr>
            <w:tcW w:type="dxa" w:w="576"/>
            <w:tcMar>
              <w:top w:w="80" w:type="dxa"/>
              <w:start w:w="100" w:type="dxa"/>
              <w:bottom w:w="80" w:type="dxa"/>
              <w:end w:w="100" w:type="dxa"/>
            </w:tcMar>
            <w:vAlign w:val="top"/>
          </w:tcPr>
          <w:p>
            <w:pPr>
              <w:spacing w:after="0"/>
            </w:pPr>
            <w:r>
              <w:rPr>
                <w:sz w:val="13"/>
              </w:rPr>
              <w:t>C</w:t>
            </w:r>
          </w:p>
        </w:tc>
      </w:tr>
      <w:tr>
        <w:tc>
          <w:tcPr>
            <w:tcW w:type="dxa" w:w="2880"/>
            <w:tcMar>
              <w:top w:w="80" w:type="dxa"/>
              <w:start w:w="100" w:type="dxa"/>
              <w:bottom w:w="80" w:type="dxa"/>
              <w:end w:w="100" w:type="dxa"/>
            </w:tcMar>
            <w:vAlign w:val="top"/>
          </w:tcPr>
          <w:p>
            <w:pPr>
              <w:spacing w:after="0"/>
            </w:pPr>
            <w:r>
              <w:rPr>
                <w:sz w:val="13"/>
              </w:rPr>
              <w:t>Austin Roofing and Construction</w:t>
            </w:r>
          </w:p>
        </w:tc>
        <w:tc>
          <w:tcPr>
            <w:tcW w:type="dxa" w:w="1800"/>
            <w:tcMar>
              <w:top w:w="80" w:type="dxa"/>
              <w:start w:w="100" w:type="dxa"/>
              <w:bottom w:w="80" w:type="dxa"/>
              <w:end w:w="100" w:type="dxa"/>
            </w:tcMar>
            <w:vAlign w:val="top"/>
          </w:tcPr>
          <w:p>
            <w:pPr>
              <w:spacing w:after="0"/>
            </w:pPr>
            <w:r>
              <w:rPr>
                <w:sz w:val="13"/>
              </w:rPr>
              <w:t>Roofing and exterior</w:t>
            </w:r>
          </w:p>
        </w:tc>
        <w:tc>
          <w:tcPr>
            <w:tcW w:type="dxa" w:w="2160"/>
            <w:tcMar>
              <w:top w:w="80" w:type="dxa"/>
              <w:start w:w="100" w:type="dxa"/>
              <w:bottom w:w="80" w:type="dxa"/>
              <w:end w:w="100" w:type="dxa"/>
            </w:tcMar>
            <w:vAlign w:val="top"/>
          </w:tcPr>
          <w:p>
            <w:pPr>
              <w:spacing w:after="0"/>
            </w:pPr>
            <w:r>
              <w:rPr>
                <w:sz w:val="13"/>
              </w:rPr>
              <w:t>Private/control unresolved</w:t>
            </w:r>
          </w:p>
        </w:tc>
        <w:tc>
          <w:tcPr>
            <w:tcW w:type="dxa" w:w="2592"/>
            <w:tcMar>
              <w:top w:w="80" w:type="dxa"/>
              <w:start w:w="100" w:type="dxa"/>
              <w:bottom w:w="80" w:type="dxa"/>
              <w:end w:w="100" w:type="dxa"/>
            </w:tcMar>
            <w:vAlign w:val="top"/>
          </w:tcPr>
          <w:p>
            <w:pPr>
              <w:spacing w:after="0"/>
            </w:pPr>
            <w:r>
              <w:rPr>
                <w:sz w:val="13"/>
              </w:rPr>
              <w:t>—</w:t>
            </w:r>
          </w:p>
        </w:tc>
        <w:tc>
          <w:tcPr>
            <w:tcW w:type="dxa" w:w="3888"/>
            <w:tcMar>
              <w:top w:w="80" w:type="dxa"/>
              <w:start w:w="100" w:type="dxa"/>
              <w:bottom w:w="80" w:type="dxa"/>
              <w:end w:w="100" w:type="dxa"/>
            </w:tcMar>
            <w:vAlign w:val="top"/>
          </w:tcPr>
          <w:p>
            <w:pPr>
              <w:spacing w:after="0"/>
            </w:pPr>
            <w:r>
              <w:rPr>
                <w:sz w:val="13"/>
              </w:rPr>
              <w:t>Current controlling partners unresolved</w:t>
            </w:r>
          </w:p>
        </w:tc>
        <w:tc>
          <w:tcPr>
            <w:tcW w:type="dxa" w:w="576"/>
            <w:tcMar>
              <w:top w:w="80" w:type="dxa"/>
              <w:start w:w="100" w:type="dxa"/>
              <w:bottom w:w="80" w:type="dxa"/>
              <w:end w:w="100" w:type="dxa"/>
            </w:tcMar>
            <w:vAlign w:val="top"/>
          </w:tcPr>
          <w:p>
            <w:pPr>
              <w:spacing w:after="0"/>
            </w:pPr>
            <w:r>
              <w:rPr>
                <w:sz w:val="13"/>
              </w:rPr>
              <w:t>D</w:t>
            </w:r>
          </w:p>
        </w:tc>
      </w:tr>
      <w:tr>
        <w:tc>
          <w:tcPr>
            <w:tcW w:type="dxa" w:w="2880"/>
            <w:tcMar>
              <w:top w:w="80" w:type="dxa"/>
              <w:start w:w="100" w:type="dxa"/>
              <w:bottom w:w="80" w:type="dxa"/>
              <w:end w:w="100" w:type="dxa"/>
            </w:tcMar>
            <w:vAlign w:val="top"/>
          </w:tcPr>
          <w:p>
            <w:pPr>
              <w:spacing w:after="0"/>
            </w:pPr>
            <w:r>
              <w:rPr>
                <w:sz w:val="13"/>
              </w:rPr>
              <w:t>Hall Roofing &amp; Construction</w:t>
            </w:r>
          </w:p>
        </w:tc>
        <w:tc>
          <w:tcPr>
            <w:tcW w:type="dxa" w:w="1800"/>
            <w:tcMar>
              <w:top w:w="80" w:type="dxa"/>
              <w:start w:w="100" w:type="dxa"/>
              <w:bottom w:w="80" w:type="dxa"/>
              <w:end w:w="100" w:type="dxa"/>
            </w:tcMar>
            <w:vAlign w:val="top"/>
          </w:tcPr>
          <w:p>
            <w:pPr>
              <w:spacing w:after="0"/>
            </w:pPr>
            <w:r>
              <w:rPr>
                <w:sz w:val="13"/>
              </w:rPr>
              <w:t>Roofing and exterior</w:t>
            </w:r>
          </w:p>
        </w:tc>
        <w:tc>
          <w:tcPr>
            <w:tcW w:type="dxa" w:w="2160"/>
            <w:tcMar>
              <w:top w:w="80" w:type="dxa"/>
              <w:start w:w="100" w:type="dxa"/>
              <w:bottom w:w="80" w:type="dxa"/>
              <w:end w:w="100" w:type="dxa"/>
            </w:tcMar>
            <w:vAlign w:val="top"/>
          </w:tcPr>
          <w:p>
            <w:pPr>
              <w:spacing w:after="0"/>
            </w:pPr>
            <w:r>
              <w:rPr>
                <w:sz w:val="13"/>
              </w:rPr>
              <w:t>Founder/family/local ownership</w:t>
            </w:r>
          </w:p>
        </w:tc>
        <w:tc>
          <w:tcPr>
            <w:tcW w:type="dxa" w:w="2592"/>
            <w:tcMar>
              <w:top w:w="80" w:type="dxa"/>
              <w:start w:w="100" w:type="dxa"/>
              <w:bottom w:w="80" w:type="dxa"/>
              <w:end w:w="100" w:type="dxa"/>
            </w:tcMar>
            <w:vAlign w:val="top"/>
          </w:tcPr>
          <w:p>
            <w:pPr>
              <w:spacing w:after="0"/>
            </w:pPr>
            <w:r>
              <w:rPr>
                <w:sz w:val="13"/>
              </w:rPr>
              <w:t>—</w:t>
            </w:r>
          </w:p>
        </w:tc>
        <w:tc>
          <w:tcPr>
            <w:tcW w:type="dxa" w:w="3888"/>
            <w:tcMar>
              <w:top w:w="80" w:type="dxa"/>
              <w:start w:w="100" w:type="dxa"/>
              <w:bottom w:w="80" w:type="dxa"/>
              <w:end w:w="100" w:type="dxa"/>
            </w:tcMar>
            <w:vAlign w:val="top"/>
          </w:tcPr>
          <w:p>
            <w:pPr>
              <w:spacing w:after="0"/>
            </w:pPr>
            <w:r>
              <w:rPr>
                <w:sz w:val="13"/>
              </w:rPr>
              <w:t>Erik Hall</w:t>
            </w:r>
          </w:p>
        </w:tc>
        <w:tc>
          <w:tcPr>
            <w:tcW w:type="dxa" w:w="576"/>
            <w:tcMar>
              <w:top w:w="80" w:type="dxa"/>
              <w:start w:w="100" w:type="dxa"/>
              <w:bottom w:w="80" w:type="dxa"/>
              <w:end w:w="100" w:type="dxa"/>
            </w:tcMar>
            <w:vAlign w:val="top"/>
          </w:tcPr>
          <w:p>
            <w:pPr>
              <w:spacing w:after="0"/>
            </w:pPr>
            <w:r>
              <w:rPr>
                <w:sz w:val="13"/>
              </w:rPr>
              <w:t>B</w:t>
            </w:r>
          </w:p>
        </w:tc>
      </w:tr>
      <w:tr>
        <w:tc>
          <w:tcPr>
            <w:tcW w:type="dxa" w:w="2880"/>
            <w:tcMar>
              <w:top w:w="80" w:type="dxa"/>
              <w:start w:w="100" w:type="dxa"/>
              <w:bottom w:w="80" w:type="dxa"/>
              <w:end w:w="100" w:type="dxa"/>
            </w:tcMar>
            <w:vAlign w:val="top"/>
          </w:tcPr>
          <w:p>
            <w:pPr>
              <w:spacing w:after="0"/>
            </w:pPr>
            <w:r>
              <w:rPr>
                <w:sz w:val="13"/>
              </w:rPr>
              <w:t>Ja-Mar Roofing &amp; Sheet Metal</w:t>
            </w:r>
          </w:p>
        </w:tc>
        <w:tc>
          <w:tcPr>
            <w:tcW w:type="dxa" w:w="1800"/>
            <w:tcMar>
              <w:top w:w="80" w:type="dxa"/>
              <w:start w:w="100" w:type="dxa"/>
              <w:bottom w:w="80" w:type="dxa"/>
              <w:end w:w="100" w:type="dxa"/>
            </w:tcMar>
            <w:vAlign w:val="top"/>
          </w:tcPr>
          <w:p>
            <w:pPr>
              <w:spacing w:after="0"/>
            </w:pPr>
            <w:r>
              <w:rPr>
                <w:sz w:val="13"/>
              </w:rPr>
              <w:t>Roofing and exterior</w:t>
            </w:r>
          </w:p>
        </w:tc>
        <w:tc>
          <w:tcPr>
            <w:tcW w:type="dxa" w:w="2160"/>
            <w:tcMar>
              <w:top w:w="80" w:type="dxa"/>
              <w:start w:w="100" w:type="dxa"/>
              <w:bottom w:w="80" w:type="dxa"/>
              <w:end w:w="100" w:type="dxa"/>
            </w:tcMar>
            <w:vAlign w:val="top"/>
          </w:tcPr>
          <w:p>
            <w:pPr>
              <w:spacing w:after="0"/>
            </w:pPr>
            <w:r>
              <w:rPr>
                <w:sz w:val="13"/>
              </w:rPr>
              <w:t>Sponsor-backed platform</w:t>
            </w:r>
          </w:p>
        </w:tc>
        <w:tc>
          <w:tcPr>
            <w:tcW w:type="dxa" w:w="2592"/>
            <w:tcMar>
              <w:top w:w="80" w:type="dxa"/>
              <w:start w:w="100" w:type="dxa"/>
              <w:bottom w:w="80" w:type="dxa"/>
              <w:end w:w="100" w:type="dxa"/>
            </w:tcMar>
            <w:vAlign w:val="top"/>
          </w:tcPr>
          <w:p>
            <w:pPr>
              <w:spacing w:after="0"/>
            </w:pPr>
            <w:r>
              <w:rPr>
                <w:sz w:val="13"/>
              </w:rPr>
              <w:t>Roofing Services Solutions</w:t>
            </w:r>
          </w:p>
        </w:tc>
        <w:tc>
          <w:tcPr>
            <w:tcW w:type="dxa" w:w="3888"/>
            <w:tcMar>
              <w:top w:w="80" w:type="dxa"/>
              <w:start w:w="100" w:type="dxa"/>
              <w:bottom w:w="80" w:type="dxa"/>
              <w:end w:w="100" w:type="dxa"/>
            </w:tcMar>
            <w:vAlign w:val="top"/>
          </w:tcPr>
          <w:p>
            <w:pPr>
              <w:spacing w:after="0"/>
            </w:pPr>
            <w:r>
              <w:rPr>
                <w:sz w:val="13"/>
              </w:rPr>
              <w:t>Dunes Point Capital</w:t>
            </w:r>
          </w:p>
        </w:tc>
        <w:tc>
          <w:tcPr>
            <w:tcW w:type="dxa" w:w="576"/>
            <w:tcMar>
              <w:top w:w="80" w:type="dxa"/>
              <w:start w:w="100" w:type="dxa"/>
              <w:bottom w:w="80" w:type="dxa"/>
              <w:end w:w="100" w:type="dxa"/>
            </w:tcMar>
            <w:vAlign w:val="top"/>
          </w:tcPr>
          <w:p>
            <w:pPr>
              <w:spacing w:after="0"/>
            </w:pPr>
            <w:r>
              <w:rPr>
                <w:sz w:val="13"/>
              </w:rPr>
              <w:t>A</w:t>
            </w:r>
          </w:p>
        </w:tc>
      </w:tr>
      <w:tr>
        <w:tc>
          <w:tcPr>
            <w:tcW w:type="dxa" w:w="2880"/>
            <w:tcMar>
              <w:top w:w="80" w:type="dxa"/>
              <w:start w:w="100" w:type="dxa"/>
              <w:bottom w:w="80" w:type="dxa"/>
              <w:end w:w="100" w:type="dxa"/>
            </w:tcMar>
            <w:vAlign w:val="top"/>
          </w:tcPr>
          <w:p>
            <w:pPr>
              <w:spacing w:after="0"/>
            </w:pPr>
            <w:r>
              <w:rPr>
                <w:sz w:val="13"/>
              </w:rPr>
              <w:t>Kidd Roofing</w:t>
            </w:r>
          </w:p>
        </w:tc>
        <w:tc>
          <w:tcPr>
            <w:tcW w:type="dxa" w:w="1800"/>
            <w:tcMar>
              <w:top w:w="80" w:type="dxa"/>
              <w:start w:w="100" w:type="dxa"/>
              <w:bottom w:w="80" w:type="dxa"/>
              <w:end w:w="100" w:type="dxa"/>
            </w:tcMar>
            <w:vAlign w:val="top"/>
          </w:tcPr>
          <w:p>
            <w:pPr>
              <w:spacing w:after="0"/>
            </w:pPr>
            <w:r>
              <w:rPr>
                <w:sz w:val="13"/>
              </w:rPr>
              <w:t>Roofing and exterior</w:t>
            </w:r>
          </w:p>
        </w:tc>
        <w:tc>
          <w:tcPr>
            <w:tcW w:type="dxa" w:w="2160"/>
            <w:tcMar>
              <w:top w:w="80" w:type="dxa"/>
              <w:start w:w="100" w:type="dxa"/>
              <w:bottom w:w="80" w:type="dxa"/>
              <w:end w:w="100" w:type="dxa"/>
            </w:tcMar>
            <w:vAlign w:val="top"/>
          </w:tcPr>
          <w:p>
            <w:pPr>
              <w:spacing w:after="0"/>
            </w:pPr>
            <w:r>
              <w:rPr>
                <w:sz w:val="13"/>
              </w:rPr>
              <w:t>Private/control unresolved</w:t>
            </w:r>
          </w:p>
        </w:tc>
        <w:tc>
          <w:tcPr>
            <w:tcW w:type="dxa" w:w="2592"/>
            <w:tcMar>
              <w:top w:w="80" w:type="dxa"/>
              <w:start w:w="100" w:type="dxa"/>
              <w:bottom w:w="80" w:type="dxa"/>
              <w:end w:w="100" w:type="dxa"/>
            </w:tcMar>
            <w:vAlign w:val="top"/>
          </w:tcPr>
          <w:p>
            <w:pPr>
              <w:spacing w:after="0"/>
            </w:pPr>
            <w:r>
              <w:rPr>
                <w:sz w:val="13"/>
              </w:rPr>
              <w:t>D.R. Kidd Company, Inc.</w:t>
            </w:r>
          </w:p>
        </w:tc>
        <w:tc>
          <w:tcPr>
            <w:tcW w:type="dxa" w:w="3888"/>
            <w:tcMar>
              <w:top w:w="80" w:type="dxa"/>
              <w:start w:w="100" w:type="dxa"/>
              <w:bottom w:w="80" w:type="dxa"/>
              <w:end w:w="100" w:type="dxa"/>
            </w:tcMar>
            <w:vAlign w:val="top"/>
          </w:tcPr>
          <w:p>
            <w:pPr>
              <w:spacing w:after="0"/>
            </w:pPr>
            <w:r>
              <w:rPr>
                <w:sz w:val="13"/>
              </w:rPr>
              <w:t>Current controller unresolved</w:t>
            </w:r>
          </w:p>
        </w:tc>
        <w:tc>
          <w:tcPr>
            <w:tcW w:type="dxa" w:w="576"/>
            <w:tcMar>
              <w:top w:w="80" w:type="dxa"/>
              <w:start w:w="100" w:type="dxa"/>
              <w:bottom w:w="80" w:type="dxa"/>
              <w:end w:w="100" w:type="dxa"/>
            </w:tcMar>
            <w:vAlign w:val="top"/>
          </w:tcPr>
          <w:p>
            <w:pPr>
              <w:spacing w:after="0"/>
            </w:pPr>
            <w:r>
              <w:rPr>
                <w:sz w:val="13"/>
              </w:rPr>
              <w:t>C</w:t>
            </w:r>
          </w:p>
        </w:tc>
      </w:tr>
      <w:tr>
        <w:tc>
          <w:tcPr>
            <w:tcW w:type="dxa" w:w="2880"/>
            <w:tcMar>
              <w:top w:w="80" w:type="dxa"/>
              <w:start w:w="100" w:type="dxa"/>
              <w:bottom w:w="80" w:type="dxa"/>
              <w:end w:w="100" w:type="dxa"/>
            </w:tcMar>
            <w:vAlign w:val="top"/>
          </w:tcPr>
          <w:p>
            <w:pPr>
              <w:spacing w:after="0"/>
            </w:pPr>
            <w:r>
              <w:rPr>
                <w:sz w:val="13"/>
              </w:rPr>
              <w:t>Longhorn Roofing</w:t>
            </w:r>
          </w:p>
        </w:tc>
        <w:tc>
          <w:tcPr>
            <w:tcW w:type="dxa" w:w="1800"/>
            <w:tcMar>
              <w:top w:w="80" w:type="dxa"/>
              <w:start w:w="100" w:type="dxa"/>
              <w:bottom w:w="80" w:type="dxa"/>
              <w:end w:w="100" w:type="dxa"/>
            </w:tcMar>
            <w:vAlign w:val="top"/>
          </w:tcPr>
          <w:p>
            <w:pPr>
              <w:spacing w:after="0"/>
            </w:pPr>
            <w:r>
              <w:rPr>
                <w:sz w:val="13"/>
              </w:rPr>
              <w:t>Roofing and exterior</w:t>
            </w:r>
          </w:p>
        </w:tc>
        <w:tc>
          <w:tcPr>
            <w:tcW w:type="dxa" w:w="2160"/>
            <w:tcMar>
              <w:top w:w="80" w:type="dxa"/>
              <w:start w:w="100" w:type="dxa"/>
              <w:bottom w:w="80" w:type="dxa"/>
              <w:end w:w="100" w:type="dxa"/>
            </w:tcMar>
            <w:vAlign w:val="top"/>
          </w:tcPr>
          <w:p>
            <w:pPr>
              <w:spacing w:after="0"/>
            </w:pPr>
            <w:r>
              <w:rPr>
                <w:sz w:val="13"/>
              </w:rPr>
              <w:t>Founder/family/local ownership</w:t>
            </w:r>
          </w:p>
        </w:tc>
        <w:tc>
          <w:tcPr>
            <w:tcW w:type="dxa" w:w="2592"/>
            <w:tcMar>
              <w:top w:w="80" w:type="dxa"/>
              <w:start w:w="100" w:type="dxa"/>
              <w:bottom w:w="80" w:type="dxa"/>
              <w:end w:w="100" w:type="dxa"/>
            </w:tcMar>
            <w:vAlign w:val="top"/>
          </w:tcPr>
          <w:p>
            <w:pPr>
              <w:spacing w:after="0"/>
            </w:pPr>
            <w:r>
              <w:rPr>
                <w:sz w:val="13"/>
              </w:rPr>
              <w:t>—</w:t>
            </w:r>
          </w:p>
        </w:tc>
        <w:tc>
          <w:tcPr>
            <w:tcW w:type="dxa" w:w="3888"/>
            <w:tcMar>
              <w:top w:w="80" w:type="dxa"/>
              <w:start w:w="100" w:type="dxa"/>
              <w:bottom w:w="80" w:type="dxa"/>
              <w:end w:w="100" w:type="dxa"/>
            </w:tcMar>
            <w:vAlign w:val="top"/>
          </w:tcPr>
          <w:p>
            <w:pPr>
              <w:spacing w:after="0"/>
            </w:pPr>
            <w:r>
              <w:rPr>
                <w:sz w:val="13"/>
              </w:rPr>
              <w:t>Tom Green</w:t>
            </w:r>
          </w:p>
        </w:tc>
        <w:tc>
          <w:tcPr>
            <w:tcW w:type="dxa" w:w="576"/>
            <w:tcMar>
              <w:top w:w="80" w:type="dxa"/>
              <w:start w:w="100" w:type="dxa"/>
              <w:bottom w:w="80" w:type="dxa"/>
              <w:end w:w="100" w:type="dxa"/>
            </w:tcMar>
            <w:vAlign w:val="top"/>
          </w:tcPr>
          <w:p>
            <w:pPr>
              <w:spacing w:after="0"/>
            </w:pPr>
            <w:r>
              <w:rPr>
                <w:sz w:val="13"/>
              </w:rPr>
              <w:t>B</w:t>
            </w:r>
          </w:p>
        </w:tc>
      </w:tr>
      <w:tr>
        <w:tc>
          <w:tcPr>
            <w:tcW w:type="dxa" w:w="2880"/>
            <w:tcMar>
              <w:top w:w="80" w:type="dxa"/>
              <w:start w:w="100" w:type="dxa"/>
              <w:bottom w:w="80" w:type="dxa"/>
              <w:end w:w="100" w:type="dxa"/>
            </w:tcMar>
            <w:vAlign w:val="top"/>
          </w:tcPr>
          <w:p>
            <w:pPr>
              <w:spacing w:after="0"/>
            </w:pPr>
            <w:r>
              <w:rPr>
                <w:sz w:val="13"/>
              </w:rPr>
              <w:t>RoofCrafters</w:t>
            </w:r>
          </w:p>
        </w:tc>
        <w:tc>
          <w:tcPr>
            <w:tcW w:type="dxa" w:w="1800"/>
            <w:tcMar>
              <w:top w:w="80" w:type="dxa"/>
              <w:start w:w="100" w:type="dxa"/>
              <w:bottom w:w="80" w:type="dxa"/>
              <w:end w:w="100" w:type="dxa"/>
            </w:tcMar>
            <w:vAlign w:val="top"/>
          </w:tcPr>
          <w:p>
            <w:pPr>
              <w:spacing w:after="0"/>
            </w:pPr>
            <w:r>
              <w:rPr>
                <w:sz w:val="13"/>
              </w:rPr>
              <w:t>Roofing and exterior</w:t>
            </w:r>
          </w:p>
        </w:tc>
        <w:tc>
          <w:tcPr>
            <w:tcW w:type="dxa" w:w="2160"/>
            <w:tcMar>
              <w:top w:w="80" w:type="dxa"/>
              <w:start w:w="100" w:type="dxa"/>
              <w:bottom w:w="80" w:type="dxa"/>
              <w:end w:w="100" w:type="dxa"/>
            </w:tcMar>
            <w:vAlign w:val="top"/>
          </w:tcPr>
          <w:p>
            <w:pPr>
              <w:spacing w:after="0"/>
            </w:pPr>
            <w:r>
              <w:rPr>
                <w:sz w:val="13"/>
              </w:rPr>
              <w:t>Founder/family/local ownership</w:t>
            </w:r>
          </w:p>
        </w:tc>
        <w:tc>
          <w:tcPr>
            <w:tcW w:type="dxa" w:w="2592"/>
            <w:tcMar>
              <w:top w:w="80" w:type="dxa"/>
              <w:start w:w="100" w:type="dxa"/>
              <w:bottom w:w="80" w:type="dxa"/>
              <w:end w:w="100" w:type="dxa"/>
            </w:tcMar>
            <w:vAlign w:val="top"/>
          </w:tcPr>
          <w:p>
            <w:pPr>
              <w:spacing w:after="0"/>
            </w:pPr>
            <w:r>
              <w:rPr>
                <w:sz w:val="13"/>
              </w:rPr>
              <w:t>RoofCrafters, Inc.</w:t>
            </w:r>
          </w:p>
        </w:tc>
        <w:tc>
          <w:tcPr>
            <w:tcW w:type="dxa" w:w="3888"/>
            <w:tcMar>
              <w:top w:w="80" w:type="dxa"/>
              <w:start w:w="100" w:type="dxa"/>
              <w:bottom w:w="80" w:type="dxa"/>
              <w:end w:w="100" w:type="dxa"/>
            </w:tcMar>
            <w:vAlign w:val="top"/>
          </w:tcPr>
          <w:p>
            <w:pPr>
              <w:spacing w:after="0"/>
            </w:pPr>
            <w:r>
              <w:rPr>
                <w:sz w:val="13"/>
              </w:rPr>
              <w:t>Family/local ownership asserted; exact controller unresolved</w:t>
            </w:r>
          </w:p>
        </w:tc>
        <w:tc>
          <w:tcPr>
            <w:tcW w:type="dxa" w:w="576"/>
            <w:tcMar>
              <w:top w:w="80" w:type="dxa"/>
              <w:start w:w="100" w:type="dxa"/>
              <w:bottom w:w="80" w:type="dxa"/>
              <w:end w:w="100" w:type="dxa"/>
            </w:tcMar>
            <w:vAlign w:val="top"/>
          </w:tcPr>
          <w:p>
            <w:pPr>
              <w:spacing w:after="0"/>
            </w:pPr>
            <w:r>
              <w:rPr>
                <w:sz w:val="13"/>
              </w:rPr>
              <w:t>C</w:t>
            </w:r>
          </w:p>
        </w:tc>
      </w:tr>
      <w:tr>
        <w:tc>
          <w:tcPr>
            <w:tcW w:type="dxa" w:w="2880"/>
            <w:tcMar>
              <w:top w:w="80" w:type="dxa"/>
              <w:start w:w="100" w:type="dxa"/>
              <w:bottom w:w="80" w:type="dxa"/>
              <w:end w:w="100" w:type="dxa"/>
            </w:tcMar>
            <w:vAlign w:val="top"/>
          </w:tcPr>
          <w:p>
            <w:pPr>
              <w:spacing w:after="0"/>
            </w:pPr>
            <w:r>
              <w:rPr>
                <w:sz w:val="13"/>
              </w:rPr>
              <w:t>Silver Creek Exterior &amp; Construction</w:t>
            </w:r>
          </w:p>
        </w:tc>
        <w:tc>
          <w:tcPr>
            <w:tcW w:type="dxa" w:w="1800"/>
            <w:tcMar>
              <w:top w:w="80" w:type="dxa"/>
              <w:start w:w="100" w:type="dxa"/>
              <w:bottom w:w="80" w:type="dxa"/>
              <w:end w:w="100" w:type="dxa"/>
            </w:tcMar>
            <w:vAlign w:val="top"/>
          </w:tcPr>
          <w:p>
            <w:pPr>
              <w:spacing w:after="0"/>
            </w:pPr>
            <w:r>
              <w:rPr>
                <w:sz w:val="13"/>
              </w:rPr>
              <w:t>Roofing and exterior</w:t>
            </w:r>
          </w:p>
        </w:tc>
        <w:tc>
          <w:tcPr>
            <w:tcW w:type="dxa" w:w="2160"/>
            <w:tcMar>
              <w:top w:w="80" w:type="dxa"/>
              <w:start w:w="100" w:type="dxa"/>
              <w:bottom w:w="80" w:type="dxa"/>
              <w:end w:w="100" w:type="dxa"/>
            </w:tcMar>
            <w:vAlign w:val="top"/>
          </w:tcPr>
          <w:p>
            <w:pPr>
              <w:spacing w:after="0"/>
            </w:pPr>
            <w:r>
              <w:rPr>
                <w:sz w:val="13"/>
              </w:rPr>
              <w:t>Founder/family/local ownership</w:t>
            </w:r>
          </w:p>
        </w:tc>
        <w:tc>
          <w:tcPr>
            <w:tcW w:type="dxa" w:w="2592"/>
            <w:tcMar>
              <w:top w:w="80" w:type="dxa"/>
              <w:start w:w="100" w:type="dxa"/>
              <w:bottom w:w="80" w:type="dxa"/>
              <w:end w:w="100" w:type="dxa"/>
            </w:tcMar>
            <w:vAlign w:val="top"/>
          </w:tcPr>
          <w:p>
            <w:pPr>
              <w:spacing w:after="0"/>
            </w:pPr>
            <w:r>
              <w:rPr>
                <w:sz w:val="13"/>
              </w:rPr>
              <w:t>—</w:t>
            </w:r>
          </w:p>
        </w:tc>
        <w:tc>
          <w:tcPr>
            <w:tcW w:type="dxa" w:w="3888"/>
            <w:tcMar>
              <w:top w:w="80" w:type="dxa"/>
              <w:start w:w="100" w:type="dxa"/>
              <w:bottom w:w="80" w:type="dxa"/>
              <w:end w:w="100" w:type="dxa"/>
            </w:tcMar>
            <w:vAlign w:val="top"/>
          </w:tcPr>
          <w:p>
            <w:pPr>
              <w:spacing w:after="0"/>
            </w:pPr>
            <w:r>
              <w:rPr>
                <w:sz w:val="13"/>
              </w:rPr>
              <w:t>Local owners; identities unresolved</w:t>
            </w:r>
          </w:p>
        </w:tc>
        <w:tc>
          <w:tcPr>
            <w:tcW w:type="dxa" w:w="576"/>
            <w:tcMar>
              <w:top w:w="80" w:type="dxa"/>
              <w:start w:w="100" w:type="dxa"/>
              <w:bottom w:w="80" w:type="dxa"/>
              <w:end w:w="100" w:type="dxa"/>
            </w:tcMar>
            <w:vAlign w:val="top"/>
          </w:tcPr>
          <w:p>
            <w:pPr>
              <w:spacing w:after="0"/>
            </w:pPr>
            <w:r>
              <w:rPr>
                <w:sz w:val="13"/>
              </w:rPr>
              <w:t>C</w:t>
            </w:r>
          </w:p>
        </w:tc>
      </w:tr>
      <w:tr>
        <w:tc>
          <w:tcPr>
            <w:tcW w:type="dxa" w:w="2880"/>
            <w:tcMar>
              <w:top w:w="80" w:type="dxa"/>
              <w:start w:w="100" w:type="dxa"/>
              <w:bottom w:w="80" w:type="dxa"/>
              <w:end w:w="100" w:type="dxa"/>
            </w:tcMar>
            <w:vAlign w:val="top"/>
          </w:tcPr>
          <w:p>
            <w:pPr>
              <w:spacing w:after="0"/>
            </w:pPr>
            <w:r>
              <w:rPr>
                <w:sz w:val="13"/>
              </w:rPr>
              <w:t>Wilson Roofing</w:t>
            </w:r>
          </w:p>
        </w:tc>
        <w:tc>
          <w:tcPr>
            <w:tcW w:type="dxa" w:w="1800"/>
            <w:tcMar>
              <w:top w:w="80" w:type="dxa"/>
              <w:start w:w="100" w:type="dxa"/>
              <w:bottom w:w="80" w:type="dxa"/>
              <w:end w:w="100" w:type="dxa"/>
            </w:tcMar>
            <w:vAlign w:val="top"/>
          </w:tcPr>
          <w:p>
            <w:pPr>
              <w:spacing w:after="0"/>
            </w:pPr>
            <w:r>
              <w:rPr>
                <w:sz w:val="13"/>
              </w:rPr>
              <w:t>Roofing and exterior</w:t>
            </w:r>
          </w:p>
        </w:tc>
        <w:tc>
          <w:tcPr>
            <w:tcW w:type="dxa" w:w="2160"/>
            <w:tcMar>
              <w:top w:w="80" w:type="dxa"/>
              <w:start w:w="100" w:type="dxa"/>
              <w:bottom w:w="80" w:type="dxa"/>
              <w:end w:w="100" w:type="dxa"/>
            </w:tcMar>
            <w:vAlign w:val="top"/>
          </w:tcPr>
          <w:p>
            <w:pPr>
              <w:spacing w:after="0"/>
            </w:pPr>
            <w:r>
              <w:rPr>
                <w:sz w:val="13"/>
              </w:rPr>
              <w:t>Private/control unresolved</w:t>
            </w:r>
          </w:p>
        </w:tc>
        <w:tc>
          <w:tcPr>
            <w:tcW w:type="dxa" w:w="2592"/>
            <w:tcMar>
              <w:top w:w="80" w:type="dxa"/>
              <w:start w:w="100" w:type="dxa"/>
              <w:bottom w:w="80" w:type="dxa"/>
              <w:end w:w="100" w:type="dxa"/>
            </w:tcMar>
            <w:vAlign w:val="top"/>
          </w:tcPr>
          <w:p>
            <w:pPr>
              <w:spacing w:after="0"/>
            </w:pPr>
            <w:r>
              <w:rPr>
                <w:sz w:val="13"/>
              </w:rPr>
              <w:t>—</w:t>
            </w:r>
          </w:p>
        </w:tc>
        <w:tc>
          <w:tcPr>
            <w:tcW w:type="dxa" w:w="3888"/>
            <w:tcMar>
              <w:top w:w="80" w:type="dxa"/>
              <w:start w:w="100" w:type="dxa"/>
              <w:bottom w:w="80" w:type="dxa"/>
              <w:end w:w="100" w:type="dxa"/>
            </w:tcMar>
            <w:vAlign w:val="top"/>
          </w:tcPr>
          <w:p>
            <w:pPr>
              <w:spacing w:after="0"/>
            </w:pPr>
            <w:r>
              <w:rPr>
                <w:sz w:val="13"/>
              </w:rPr>
              <w:t>Current controller unresolved</w:t>
            </w:r>
          </w:p>
        </w:tc>
        <w:tc>
          <w:tcPr>
            <w:tcW w:type="dxa" w:w="576"/>
            <w:tcMar>
              <w:top w:w="80" w:type="dxa"/>
              <w:start w:w="100" w:type="dxa"/>
              <w:bottom w:w="80" w:type="dxa"/>
              <w:end w:w="100" w:type="dxa"/>
            </w:tcMar>
            <w:vAlign w:val="top"/>
          </w:tcPr>
          <w:p>
            <w:pPr>
              <w:spacing w:after="0"/>
            </w:pPr>
            <w:r>
              <w:rPr>
                <w:sz w:val="13"/>
              </w:rPr>
              <w:t>D</w:t>
            </w:r>
          </w:p>
        </w:tc>
      </w:tr>
    </w:tbl>
    <w:p>
      <w:pPr>
        <w:sectPr>
          <w:pgSz w:w="15840" w:h="12240" w:orient="landscape"/>
          <w:pgMar w:top="792" w:right="648" w:bottom="792" w:left="648" w:header="720" w:footer="720" w:gutter="0"/>
          <w:cols w:space="720"/>
          <w:docGrid w:linePitch="360"/>
        </w:sectPr>
      </w:pPr>
    </w:p>
    <w:p>
      <w:pPr>
        <w:pStyle w:val="Heading1"/>
      </w:pPr>
      <w:r>
        <w:t>High-Priority Unresolved Cases</w:t>
      </w:r>
    </w:p>
    <w:tbl>
      <w:tblPr>
        <w:tblStyle w:val="TableGrid"/>
        <w:tblW w:type="auto" w:w="0"/>
        <w:jc w:val="center"/>
        <w:tblLook w:firstColumn="1" w:firstRow="1" w:lastColumn="0" w:lastRow="0" w:noHBand="0" w:noVBand="1" w:val="04A0"/>
      </w:tblPr>
      <w:tblGrid>
        <w:gridCol w:w="2541"/>
        <w:gridCol w:w="2541"/>
        <w:gridCol w:w="2541"/>
        <w:gridCol w:w="2541"/>
      </w:tblGrid>
      <w:tr>
        <w:trPr>
          <w:tblHeader w:val="true"/>
        </w:trPr>
        <w:tc>
          <w:tcPr>
            <w:tcW w:type="dxa" w:w="2016"/>
            <w:shd w:fill="E6ECE7"/>
            <w:tcMar>
              <w:top w:w="80" w:type="dxa"/>
              <w:start w:w="100" w:type="dxa"/>
              <w:bottom w:w="80" w:type="dxa"/>
              <w:end w:w="100" w:type="dxa"/>
            </w:tcMar>
            <w:vAlign w:val="center"/>
          </w:tcPr>
          <w:p>
            <w:pPr>
              <w:spacing w:after="0"/>
            </w:pPr>
            <w:r>
              <w:rPr>
                <w:b/>
                <w:sz w:val="15"/>
              </w:rPr>
              <w:t>Subject</w:t>
            </w:r>
          </w:p>
        </w:tc>
        <w:tc>
          <w:tcPr>
            <w:tcW w:type="dxa" w:w="2592"/>
            <w:shd w:fill="E6ECE7"/>
            <w:tcMar>
              <w:top w:w="80" w:type="dxa"/>
              <w:start w:w="100" w:type="dxa"/>
              <w:bottom w:w="80" w:type="dxa"/>
              <w:end w:w="100" w:type="dxa"/>
            </w:tcMar>
            <w:vAlign w:val="center"/>
          </w:tcPr>
          <w:p>
            <w:pPr>
              <w:spacing w:after="0"/>
            </w:pPr>
            <w:r>
              <w:rPr>
                <w:b/>
                <w:sz w:val="15"/>
              </w:rPr>
              <w:t>Question</w:t>
            </w:r>
          </w:p>
        </w:tc>
        <w:tc>
          <w:tcPr>
            <w:tcW w:type="dxa" w:w="3024"/>
            <w:shd w:fill="E6ECE7"/>
            <w:tcMar>
              <w:top w:w="80" w:type="dxa"/>
              <w:start w:w="100" w:type="dxa"/>
              <w:bottom w:w="80" w:type="dxa"/>
              <w:end w:w="100" w:type="dxa"/>
            </w:tcMar>
            <w:vAlign w:val="center"/>
          </w:tcPr>
          <w:p>
            <w:pPr>
              <w:spacing w:after="0"/>
            </w:pPr>
            <w:r>
              <w:rPr>
                <w:b/>
                <w:sz w:val="15"/>
              </w:rPr>
              <w:t>Current treatment</w:t>
            </w:r>
          </w:p>
        </w:tc>
        <w:tc>
          <w:tcPr>
            <w:tcW w:type="dxa" w:w="3024"/>
            <w:shd w:fill="E6ECE7"/>
            <w:tcMar>
              <w:top w:w="80" w:type="dxa"/>
              <w:start w:w="100" w:type="dxa"/>
              <w:bottom w:w="80" w:type="dxa"/>
              <w:end w:w="100" w:type="dxa"/>
            </w:tcMar>
            <w:vAlign w:val="center"/>
          </w:tcPr>
          <w:p>
            <w:pPr>
              <w:spacing w:after="0"/>
            </w:pPr>
            <w:r>
              <w:rPr>
                <w:b/>
                <w:sz w:val="15"/>
              </w:rPr>
              <w:t>Evidence needed</w:t>
            </w:r>
          </w:p>
        </w:tc>
      </w:tr>
      <w:tr>
        <w:tc>
          <w:tcPr>
            <w:tcW w:type="dxa" w:w="2016"/>
            <w:tcMar>
              <w:top w:w="80" w:type="dxa"/>
              <w:start w:w="100" w:type="dxa"/>
              <w:bottom w:w="80" w:type="dxa"/>
              <w:end w:w="100" w:type="dxa"/>
            </w:tcMar>
            <w:vAlign w:val="top"/>
          </w:tcPr>
          <w:p>
            <w:pPr>
              <w:spacing w:after="0"/>
            </w:pPr>
            <w:r>
              <w:rPr>
                <w:sz w:val="15"/>
              </w:rPr>
              <w:t>Service Wizard / Champions</w:t>
            </w:r>
          </w:p>
        </w:tc>
        <w:tc>
          <w:tcPr>
            <w:tcW w:type="dxa" w:w="2592"/>
            <w:tcMar>
              <w:top w:w="80" w:type="dxa"/>
              <w:start w:w="100" w:type="dxa"/>
              <w:bottom w:w="80" w:type="dxa"/>
              <w:end w:w="100" w:type="dxa"/>
            </w:tcMar>
            <w:vAlign w:val="top"/>
          </w:tcPr>
          <w:p>
            <w:pPr>
              <w:spacing w:after="0"/>
            </w:pPr>
            <w:r>
              <w:rPr>
                <w:sz w:val="15"/>
              </w:rPr>
              <w:t>Did the announced Blackstone acquisition close before July 26, 2026?</w:t>
            </w:r>
          </w:p>
        </w:tc>
        <w:tc>
          <w:tcPr>
            <w:tcW w:type="dxa" w:w="3024"/>
            <w:tcMar>
              <w:top w:w="80" w:type="dxa"/>
              <w:start w:w="100" w:type="dxa"/>
              <w:bottom w:w="80" w:type="dxa"/>
              <w:end w:w="100" w:type="dxa"/>
            </w:tcMar>
            <w:vAlign w:val="top"/>
          </w:tcPr>
          <w:p>
            <w:pPr>
              <w:spacing w:after="0"/>
            </w:pPr>
            <w:r>
              <w:rPr>
                <w:sz w:val="15"/>
              </w:rPr>
              <w:t>Champions platform verified; ultimate sponsor marked pending/unresolved.</w:t>
            </w:r>
          </w:p>
        </w:tc>
        <w:tc>
          <w:tcPr>
            <w:tcW w:type="dxa" w:w="3024"/>
            <w:tcMar>
              <w:top w:w="80" w:type="dxa"/>
              <w:start w:w="100" w:type="dxa"/>
              <w:bottom w:w="80" w:type="dxa"/>
              <w:end w:w="100" w:type="dxa"/>
            </w:tcMar>
            <w:vAlign w:val="top"/>
          </w:tcPr>
          <w:p>
            <w:pPr>
              <w:spacing w:after="0"/>
            </w:pPr>
            <w:r>
              <w:rPr>
                <w:sz w:val="15"/>
              </w:rPr>
              <w:t>Closing announcement, regulatory filing, fund portfolio update, or corporate registry evidence.</w:t>
            </w:r>
          </w:p>
        </w:tc>
      </w:tr>
      <w:tr>
        <w:tc>
          <w:tcPr>
            <w:tcW w:type="dxa" w:w="2016"/>
            <w:tcMar>
              <w:top w:w="80" w:type="dxa"/>
              <w:start w:w="100" w:type="dxa"/>
              <w:bottom w:w="80" w:type="dxa"/>
              <w:end w:w="100" w:type="dxa"/>
            </w:tcMar>
            <w:vAlign w:val="top"/>
          </w:tcPr>
          <w:p>
            <w:pPr>
              <w:spacing w:after="0"/>
            </w:pPr>
            <w:r>
              <w:rPr>
                <w:sz w:val="15"/>
              </w:rPr>
              <w:t>Daniel’s Plumbing &amp; Air Conditioning</w:t>
            </w:r>
          </w:p>
        </w:tc>
        <w:tc>
          <w:tcPr>
            <w:tcW w:type="dxa" w:w="2592"/>
            <w:tcMar>
              <w:top w:w="80" w:type="dxa"/>
              <w:start w:w="100" w:type="dxa"/>
              <w:bottom w:w="80" w:type="dxa"/>
              <w:end w:w="100" w:type="dxa"/>
            </w:tcMar>
            <w:vAlign w:val="top"/>
          </w:tcPr>
          <w:p>
            <w:pPr>
              <w:spacing w:after="0"/>
            </w:pPr>
            <w:r>
              <w:rPr>
                <w:sz w:val="15"/>
              </w:rPr>
              <w:t>Is Daniel’s still a fully standalone consumer brand and operating location?</w:t>
            </w:r>
          </w:p>
        </w:tc>
        <w:tc>
          <w:tcPr>
            <w:tcW w:type="dxa" w:w="3024"/>
            <w:tcMar>
              <w:top w:w="80" w:type="dxa"/>
              <w:start w:w="100" w:type="dxa"/>
              <w:bottom w:w="80" w:type="dxa"/>
              <w:end w:w="100" w:type="dxa"/>
            </w:tcMar>
            <w:vAlign w:val="top"/>
          </w:tcPr>
          <w:p>
            <w:pPr>
              <w:spacing w:after="0"/>
            </w:pPr>
            <w:r>
              <w:rPr>
                <w:sz w:val="15"/>
              </w:rPr>
              <w:t>Counted as current-facing because Southern maintains a current brand page; activity conflict disclosed.</w:t>
            </w:r>
          </w:p>
        </w:tc>
        <w:tc>
          <w:tcPr>
            <w:tcW w:type="dxa" w:w="3024"/>
            <w:tcMar>
              <w:top w:w="80" w:type="dxa"/>
              <w:start w:w="100" w:type="dxa"/>
              <w:bottom w:w="80" w:type="dxa"/>
              <w:end w:w="100" w:type="dxa"/>
            </w:tcMar>
            <w:vAlign w:val="top"/>
          </w:tcPr>
          <w:p>
            <w:pPr>
              <w:spacing w:after="0"/>
            </w:pPr>
            <w:r>
              <w:rPr>
                <w:sz w:val="15"/>
              </w:rPr>
              <w:t>Current phone routing, Texas licenses, assumed-name records, current location pages, or Southern confirmation.</w:t>
            </w:r>
          </w:p>
        </w:tc>
      </w:tr>
      <w:tr>
        <w:tc>
          <w:tcPr>
            <w:tcW w:type="dxa" w:w="2016"/>
            <w:tcMar>
              <w:top w:w="80" w:type="dxa"/>
              <w:start w:w="100" w:type="dxa"/>
              <w:bottom w:w="80" w:type="dxa"/>
              <w:end w:w="100" w:type="dxa"/>
            </w:tcMar>
            <w:vAlign w:val="top"/>
          </w:tcPr>
          <w:p>
            <w:pPr>
              <w:spacing w:after="0"/>
            </w:pPr>
            <w:r>
              <w:rPr>
                <w:sz w:val="15"/>
              </w:rPr>
              <w:t>Benjamin Franklin Plumbing of Austin</w:t>
            </w:r>
          </w:p>
        </w:tc>
        <w:tc>
          <w:tcPr>
            <w:tcW w:type="dxa" w:w="2592"/>
            <w:tcMar>
              <w:top w:w="80" w:type="dxa"/>
              <w:start w:w="100" w:type="dxa"/>
              <w:bottom w:w="80" w:type="dxa"/>
              <w:end w:w="100" w:type="dxa"/>
            </w:tcMar>
            <w:vAlign w:val="top"/>
          </w:tcPr>
          <w:p>
            <w:pPr>
              <w:spacing w:after="0"/>
            </w:pPr>
            <w:r>
              <w:rPr>
                <w:sz w:val="15"/>
              </w:rPr>
              <w:t>What legal entity and person own the Austin franchisee?</w:t>
            </w:r>
          </w:p>
        </w:tc>
        <w:tc>
          <w:tcPr>
            <w:tcW w:type="dxa" w:w="3024"/>
            <w:tcMar>
              <w:top w:w="80" w:type="dxa"/>
              <w:start w:w="100" w:type="dxa"/>
              <w:bottom w:w="80" w:type="dxa"/>
              <w:end w:w="100" w:type="dxa"/>
            </w:tcMar>
            <w:vAlign w:val="top"/>
          </w:tcPr>
          <w:p>
            <w:pPr>
              <w:spacing w:after="0"/>
            </w:pPr>
            <w:r>
              <w:rPr>
                <w:sz w:val="15"/>
              </w:rPr>
              <w:t>Franchise structure verified; local operator unresolved.</w:t>
            </w:r>
          </w:p>
        </w:tc>
        <w:tc>
          <w:tcPr>
            <w:tcW w:type="dxa" w:w="3024"/>
            <w:tcMar>
              <w:top w:w="80" w:type="dxa"/>
              <w:start w:w="100" w:type="dxa"/>
              <w:bottom w:w="80" w:type="dxa"/>
              <w:end w:w="100" w:type="dxa"/>
            </w:tcMar>
            <w:vAlign w:val="top"/>
          </w:tcPr>
          <w:p>
            <w:pPr>
              <w:spacing w:after="0"/>
            </w:pPr>
            <w:r>
              <w:rPr>
                <w:sz w:val="15"/>
              </w:rPr>
              <w:t>Texas SOS entity file, assumed-name filing, plumbing license, franchise disclosure/local terms.</w:t>
            </w:r>
          </w:p>
        </w:tc>
      </w:tr>
      <w:tr>
        <w:tc>
          <w:tcPr>
            <w:tcW w:type="dxa" w:w="2016"/>
            <w:tcMar>
              <w:top w:w="80" w:type="dxa"/>
              <w:start w:w="100" w:type="dxa"/>
              <w:bottom w:w="80" w:type="dxa"/>
              <w:end w:w="100" w:type="dxa"/>
            </w:tcMar>
            <w:vAlign w:val="top"/>
          </w:tcPr>
          <w:p>
            <w:pPr>
              <w:spacing w:after="0"/>
            </w:pPr>
            <w:r>
              <w:rPr>
                <w:sz w:val="15"/>
              </w:rPr>
              <w:t>Ram Jack Austin</w:t>
            </w:r>
          </w:p>
        </w:tc>
        <w:tc>
          <w:tcPr>
            <w:tcW w:type="dxa" w:w="2592"/>
            <w:tcMar>
              <w:top w:w="80" w:type="dxa"/>
              <w:start w:w="100" w:type="dxa"/>
              <w:bottom w:w="80" w:type="dxa"/>
              <w:end w:w="100" w:type="dxa"/>
            </w:tcMar>
            <w:vAlign w:val="top"/>
          </w:tcPr>
          <w:p>
            <w:pPr>
              <w:spacing w:after="0"/>
            </w:pPr>
            <w:r>
              <w:rPr>
                <w:sz w:val="15"/>
              </w:rPr>
              <w:t>What legal entity and current owners hold the Austin franchise?</w:t>
            </w:r>
          </w:p>
        </w:tc>
        <w:tc>
          <w:tcPr>
            <w:tcW w:type="dxa" w:w="3024"/>
            <w:tcMar>
              <w:top w:w="80" w:type="dxa"/>
              <w:start w:w="100" w:type="dxa"/>
              <w:bottom w:w="80" w:type="dxa"/>
              <w:end w:w="100" w:type="dxa"/>
            </w:tcMar>
            <w:vAlign w:val="top"/>
          </w:tcPr>
          <w:p>
            <w:pPr>
              <w:spacing w:after="0"/>
            </w:pPr>
            <w:r>
              <w:rPr>
                <w:sz w:val="15"/>
              </w:rPr>
              <w:t>Current independently operated franchise; legal identity unresolved.</w:t>
            </w:r>
          </w:p>
        </w:tc>
        <w:tc>
          <w:tcPr>
            <w:tcW w:type="dxa" w:w="3024"/>
            <w:tcMar>
              <w:top w:w="80" w:type="dxa"/>
              <w:start w:w="100" w:type="dxa"/>
              <w:bottom w:w="80" w:type="dxa"/>
              <w:end w:w="100" w:type="dxa"/>
            </w:tcMar>
            <w:vAlign w:val="top"/>
          </w:tcPr>
          <w:p>
            <w:pPr>
              <w:spacing w:after="0"/>
            </w:pPr>
            <w:r>
              <w:rPr>
                <w:sz w:val="15"/>
              </w:rPr>
              <w:t>Texas entity/assumed-name filing, local contract terms, franchisee disclosure.</w:t>
            </w:r>
          </w:p>
        </w:tc>
      </w:tr>
      <w:tr>
        <w:tc>
          <w:tcPr>
            <w:tcW w:type="dxa" w:w="2016"/>
            <w:tcMar>
              <w:top w:w="80" w:type="dxa"/>
              <w:start w:w="100" w:type="dxa"/>
              <w:bottom w:w="80" w:type="dxa"/>
              <w:end w:w="100" w:type="dxa"/>
            </w:tcMar>
            <w:vAlign w:val="top"/>
          </w:tcPr>
          <w:p>
            <w:pPr>
              <w:spacing w:after="0"/>
            </w:pPr>
            <w:r>
              <w:rPr>
                <w:sz w:val="15"/>
              </w:rPr>
              <w:t>Olshan Foundation Repair</w:t>
            </w:r>
          </w:p>
        </w:tc>
        <w:tc>
          <w:tcPr>
            <w:tcW w:type="dxa" w:w="2592"/>
            <w:tcMar>
              <w:top w:w="80" w:type="dxa"/>
              <w:start w:w="100" w:type="dxa"/>
              <w:bottom w:w="80" w:type="dxa"/>
              <w:end w:w="100" w:type="dxa"/>
            </w:tcMar>
            <w:vAlign w:val="top"/>
          </w:tcPr>
          <w:p>
            <w:pPr>
              <w:spacing w:after="0"/>
            </w:pPr>
            <w:r>
              <w:rPr>
                <w:sz w:val="15"/>
              </w:rPr>
              <w:t>Who is the current ultimate controlling owner?</w:t>
            </w:r>
          </w:p>
        </w:tc>
        <w:tc>
          <w:tcPr>
            <w:tcW w:type="dxa" w:w="3024"/>
            <w:tcMar>
              <w:top w:w="80" w:type="dxa"/>
              <w:start w:w="100" w:type="dxa"/>
              <w:bottom w:w="80" w:type="dxa"/>
              <w:end w:w="100" w:type="dxa"/>
            </w:tcMar>
            <w:vAlign w:val="top"/>
          </w:tcPr>
          <w:p>
            <w:pPr>
              <w:spacing w:after="0"/>
            </w:pPr>
            <w:r>
              <w:rPr>
                <w:sz w:val="15"/>
              </w:rPr>
              <w:t>Current Austin operation verified; controller unresolved.</w:t>
            </w:r>
          </w:p>
        </w:tc>
        <w:tc>
          <w:tcPr>
            <w:tcW w:type="dxa" w:w="3024"/>
            <w:tcMar>
              <w:top w:w="80" w:type="dxa"/>
              <w:start w:w="100" w:type="dxa"/>
              <w:bottom w:w="80" w:type="dxa"/>
              <w:end w:w="100" w:type="dxa"/>
            </w:tcMar>
            <w:vAlign w:val="top"/>
          </w:tcPr>
          <w:p>
            <w:pPr>
              <w:spacing w:after="0"/>
            </w:pPr>
            <w:r>
              <w:rPr>
                <w:sz w:val="15"/>
              </w:rPr>
              <w:t>Corporate registry, ownership disclosure, lender/transaction materials, authoritative company statement.</w:t>
            </w:r>
          </w:p>
        </w:tc>
      </w:tr>
      <w:tr>
        <w:tc>
          <w:tcPr>
            <w:tcW w:type="dxa" w:w="2016"/>
            <w:tcMar>
              <w:top w:w="80" w:type="dxa"/>
              <w:start w:w="100" w:type="dxa"/>
              <w:bottom w:w="80" w:type="dxa"/>
              <w:end w:w="100" w:type="dxa"/>
            </w:tcMar>
            <w:vAlign w:val="top"/>
          </w:tcPr>
          <w:p>
            <w:pPr>
              <w:spacing w:after="0"/>
            </w:pPr>
            <w:r>
              <w:rPr>
                <w:sz w:val="15"/>
              </w:rPr>
              <w:t>Advanced Foundation Repair</w:t>
            </w:r>
          </w:p>
        </w:tc>
        <w:tc>
          <w:tcPr>
            <w:tcW w:type="dxa" w:w="2592"/>
            <w:tcMar>
              <w:top w:w="80" w:type="dxa"/>
              <w:start w:w="100" w:type="dxa"/>
              <w:bottom w:w="80" w:type="dxa"/>
              <w:end w:w="100" w:type="dxa"/>
            </w:tcMar>
            <w:vAlign w:val="top"/>
          </w:tcPr>
          <w:p>
            <w:pPr>
              <w:spacing w:after="0"/>
            </w:pPr>
            <w:r>
              <w:rPr>
                <w:sz w:val="15"/>
              </w:rPr>
              <w:t>Who controls Advanced Foundation Repair, LP?</w:t>
            </w:r>
          </w:p>
        </w:tc>
        <w:tc>
          <w:tcPr>
            <w:tcW w:type="dxa" w:w="3024"/>
            <w:tcMar>
              <w:top w:w="80" w:type="dxa"/>
              <w:start w:w="100" w:type="dxa"/>
              <w:bottom w:w="80" w:type="dxa"/>
              <w:end w:w="100" w:type="dxa"/>
            </w:tcMar>
            <w:vAlign w:val="top"/>
          </w:tcPr>
          <w:p>
            <w:pPr>
              <w:spacing w:after="0"/>
            </w:pPr>
            <w:r>
              <w:rPr>
                <w:sz w:val="15"/>
              </w:rPr>
              <w:t>Legal entity and current operation verified; controller unresolved.</w:t>
            </w:r>
          </w:p>
        </w:tc>
        <w:tc>
          <w:tcPr>
            <w:tcW w:type="dxa" w:w="3024"/>
            <w:tcMar>
              <w:top w:w="80" w:type="dxa"/>
              <w:start w:w="100" w:type="dxa"/>
              <w:bottom w:w="80" w:type="dxa"/>
              <w:end w:w="100" w:type="dxa"/>
            </w:tcMar>
            <w:vAlign w:val="top"/>
          </w:tcPr>
          <w:p>
            <w:pPr>
              <w:spacing w:after="0"/>
            </w:pPr>
            <w:r>
              <w:rPr>
                <w:sz w:val="15"/>
              </w:rPr>
              <w:t>Texas LP general-partner filing and current ownership disclosure.</w:t>
            </w:r>
          </w:p>
        </w:tc>
      </w:tr>
      <w:tr>
        <w:tc>
          <w:tcPr>
            <w:tcW w:type="dxa" w:w="2016"/>
            <w:tcMar>
              <w:top w:w="80" w:type="dxa"/>
              <w:start w:w="100" w:type="dxa"/>
              <w:bottom w:w="80" w:type="dxa"/>
              <w:end w:w="100" w:type="dxa"/>
            </w:tcMar>
            <w:vAlign w:val="top"/>
          </w:tcPr>
          <w:p>
            <w:pPr>
              <w:spacing w:after="0"/>
            </w:pPr>
            <w:r>
              <w:rPr>
                <w:sz w:val="15"/>
              </w:rPr>
              <w:t>Hawx Pest Control</w:t>
            </w:r>
          </w:p>
        </w:tc>
        <w:tc>
          <w:tcPr>
            <w:tcW w:type="dxa" w:w="2592"/>
            <w:tcMar>
              <w:top w:w="80" w:type="dxa"/>
              <w:start w:w="100" w:type="dxa"/>
              <w:bottom w:w="80" w:type="dxa"/>
              <w:end w:w="100" w:type="dxa"/>
            </w:tcMar>
            <w:vAlign w:val="top"/>
          </w:tcPr>
          <w:p>
            <w:pPr>
              <w:spacing w:after="0"/>
            </w:pPr>
            <w:r>
              <w:rPr>
                <w:sz w:val="15"/>
              </w:rPr>
              <w:t>Is PCM Growth/PCM Encore still the current controller?</w:t>
            </w:r>
          </w:p>
        </w:tc>
        <w:tc>
          <w:tcPr>
            <w:tcW w:type="dxa" w:w="3024"/>
            <w:tcMar>
              <w:top w:w="80" w:type="dxa"/>
              <w:start w:w="100" w:type="dxa"/>
              <w:bottom w:w="80" w:type="dxa"/>
              <w:end w:w="100" w:type="dxa"/>
            </w:tcMar>
            <w:vAlign w:val="top"/>
          </w:tcPr>
          <w:p>
            <w:pPr>
              <w:spacing w:after="0"/>
            </w:pPr>
            <w:r>
              <w:rPr>
                <w:sz w:val="15"/>
              </w:rPr>
              <w:t>2021 sponsor relationship retained as last documented; current control unresolved.</w:t>
            </w:r>
          </w:p>
        </w:tc>
        <w:tc>
          <w:tcPr>
            <w:tcW w:type="dxa" w:w="3024"/>
            <w:tcMar>
              <w:top w:w="80" w:type="dxa"/>
              <w:start w:w="100" w:type="dxa"/>
              <w:bottom w:w="80" w:type="dxa"/>
              <w:end w:w="100" w:type="dxa"/>
            </w:tcMar>
            <w:vAlign w:val="top"/>
          </w:tcPr>
          <w:p>
            <w:pPr>
              <w:spacing w:after="0"/>
            </w:pPr>
            <w:r>
              <w:rPr>
                <w:sz w:val="15"/>
              </w:rPr>
              <w:t>Current sponsor portfolio page, company ownership statement, financing or sale record.</w:t>
            </w:r>
          </w:p>
        </w:tc>
      </w:tr>
      <w:tr>
        <w:tc>
          <w:tcPr>
            <w:tcW w:type="dxa" w:w="2016"/>
            <w:tcMar>
              <w:top w:w="80" w:type="dxa"/>
              <w:start w:w="100" w:type="dxa"/>
              <w:bottom w:w="80" w:type="dxa"/>
              <w:end w:w="100" w:type="dxa"/>
            </w:tcMar>
            <w:vAlign w:val="top"/>
          </w:tcPr>
          <w:p>
            <w:pPr>
              <w:spacing w:after="0"/>
            </w:pPr>
            <w:r>
              <w:rPr>
                <w:sz w:val="15"/>
              </w:rPr>
              <w:t>Ranger Termite &amp; Pest Control</w:t>
            </w:r>
          </w:p>
        </w:tc>
        <w:tc>
          <w:tcPr>
            <w:tcW w:type="dxa" w:w="2592"/>
            <w:tcMar>
              <w:top w:w="80" w:type="dxa"/>
              <w:start w:w="100" w:type="dxa"/>
              <w:bottom w:w="80" w:type="dxa"/>
              <w:end w:w="100" w:type="dxa"/>
            </w:tcMar>
            <w:vAlign w:val="top"/>
          </w:tcPr>
          <w:p>
            <w:pPr>
              <w:spacing w:after="0"/>
            </w:pPr>
            <w:r>
              <w:rPr>
                <w:sz w:val="15"/>
              </w:rPr>
              <w:t>Who is the current equity owner?</w:t>
            </w:r>
          </w:p>
        </w:tc>
        <w:tc>
          <w:tcPr>
            <w:tcW w:type="dxa" w:w="3024"/>
            <w:tcMar>
              <w:top w:w="80" w:type="dxa"/>
              <w:start w:w="100" w:type="dxa"/>
              <w:bottom w:w="80" w:type="dxa"/>
              <w:end w:w="100" w:type="dxa"/>
            </w:tcMar>
            <w:vAlign w:val="top"/>
          </w:tcPr>
          <w:p>
            <w:pPr>
              <w:spacing w:after="0"/>
            </w:pPr>
            <w:r>
              <w:rPr>
                <w:sz w:val="15"/>
              </w:rPr>
              <w:t>Operating corporation verified; conflicting individual references preserved.</w:t>
            </w:r>
          </w:p>
        </w:tc>
        <w:tc>
          <w:tcPr>
            <w:tcW w:type="dxa" w:w="3024"/>
            <w:tcMar>
              <w:top w:w="80" w:type="dxa"/>
              <w:start w:w="100" w:type="dxa"/>
              <w:bottom w:w="80" w:type="dxa"/>
              <w:end w:w="100" w:type="dxa"/>
            </w:tcMar>
            <w:vAlign w:val="top"/>
          </w:tcPr>
          <w:p>
            <w:pPr>
              <w:spacing w:after="0"/>
            </w:pPr>
            <w:r>
              <w:rPr>
                <w:sz w:val="15"/>
              </w:rPr>
              <w:t>Texas corporate records, TDA business-license file, direct owner confirmation.</w:t>
            </w:r>
          </w:p>
        </w:tc>
      </w:tr>
      <w:tr>
        <w:tc>
          <w:tcPr>
            <w:tcW w:type="dxa" w:w="2016"/>
            <w:tcMar>
              <w:top w:w="80" w:type="dxa"/>
              <w:start w:w="100" w:type="dxa"/>
              <w:bottom w:w="80" w:type="dxa"/>
              <w:end w:w="100" w:type="dxa"/>
            </w:tcMar>
            <w:vAlign w:val="top"/>
          </w:tcPr>
          <w:p>
            <w:pPr>
              <w:spacing w:after="0"/>
            </w:pPr>
            <w:r>
              <w:rPr>
                <w:sz w:val="15"/>
              </w:rPr>
              <w:t>EcoShield Pest Solutions Austin</w:t>
            </w:r>
          </w:p>
        </w:tc>
        <w:tc>
          <w:tcPr>
            <w:tcW w:type="dxa" w:w="2592"/>
            <w:tcMar>
              <w:top w:w="80" w:type="dxa"/>
              <w:start w:w="100" w:type="dxa"/>
              <w:bottom w:w="80" w:type="dxa"/>
              <w:end w:w="100" w:type="dxa"/>
            </w:tcMar>
            <w:vAlign w:val="top"/>
          </w:tcPr>
          <w:p>
            <w:pPr>
              <w:spacing w:after="0"/>
            </w:pPr>
            <w:r>
              <w:rPr>
                <w:sz w:val="15"/>
              </w:rPr>
              <w:t>Who owns and operates the current Austin branch after the 2015 divisional sale?</w:t>
            </w:r>
          </w:p>
        </w:tc>
        <w:tc>
          <w:tcPr>
            <w:tcW w:type="dxa" w:w="3024"/>
            <w:tcMar>
              <w:top w:w="80" w:type="dxa"/>
              <w:start w:w="100" w:type="dxa"/>
              <w:bottom w:w="80" w:type="dxa"/>
              <w:end w:w="100" w:type="dxa"/>
            </w:tcMar>
            <w:vAlign w:val="top"/>
          </w:tcPr>
          <w:p>
            <w:pPr>
              <w:spacing w:after="0"/>
            </w:pPr>
            <w:r>
              <w:rPr>
                <w:sz w:val="15"/>
              </w:rPr>
              <w:t>Current branch verified; 2015 Massey transaction treated as historical only.</w:t>
            </w:r>
          </w:p>
        </w:tc>
        <w:tc>
          <w:tcPr>
            <w:tcW w:type="dxa" w:w="3024"/>
            <w:tcMar>
              <w:top w:w="80" w:type="dxa"/>
              <w:start w:w="100" w:type="dxa"/>
              <w:bottom w:w="80" w:type="dxa"/>
              <w:end w:w="100" w:type="dxa"/>
            </w:tcMar>
            <w:vAlign w:val="top"/>
          </w:tcPr>
          <w:p>
            <w:pPr>
              <w:spacing w:after="0"/>
            </w:pPr>
            <w:r>
              <w:rPr>
                <w:sz w:val="15"/>
              </w:rPr>
              <w:t>Current TDA business-license record, legal terms, entity/branch filing, parent-company confirmation.</w:t>
            </w:r>
          </w:p>
        </w:tc>
      </w:tr>
      <w:tr>
        <w:tc>
          <w:tcPr>
            <w:tcW w:type="dxa" w:w="2016"/>
            <w:tcMar>
              <w:top w:w="80" w:type="dxa"/>
              <w:start w:w="100" w:type="dxa"/>
              <w:bottom w:w="80" w:type="dxa"/>
              <w:end w:w="100" w:type="dxa"/>
            </w:tcMar>
            <w:vAlign w:val="top"/>
          </w:tcPr>
          <w:p>
            <w:pPr>
              <w:spacing w:after="0"/>
            </w:pPr>
            <w:r>
              <w:rPr>
                <w:sz w:val="15"/>
              </w:rPr>
              <w:t>Austin metro long tail</w:t>
            </w:r>
          </w:p>
        </w:tc>
        <w:tc>
          <w:tcPr>
            <w:tcW w:type="dxa" w:w="2592"/>
            <w:tcMar>
              <w:top w:w="80" w:type="dxa"/>
              <w:start w:w="100" w:type="dxa"/>
              <w:bottom w:w="80" w:type="dxa"/>
              <w:end w:w="100" w:type="dxa"/>
            </w:tcMar>
            <w:vAlign w:val="top"/>
          </w:tcPr>
          <w:p>
            <w:pPr>
              <w:spacing w:after="0"/>
            </w:pPr>
            <w:r>
              <w:rPr>
                <w:sz w:val="15"/>
              </w:rPr>
              <w:t>Which small operators remain missing in Hutto, Manor, Bee Cave, Dripping Springs, Buda, Kyle, Georgetown and Leander?</w:t>
            </w:r>
          </w:p>
        </w:tc>
        <w:tc>
          <w:tcPr>
            <w:tcW w:type="dxa" w:w="3024"/>
            <w:tcMar>
              <w:top w:w="80" w:type="dxa"/>
              <w:start w:w="100" w:type="dxa"/>
              <w:bottom w:w="80" w:type="dxa"/>
              <w:end w:w="100" w:type="dxa"/>
            </w:tcMar>
            <w:vAlign w:val="top"/>
          </w:tcPr>
          <w:p>
            <w:pPr>
              <w:spacing w:after="0"/>
            </w:pPr>
            <w:r>
              <w:rPr>
                <w:sz w:val="15"/>
              </w:rPr>
              <w:t>The 67-brand denominator is a reconstructed publication universe, not a complete licensed-business census.</w:t>
            </w:r>
          </w:p>
        </w:tc>
        <w:tc>
          <w:tcPr>
            <w:tcW w:type="dxa" w:w="3024"/>
            <w:tcMar>
              <w:top w:w="80" w:type="dxa"/>
              <w:start w:w="100" w:type="dxa"/>
              <w:bottom w:w="80" w:type="dxa"/>
              <w:end w:w="100" w:type="dxa"/>
            </w:tcMar>
            <w:vAlign w:val="top"/>
          </w:tcPr>
          <w:p>
            <w:pPr>
              <w:spacing w:after="0"/>
            </w:pPr>
            <w:r>
              <w:rPr>
                <w:sz w:val="15"/>
              </w:rPr>
              <w:t>Systematic license exports, local permits, chambers, maps, and county assumed-name records.</w:t>
            </w:r>
          </w:p>
        </w:tc>
      </w:tr>
      <w:tr>
        <w:tc>
          <w:tcPr>
            <w:tcW w:type="dxa" w:w="2016"/>
            <w:tcMar>
              <w:top w:w="80" w:type="dxa"/>
              <w:start w:w="100" w:type="dxa"/>
              <w:bottom w:w="80" w:type="dxa"/>
              <w:end w:w="100" w:type="dxa"/>
            </w:tcMar>
            <w:vAlign w:val="top"/>
          </w:tcPr>
          <w:p>
            <w:pPr>
              <w:spacing w:after="0"/>
            </w:pPr>
            <w:r>
              <w:rPr>
                <w:sz w:val="15"/>
              </w:rPr>
              <w:t>Legal identities for acquired brands</w:t>
            </w:r>
          </w:p>
        </w:tc>
        <w:tc>
          <w:tcPr>
            <w:tcW w:type="dxa" w:w="2592"/>
            <w:tcMar>
              <w:top w:w="80" w:type="dxa"/>
              <w:start w:w="100" w:type="dxa"/>
              <w:bottom w:w="80" w:type="dxa"/>
              <w:end w:w="100" w:type="dxa"/>
            </w:tcMar>
            <w:vAlign w:val="top"/>
          </w:tcPr>
          <w:p>
            <w:pPr>
              <w:spacing w:after="0"/>
            </w:pPr>
            <w:r>
              <w:rPr>
                <w:sz w:val="15"/>
              </w:rPr>
              <w:t>What are the exact Texas operating entities behind Fox, Precision, Daniel’s, Strand Brothers, Service Wizard, Abacus, Austin Air, Roger’s and Ja-Mar?</w:t>
            </w:r>
          </w:p>
        </w:tc>
        <w:tc>
          <w:tcPr>
            <w:tcW w:type="dxa" w:w="3024"/>
            <w:tcMar>
              <w:top w:w="80" w:type="dxa"/>
              <w:start w:w="100" w:type="dxa"/>
              <w:bottom w:w="80" w:type="dxa"/>
              <w:end w:w="100" w:type="dxa"/>
            </w:tcMar>
            <w:vAlign w:val="top"/>
          </w:tcPr>
          <w:p>
            <w:pPr>
              <w:spacing w:after="0"/>
            </w:pPr>
            <w:r>
              <w:rPr>
                <w:sz w:val="15"/>
              </w:rPr>
              <w:t>Consumer-brand and parent chains are published; some intermediate legal entities remain omitted.</w:t>
            </w:r>
          </w:p>
        </w:tc>
        <w:tc>
          <w:tcPr>
            <w:tcW w:type="dxa" w:w="3024"/>
            <w:tcMar>
              <w:top w:w="80" w:type="dxa"/>
              <w:start w:w="100" w:type="dxa"/>
              <w:bottom w:w="80" w:type="dxa"/>
              <w:end w:w="100" w:type="dxa"/>
            </w:tcMar>
            <w:vAlign w:val="top"/>
          </w:tcPr>
          <w:p>
            <w:pPr>
              <w:spacing w:after="0"/>
            </w:pPr>
            <w:r>
              <w:rPr>
                <w:sz w:val="15"/>
              </w:rPr>
              <w:t>Texas SOS, assumed-name, trade-license, contract terms, and transaction schedule records.</w:t>
            </w:r>
          </w:p>
        </w:tc>
      </w:tr>
    </w:tbl>
    <w:p>
      <w:r>
        <w:br w:type="page"/>
      </w:r>
    </w:p>
    <w:p>
      <w:pPr>
        <w:pStyle w:val="Heading1"/>
        <w:keepNext/>
      </w:pPr>
      <w:r>
        <w:rPr>
          <w:sz w:val="38"/>
        </w:rPr>
        <w:t>Corrections and Update System</w:t>
      </w:r>
    </w:p>
    <w:p>
      <w:pPr>
        <w:pStyle w:val="Heading2"/>
        <w:keepNext/>
      </w:pPr>
      <w:r>
        <w:rPr>
          <w:sz w:val="29"/>
        </w:rPr>
        <w:t>Public correction language</w:t>
      </w:r>
    </w:p>
    <w:p>
      <w:pPr>
        <w:spacing w:after="100" w:line="259" w:lineRule="auto"/>
      </w:pPr>
      <w:r>
        <w:rPr>
          <w:sz w:val="18"/>
        </w:rPr>
        <w:t>This database is a dated ownership map, not a legal opinion. Companies, owners, investors, employees, reporters and readers may submit documented corrections. Please identify the affected brand and field, state the proposed replacement, give the effective date, and attach or link direct evidence.</w:t>
      </w:r>
    </w:p>
    <w:p>
      <w:pPr>
        <w:spacing w:after="100" w:line="259" w:lineRule="auto"/>
      </w:pPr>
      <w:r>
        <w:rPr>
          <w:sz w:val="18"/>
        </w:rPr>
        <w:t>Useful evidence includes current legal terms, Texas entity or assumed-name filings, trade-license records, completed transaction announcements, sponsor portfolio pages, annual reports, signed company statements and current franchisee documents. Marketing copy, anonymous posts and unexplained screenshots may generate a review but will not automatically change an ownership classification.</w:t>
      </w:r>
    </w:p>
    <w:p>
      <w:pPr>
        <w:pStyle w:val="Heading3"/>
        <w:keepNext/>
      </w:pPr>
      <w:r>
        <w:rPr>
          <w:sz w:val="23"/>
        </w:rPr>
        <w:t>Submission fields</w:t>
      </w:r>
    </w:p>
    <w:p>
      <w:pPr>
        <w:pStyle w:val="ListBullet"/>
        <w:spacing w:after="40"/>
      </w:pPr>
      <w:r>
        <w:rPr>
          <w:sz w:val="18"/>
        </w:rPr>
        <w:t>Name and contact information</w:t>
      </w:r>
    </w:p>
    <w:p>
      <w:pPr>
        <w:pStyle w:val="ListBullet"/>
        <w:spacing w:after="40"/>
      </w:pPr>
      <w:r>
        <w:rPr>
          <w:sz w:val="18"/>
        </w:rPr>
        <w:t>Relationship to the company or record</w:t>
      </w:r>
    </w:p>
    <w:p>
      <w:pPr>
        <w:pStyle w:val="ListBullet"/>
        <w:spacing w:after="40"/>
      </w:pPr>
      <w:r>
        <w:rPr>
          <w:sz w:val="18"/>
        </w:rPr>
        <w:t>Brand and legal entity</w:t>
      </w:r>
    </w:p>
    <w:p>
      <w:pPr>
        <w:pStyle w:val="ListBullet"/>
        <w:spacing w:after="40"/>
      </w:pPr>
      <w:r>
        <w:rPr>
          <w:sz w:val="18"/>
        </w:rPr>
        <w:t>Field disputed</w:t>
      </w:r>
    </w:p>
    <w:p>
      <w:pPr>
        <w:pStyle w:val="ListBullet"/>
        <w:spacing w:after="40"/>
      </w:pPr>
      <w:r>
        <w:rPr>
          <w:sz w:val="18"/>
        </w:rPr>
        <w:t>Current published value</w:t>
      </w:r>
    </w:p>
    <w:p>
      <w:pPr>
        <w:pStyle w:val="ListBullet"/>
        <w:spacing w:after="40"/>
      </w:pPr>
      <w:r>
        <w:rPr>
          <w:sz w:val="18"/>
        </w:rPr>
        <w:t>Proposed value</w:t>
      </w:r>
    </w:p>
    <w:p>
      <w:pPr>
        <w:pStyle w:val="ListBullet"/>
        <w:spacing w:after="40"/>
      </w:pPr>
      <w:r>
        <w:rPr>
          <w:sz w:val="18"/>
        </w:rPr>
        <w:t>Effective date</w:t>
      </w:r>
    </w:p>
    <w:p>
      <w:pPr>
        <w:pStyle w:val="ListBullet"/>
        <w:spacing w:after="40"/>
      </w:pPr>
      <w:r>
        <w:rPr>
          <w:sz w:val="18"/>
        </w:rPr>
        <w:t>Source URL or document</w:t>
      </w:r>
    </w:p>
    <w:p>
      <w:pPr>
        <w:pStyle w:val="ListBullet"/>
        <w:spacing w:after="40"/>
      </w:pPr>
      <w:r>
        <w:rPr>
          <w:sz w:val="18"/>
        </w:rPr>
        <w:t>Whether the document may be published</w:t>
      </w:r>
    </w:p>
    <w:p>
      <w:pPr>
        <w:pStyle w:val="ListBullet"/>
        <w:spacing w:after="40"/>
      </w:pPr>
      <w:r>
        <w:rPr>
          <w:sz w:val="18"/>
        </w:rPr>
        <w:t>Explanation of any confidential material</w:t>
      </w:r>
    </w:p>
    <w:p>
      <w:pPr>
        <w:pStyle w:val="Heading3"/>
        <w:keepNext/>
      </w:pPr>
      <w:r>
        <w:rPr>
          <w:sz w:val="23"/>
        </w:rPr>
        <w:t>Review workflow</w:t>
      </w:r>
    </w:p>
    <w:p>
      <w:pPr>
        <w:spacing w:after="30"/>
        <w:ind w:left="346" w:hanging="288"/>
      </w:pPr>
      <w:r>
        <w:rPr>
          <w:b/>
          <w:sz w:val="18"/>
        </w:rPr>
        <w:t xml:space="preserve">1. </w:t>
      </w:r>
      <w:r>
        <w:rPr>
          <w:sz w:val="18"/>
        </w:rPr>
        <w:t>Log the submission with a received date.</w:t>
      </w:r>
    </w:p>
    <w:p>
      <w:pPr>
        <w:spacing w:after="30"/>
        <w:ind w:left="346" w:hanging="288"/>
      </w:pPr>
      <w:r>
        <w:rPr>
          <w:b/>
          <w:sz w:val="18"/>
        </w:rPr>
        <w:t xml:space="preserve">2. </w:t>
      </w:r>
      <w:r>
        <w:rPr>
          <w:sz w:val="18"/>
        </w:rPr>
        <w:t>Preserve the current public value during review unless it creates a clear and material factual risk.</w:t>
      </w:r>
    </w:p>
    <w:p>
      <w:pPr>
        <w:spacing w:after="30"/>
        <w:ind w:left="346" w:hanging="288"/>
      </w:pPr>
      <w:r>
        <w:rPr>
          <w:b/>
          <w:sz w:val="18"/>
        </w:rPr>
        <w:t xml:space="preserve">3. </w:t>
      </w:r>
      <w:r>
        <w:rPr>
          <w:sz w:val="18"/>
        </w:rPr>
        <w:t>Check the evidence against the same source hierarchy used for the original database.</w:t>
      </w:r>
    </w:p>
    <w:p>
      <w:pPr>
        <w:spacing w:after="30"/>
        <w:ind w:left="346" w:hanging="288"/>
      </w:pPr>
      <w:r>
        <w:rPr>
          <w:b/>
          <w:sz w:val="18"/>
        </w:rPr>
        <w:t xml:space="preserve">4. </w:t>
      </w:r>
      <w:r>
        <w:rPr>
          <w:sz w:val="18"/>
        </w:rPr>
        <w:t>Seek a second source when the correction changes a controlling owner, interest type, transaction status or franchise relationship.</w:t>
      </w:r>
    </w:p>
    <w:p>
      <w:pPr>
        <w:spacing w:after="30"/>
        <w:ind w:left="346" w:hanging="288"/>
      </w:pPr>
      <w:r>
        <w:rPr>
          <w:b/>
          <w:sz w:val="18"/>
        </w:rPr>
        <w:t xml:space="preserve">5. </w:t>
      </w:r>
      <w:r>
        <w:rPr>
          <w:sz w:val="18"/>
        </w:rPr>
        <w:t>Mark the result accepted, rejected or unresolved.</w:t>
      </w:r>
    </w:p>
    <w:p>
      <w:pPr>
        <w:spacing w:after="30"/>
        <w:ind w:left="346" w:hanging="288"/>
      </w:pPr>
      <w:r>
        <w:rPr>
          <w:b/>
          <w:sz w:val="18"/>
        </w:rPr>
        <w:t xml:space="preserve">6. </w:t>
      </w:r>
      <w:r>
        <w:rPr>
          <w:sz w:val="18"/>
        </w:rPr>
        <w:t>Update the relevant CSV, JSON, graph and card together.</w:t>
      </w:r>
    </w:p>
    <w:p>
      <w:pPr>
        <w:spacing w:after="30"/>
        <w:ind w:left="346" w:hanging="288"/>
      </w:pPr>
      <w:r>
        <w:rPr>
          <w:b/>
          <w:sz w:val="18"/>
        </w:rPr>
        <w:t xml:space="preserve">7. </w:t>
      </w:r>
      <w:r>
        <w:rPr>
          <w:sz w:val="18"/>
        </w:rPr>
        <w:t>Add a changelog entry with the prior value, new value, effective date and source IDs.</w:t>
      </w:r>
    </w:p>
    <w:p>
      <w:pPr>
        <w:spacing w:after="30"/>
        <w:ind w:left="346" w:hanging="288"/>
      </w:pPr>
      <w:r>
        <w:rPr>
          <w:b/>
          <w:sz w:val="18"/>
        </w:rPr>
        <w:t xml:space="preserve">8. </w:t>
      </w:r>
      <w:r>
        <w:rPr>
          <w:sz w:val="18"/>
        </w:rPr>
        <w:t>Retain rejected submissions internally with the reason.</w:t>
      </w:r>
    </w:p>
    <w:p>
      <w:pPr>
        <w:pStyle w:val="Heading3"/>
        <w:keepNext/>
      </w:pPr>
      <w:r>
        <w:rPr>
          <w:sz w:val="23"/>
        </w:rPr>
        <w:t>Fast corrections</w:t>
      </w:r>
    </w:p>
    <w:p>
      <w:pPr>
        <w:spacing w:after="100" w:line="259" w:lineRule="auto"/>
      </w:pPr>
      <w:r>
        <w:rPr>
          <w:sz w:val="18"/>
        </w:rPr>
        <w:t>Typographical errors, broken source links and obvious duplicate records can be corrected directly with a changelog note. Ownership changes, pending-deal closings, minority/majority classifications and franchisee identities require evidence review.</w:t>
      </w:r>
    </w:p>
    <w:p>
      <w:pPr>
        <w:pStyle w:val="Heading3"/>
        <w:keepNext/>
      </w:pPr>
      <w:r>
        <w:rPr>
          <w:sz w:val="23"/>
        </w:rPr>
        <w:t>Changelog entry</w:t>
      </w:r>
    </w:p>
    <w:p>
      <w:pPr>
        <w:spacing w:after="100" w:line="259" w:lineRule="auto"/>
      </w:pPr>
      <w:r>
        <w:rPr>
          <w:b/>
          <w:sz w:val="18"/>
        </w:rPr>
        <w:t>Date:</w:t>
      </w:r>
    </w:p>
    <w:p>
      <w:pPr>
        <w:spacing w:after="100" w:line="259" w:lineRule="auto"/>
      </w:pPr>
      <w:r>
        <w:rPr>
          <w:b/>
          <w:sz w:val="18"/>
        </w:rPr>
        <w:t>Brand/entity:</w:t>
      </w:r>
    </w:p>
    <w:p>
      <w:pPr>
        <w:spacing w:after="100" w:line="259" w:lineRule="auto"/>
      </w:pPr>
      <w:r>
        <w:rPr>
          <w:b/>
          <w:sz w:val="18"/>
        </w:rPr>
        <w:t>Field:</w:t>
      </w:r>
    </w:p>
    <w:p>
      <w:pPr>
        <w:spacing w:after="100" w:line="259" w:lineRule="auto"/>
      </w:pPr>
      <w:r>
        <w:rPr>
          <w:b/>
          <w:sz w:val="18"/>
        </w:rPr>
        <w:t>Old value:</w:t>
      </w:r>
    </w:p>
    <w:p>
      <w:pPr>
        <w:spacing w:after="100" w:line="259" w:lineRule="auto"/>
      </w:pPr>
      <w:r>
        <w:rPr>
          <w:b/>
          <w:sz w:val="18"/>
        </w:rPr>
        <w:t>New value:</w:t>
      </w:r>
    </w:p>
    <w:p>
      <w:pPr>
        <w:spacing w:after="100" w:line="259" w:lineRule="auto"/>
      </w:pPr>
      <w:r>
        <w:rPr>
          <w:b/>
          <w:sz w:val="18"/>
        </w:rPr>
        <w:t>Effective date:</w:t>
      </w:r>
    </w:p>
    <w:p>
      <w:pPr>
        <w:spacing w:after="100" w:line="259" w:lineRule="auto"/>
      </w:pPr>
      <w:r>
        <w:rPr>
          <w:b/>
          <w:sz w:val="18"/>
        </w:rPr>
        <w:t>Source IDs:</w:t>
      </w:r>
    </w:p>
    <w:p>
      <w:pPr>
        <w:spacing w:after="100" w:line="259" w:lineRule="auto"/>
      </w:pPr>
      <w:r>
        <w:rPr>
          <w:b/>
          <w:sz w:val="18"/>
        </w:rPr>
        <w:t>Reason:</w:t>
      </w:r>
    </w:p>
    <w:p>
      <w:pPr>
        <w:spacing w:after="100" w:line="259" w:lineRule="auto"/>
      </w:pPr>
      <w:r>
        <w:rPr>
          <w:b/>
          <w:sz w:val="18"/>
        </w:rPr>
        <w:t>Review status:</w:t>
      </w:r>
    </w:p>
    <w:p>
      <w:pPr>
        <w:spacing w:after="100" w:line="259" w:lineRule="auto"/>
      </w:pPr>
      <w:r>
        <w:rPr>
          <w:b/>
          <w:sz w:val="18"/>
        </w:rPr>
        <w:t>Reviewer:</w:t>
      </w:r>
    </w:p>
    <w:p>
      <w:pPr>
        <w:pStyle w:val="Heading3"/>
        <w:keepNext/>
      </w:pPr>
      <w:r>
        <w:rPr>
          <w:sz w:val="23"/>
        </w:rPr>
        <w:t>Versioning</w:t>
      </w:r>
    </w:p>
    <w:p>
      <w:pPr>
        <w:pStyle w:val="ListBullet"/>
        <w:spacing w:after="40"/>
      </w:pPr>
      <w:r>
        <w:rPr>
          <w:sz w:val="18"/>
        </w:rPr>
        <w:t>Patch release: citation, spelling, URL or non-substantive identity fix.</w:t>
      </w:r>
    </w:p>
    <w:p>
      <w:pPr>
        <w:pStyle w:val="ListBullet"/>
        <w:spacing w:after="40"/>
      </w:pPr>
      <w:r>
        <w:rPr>
          <w:sz w:val="18"/>
        </w:rPr>
        <w:t>Minor release: new brand, new legal identity, resolved owner or transaction update.</w:t>
      </w:r>
    </w:p>
    <w:p>
      <w:pPr>
        <w:pStyle w:val="ListBullet"/>
        <w:spacing w:after="40"/>
      </w:pPr>
      <w:r>
        <w:rPr>
          <w:sz w:val="18"/>
        </w:rPr>
        <w:t>Major release: geographic expansion, methodology change or denominator rebuild.</w:t>
      </w:r>
    </w:p>
    <w:p>
      <w:pPr>
        <w:spacing w:after="100" w:line="259" w:lineRule="auto"/>
      </w:pPr>
      <w:r>
        <w:rPr>
          <w:sz w:val="18"/>
        </w:rPr>
        <w:t>The public page should display the snapshot date, latest modified date and direct links to the changelog and correction form.</w:t>
      </w:r>
    </w:p>
    <w:p>
      <w:pPr>
        <w:pStyle w:val="Heading1"/>
      </w:pPr>
      <w:r>
        <w:t>Final Adversarial Review</w:t>
      </w:r>
    </w:p>
    <w:p>
      <w:pPr>
        <w:spacing w:before="80" w:after="20"/>
      </w:pPr>
      <w:r>
        <w:rPr>
          <w:rFonts w:ascii="Liberation Sans" w:hAnsi="Liberation Sans"/>
          <w:b/>
          <w:color w:val="4D6553"/>
          <w:sz w:val="20"/>
        </w:rPr>
        <w:t>1. Does every mapped brand currently serve Austin?</w:t>
      </w:r>
    </w:p>
    <w:p>
      <w:pPr>
        <w:spacing w:after="50" w:line="245" w:lineRule="auto"/>
      </w:pPr>
      <w:r>
        <w:rPr>
          <w:sz w:val="18"/>
        </w:rPr>
        <w:t>Yes for the 67-brand active denominator based on a current official branch, office, territory or service-area source. Historical, candidate and excluded rows are outside the denominator. Daniel’s remains visibly flagged for consumer-brand activity conflict.</w:t>
      </w:r>
    </w:p>
    <w:p>
      <w:pPr>
        <w:spacing w:before="80" w:after="20"/>
      </w:pPr>
      <w:r>
        <w:rPr>
          <w:rFonts w:ascii="Liberation Sans" w:hAnsi="Liberation Sans"/>
          <w:b/>
          <w:color w:val="4D6553"/>
          <w:sz w:val="20"/>
        </w:rPr>
        <w:t>2. Is every current owner current as of the snapshot date?</w:t>
      </w:r>
    </w:p>
    <w:p>
      <w:pPr>
        <w:spacing w:after="50" w:line="245" w:lineRule="auto"/>
      </w:pPr>
      <w:r>
        <w:rPr>
          <w:sz w:val="18"/>
        </w:rPr>
        <w:t>No owner is presented as settled when the current controller is unresolved. Eleven brands are in the unresolved-control bucket. Service Wizard’s ultimate sponsor is pending/unresolved.</w:t>
      </w:r>
    </w:p>
    <w:p>
      <w:pPr>
        <w:spacing w:before="80" w:after="20"/>
      </w:pPr>
      <w:r>
        <w:rPr>
          <w:rFonts w:ascii="Liberation Sans" w:hAnsi="Liberation Sans"/>
          <w:b/>
          <w:color w:val="4D6553"/>
          <w:sz w:val="20"/>
        </w:rPr>
        <w:t>3. Have pending transactions been labeled pending?</w:t>
      </w:r>
    </w:p>
    <w:p>
      <w:pPr>
        <w:spacing w:after="50" w:line="245" w:lineRule="auto"/>
      </w:pPr>
      <w:r>
        <w:rPr>
          <w:sz w:val="18"/>
        </w:rPr>
        <w:t>Yes. Blackstone-Champions and Apollo-Apex remain pending and do not replace current owners.</w:t>
      </w:r>
    </w:p>
    <w:p>
      <w:pPr>
        <w:spacing w:before="80" w:after="20"/>
      </w:pPr>
      <w:r>
        <w:rPr>
          <w:rFonts w:ascii="Liberation Sans" w:hAnsi="Liberation Sans"/>
          <w:b/>
          <w:color w:val="4D6553"/>
          <w:sz w:val="20"/>
        </w:rPr>
        <w:t>4. Have former sponsors been separated from current sponsors?</w:t>
      </w:r>
    </w:p>
    <w:p>
      <w:pPr>
        <w:spacing w:after="50" w:line="245" w:lineRule="auto"/>
      </w:pPr>
      <w:r>
        <w:rPr>
          <w:sz w:val="18"/>
        </w:rPr>
        <w:t>Yes. Treaty Oak is historical for Stan’s; Cortec’s former Groundworks majority is separated from its retained minority; historical sellers remain in transactions.</w:t>
      </w:r>
    </w:p>
    <w:p>
      <w:pPr>
        <w:spacing w:before="80" w:after="20"/>
      </w:pPr>
      <w:r>
        <w:rPr>
          <w:rFonts w:ascii="Liberation Sans" w:hAnsi="Liberation Sans"/>
          <w:b/>
          <w:color w:val="4D6553"/>
          <w:sz w:val="20"/>
        </w:rPr>
        <w:t>5. Are minority investments clearly labeled?</w:t>
      </w:r>
    </w:p>
    <w:p>
      <w:pPr>
        <w:spacing w:after="50" w:line="245" w:lineRule="auto"/>
      </w:pPr>
      <w:r>
        <w:rPr>
          <w:sz w:val="18"/>
        </w:rPr>
        <w:t>Yes. Wrench, Authority Brands, Groundworks, Aptive and Alta distinguish majority and minority interests. Alta is explicitly non-control minority.</w:t>
      </w:r>
    </w:p>
    <w:p>
      <w:pPr>
        <w:spacing w:before="80" w:after="20"/>
      </w:pPr>
      <w:r>
        <w:rPr>
          <w:rFonts w:ascii="Liberation Sans" w:hAnsi="Liberation Sans"/>
          <w:b/>
          <w:color w:val="4D6553"/>
          <w:sz w:val="20"/>
        </w:rPr>
        <w:t>6. Are franchises represented correctly?</w:t>
      </w:r>
    </w:p>
    <w:p>
      <w:pPr>
        <w:spacing w:after="50" w:line="245" w:lineRule="auto"/>
      </w:pPr>
      <w:r>
        <w:rPr>
          <w:sz w:val="18"/>
        </w:rPr>
        <w:t>Yes. Local operator, franchise system and franchisor owner are separate nodes. KKR and Apax are not presented as direct owners of local franchisees.</w:t>
      </w:r>
    </w:p>
    <w:p>
      <w:pPr>
        <w:spacing w:before="80" w:after="20"/>
      </w:pPr>
      <w:r>
        <w:rPr>
          <w:rFonts w:ascii="Liberation Sans" w:hAnsi="Liberation Sans"/>
          <w:b/>
          <w:color w:val="4D6553"/>
          <w:sz w:val="20"/>
        </w:rPr>
        <w:t>7. Are locally managed and locally owned separated?</w:t>
      </w:r>
    </w:p>
    <w:p>
      <w:pPr>
        <w:spacing w:after="50" w:line="245" w:lineRule="auto"/>
      </w:pPr>
      <w:r>
        <w:rPr>
          <w:sz w:val="18"/>
        </w:rPr>
        <w:t>Yes. Local, family, founder, management and operating language have separate fields and notes.</w:t>
      </w:r>
    </w:p>
    <w:p>
      <w:pPr>
        <w:spacing w:before="80" w:after="20"/>
      </w:pPr>
      <w:r>
        <w:rPr>
          <w:rFonts w:ascii="Liberation Sans" w:hAnsi="Liberation Sans"/>
          <w:b/>
          <w:color w:val="4D6553"/>
          <w:sz w:val="20"/>
        </w:rPr>
        <w:t>8. Does every major claim have adequate evidence?</w:t>
      </w:r>
    </w:p>
    <w:p>
      <w:pPr>
        <w:spacing w:after="50" w:line="245" w:lineRule="auto"/>
      </w:pPr>
      <w:r>
        <w:rPr>
          <w:sz w:val="18"/>
        </w:rPr>
        <w:t>Major platform and transaction claims use direct current or transaction sources. A/B/C/D ratings expose weaker rows. Every relationship has source IDs and an evidence note.</w:t>
      </w:r>
    </w:p>
    <w:p>
      <w:pPr>
        <w:spacing w:before="80" w:after="20"/>
      </w:pPr>
      <w:r>
        <w:rPr>
          <w:rFonts w:ascii="Liberation Sans" w:hAnsi="Liberation Sans"/>
          <w:b/>
          <w:color w:val="4D6553"/>
          <w:sz w:val="20"/>
        </w:rPr>
        <w:t>9. Are any sources duplicates of the same press release?</w:t>
      </w:r>
    </w:p>
    <w:p>
      <w:pPr>
        <w:spacing w:after="50" w:line="245" w:lineRule="auto"/>
      </w:pPr>
      <w:r>
        <w:rPr>
          <w:sz w:val="18"/>
        </w:rPr>
        <w:t>The source ledger assigns independence groups. Syndicated or copied releases count as one evidence family.</w:t>
      </w:r>
    </w:p>
    <w:p>
      <w:pPr>
        <w:spacing w:before="80" w:after="20"/>
      </w:pPr>
      <w:r>
        <w:rPr>
          <w:rFonts w:ascii="Liberation Sans" w:hAnsi="Liberation Sans"/>
          <w:b/>
          <w:color w:val="4D6553"/>
          <w:sz w:val="20"/>
        </w:rPr>
        <w:t>10. Are any percentages using an incomplete denominator?</w:t>
      </w:r>
    </w:p>
    <w:p>
      <w:pPr>
        <w:spacing w:after="50" w:line="245" w:lineRule="auto"/>
      </w:pPr>
      <w:r>
        <w:rPr>
          <w:sz w:val="18"/>
        </w:rPr>
        <w:t>All publication percentages state the 67-brand active denominator. The census limitation is disclosed.</w:t>
      </w:r>
    </w:p>
    <w:p>
      <w:pPr>
        <w:spacing w:before="80" w:after="20"/>
      </w:pPr>
      <w:r>
        <w:rPr>
          <w:rFonts w:ascii="Liberation Sans" w:hAnsi="Liberation Sans"/>
          <w:b/>
          <w:color w:val="4D6553"/>
          <w:sz w:val="20"/>
        </w:rPr>
        <w:t>11. Does any sentence imply market share without market-share data?</w:t>
      </w:r>
    </w:p>
    <w:p>
      <w:pPr>
        <w:spacing w:after="50" w:line="245" w:lineRule="auto"/>
      </w:pPr>
      <w:r>
        <w:rPr>
          <w:sz w:val="18"/>
        </w:rPr>
        <w:t>No. The article repeatedly defines the figures as brand-record shares and rejects market-share language.</w:t>
      </w:r>
    </w:p>
    <w:p>
      <w:pPr>
        <w:spacing w:before="80" w:after="20"/>
      </w:pPr>
      <w:r>
        <w:rPr>
          <w:rFonts w:ascii="Liberation Sans" w:hAnsi="Liberation Sans"/>
          <w:b/>
          <w:color w:val="4D6553"/>
          <w:sz w:val="20"/>
        </w:rPr>
        <w:t>12. Does any sentence suggest causation without evidence?</w:t>
      </w:r>
    </w:p>
    <w:p>
      <w:pPr>
        <w:spacing w:after="50" w:line="245" w:lineRule="auto"/>
      </w:pPr>
      <w:r>
        <w:rPr>
          <w:sz w:val="18"/>
        </w:rPr>
        <w:t>No causal claims about price, service, employment or customer outcomes are made.</w:t>
      </w:r>
    </w:p>
    <w:p>
      <w:pPr>
        <w:spacing w:before="80" w:after="20"/>
      </w:pPr>
      <w:r>
        <w:rPr>
          <w:rFonts w:ascii="Liberation Sans" w:hAnsi="Liberation Sans"/>
          <w:b/>
          <w:color w:val="4D6553"/>
          <w:sz w:val="20"/>
        </w:rPr>
        <w:t>13. Have all unresolved cases been disclosed?</w:t>
      </w:r>
    </w:p>
    <w:p>
      <w:pPr>
        <w:spacing w:after="50" w:line="245" w:lineRule="auto"/>
      </w:pPr>
      <w:r>
        <w:rPr>
          <w:sz w:val="18"/>
        </w:rPr>
        <w:t xml:space="preserve">Yes. </w:t>
      </w:r>
      <w:r>
        <w:rPr>
          <w:rFonts w:ascii="Liberation Mono" w:hAnsi="Liberation Mono"/>
          <w:sz w:val="17"/>
        </w:rPr>
        <w:t>master_unresolved.csv</w:t>
      </w:r>
      <w:r>
        <w:rPr>
          <w:sz w:val="18"/>
        </w:rPr>
        <w:t xml:space="preserve"> contains 25 questions and </w:t>
      </w:r>
      <w:r>
        <w:rPr>
          <w:rFonts w:ascii="Liberation Mono" w:hAnsi="Liberation Mono"/>
          <w:sz w:val="17"/>
        </w:rPr>
        <w:t>master_conflicts.csv</w:t>
      </w:r>
      <w:r>
        <w:rPr>
          <w:sz w:val="18"/>
        </w:rPr>
        <w:t xml:space="preserve"> contains 20 conflicts.</w:t>
      </w:r>
    </w:p>
    <w:p>
      <w:pPr>
        <w:spacing w:before="80" w:after="20"/>
      </w:pPr>
      <w:r>
        <w:rPr>
          <w:rFonts w:ascii="Liberation Sans" w:hAnsi="Liberation Sans"/>
          <w:b/>
          <w:color w:val="4D6553"/>
          <w:sz w:val="20"/>
        </w:rPr>
        <w:t>14. Could a company reasonably object that its ownership was mischaracterized?</w:t>
      </w:r>
    </w:p>
    <w:p>
      <w:pPr>
        <w:spacing w:after="50" w:line="245" w:lineRule="auto"/>
      </w:pPr>
      <w:r>
        <w:rPr>
          <w:sz w:val="18"/>
        </w:rPr>
        <w:t>The most likely objections concern local-language interpretation, franchise boundaries, pending sponsor transitions and self-reported family ownership. Those cases are qualified, sourced and open to correction rather than stated as absolute facts.</w:t>
      </w:r>
    </w:p>
    <w:p>
      <w:pPr>
        <w:spacing w:before="80" w:after="20"/>
      </w:pPr>
      <w:r>
        <w:rPr>
          <w:rFonts w:ascii="Liberation Sans" w:hAnsi="Liberation Sans"/>
          <w:b/>
          <w:color w:val="4D6553"/>
          <w:sz w:val="20"/>
        </w:rPr>
        <w:t>15. Can a reader independently reproduce the central findings?</w:t>
      </w:r>
    </w:p>
    <w:p>
      <w:pPr>
        <w:spacing w:after="50" w:line="245" w:lineRule="auto"/>
      </w:pPr>
      <w:r>
        <w:rPr>
          <w:sz w:val="18"/>
        </w:rPr>
        <w:t xml:space="preserve">Yes. Filter </w:t>
      </w:r>
      <w:r>
        <w:rPr>
          <w:rFonts w:ascii="Liberation Mono" w:hAnsi="Liberation Mono"/>
          <w:sz w:val="17"/>
        </w:rPr>
        <w:t>master_brands.csv</w:t>
      </w:r>
      <w:r>
        <w:rPr>
          <w:sz w:val="18"/>
        </w:rPr>
        <w:t xml:space="preserve"> to the active denominator, count owner types, join relationships to entities, and open the evidence IDs in the source ledger. The methodology gives the steps.</w:t>
      </w:r>
    </w:p>
    <w:p>
      <w:pPr>
        <w:pStyle w:val="Heading1"/>
        <w:pageBreakBefore/>
      </w:pPr>
      <w:r>
        <w:t>Source Register</w:t>
      </w:r>
    </w:p>
    <w:p>
      <w:r>
        <w:t>130 sources. The full machine-readable ledger is `master_evidence.csv`; this appendix lists every source ID, title, publisher and URL.</w:t>
      </w:r>
    </w:p>
    <w:p>
      <w:pPr>
        <w:spacing w:after="40"/>
      </w:pPr>
      <w:r>
        <w:rPr>
          <w:b/>
          <w:sz w:val="16"/>
        </w:rPr>
        <w:t>I001 · Austin Home-Service Market Census — Deep Research Model A</w:t>
      </w:r>
    </w:p>
    <w:p>
      <w:pPr>
        <w:spacing w:after="60"/>
        <w:ind w:left="288"/>
      </w:pPr>
      <w:r>
        <w:rPr>
          <w:rFonts w:ascii="Liberation Mono" w:hAnsi="Liberation Mono"/>
          <w:sz w:val="15"/>
        </w:rPr>
        <w:t>source_inputs/Austin Home-Service Market Census.docx</w:t>
      </w:r>
      <w:r>
        <w:rPr>
          <w:color w:val="5A5A5A"/>
          <w:sz w:val="15"/>
        </w:rPr>
        <w:t xml:space="preserve"> · uploaded research report · rating C · accessed 2026-07-26</w:t>
      </w:r>
    </w:p>
    <w:p>
      <w:pPr>
        <w:spacing w:after="40"/>
      </w:pPr>
      <w:r>
        <w:rPr>
          <w:b/>
          <w:sz w:val="16"/>
        </w:rPr>
        <w:t>I002 · Who Owns Austin’s Home-Service Companies — Deep Research Model B</w:t>
      </w:r>
    </w:p>
    <w:p>
      <w:pPr>
        <w:spacing w:after="60"/>
        <w:ind w:left="288"/>
      </w:pPr>
      <w:r>
        <w:rPr>
          <w:rFonts w:ascii="Liberation Mono" w:hAnsi="Liberation Mono"/>
          <w:sz w:val="15"/>
        </w:rPr>
        <w:t>source_inputs/Who Owns Austin’s Home-Service Companies.docx</w:t>
      </w:r>
      <w:r>
        <w:rPr>
          <w:color w:val="5A5A5A"/>
          <w:sz w:val="15"/>
        </w:rPr>
        <w:t xml:space="preserve"> · uploaded research report · rating C · accessed 2026-07-26</w:t>
      </w:r>
    </w:p>
    <w:p>
      <w:pPr>
        <w:spacing w:after="40"/>
      </w:pPr>
      <w:r>
        <w:rPr>
          <w:b/>
          <w:sz w:val="16"/>
        </w:rPr>
        <w:t>S001 · Southern Home Services Acquires Austin-based Precision Heating &amp; Air Conditioning — Southern Home Services</w:t>
      </w:r>
    </w:p>
    <w:p>
      <w:pPr>
        <w:spacing w:after="60"/>
        <w:ind w:left="288"/>
      </w:pPr>
      <w:hyperlink r:id="rId11">
        <w:r>
          <w:rPr>
            <w:color w:val="1D5A3A"/>
            <w:u w:val="single"/>
          </w:rPr>
          <w:t>https://www.southernhomeservices.com/blog/2020/july/southern-home-services-acquires-austin-based-pre/</w:t>
        </w:r>
      </w:hyperlink>
      <w:r>
        <w:rPr>
          <w:color w:val="5A5A5A"/>
          <w:sz w:val="15"/>
        </w:rPr>
        <w:t xml:space="preserve"> · transaction announcement · rating A · accessed 2026-07-26</w:t>
      </w:r>
    </w:p>
    <w:p>
      <w:pPr>
        <w:spacing w:after="40"/>
      </w:pPr>
      <w:r>
        <w:rPr>
          <w:b/>
          <w:sz w:val="16"/>
        </w:rPr>
        <w:t>S002 · Southern HVAC Expands into Texas With Fox Service Company Acquisition — Southern Home Services</w:t>
      </w:r>
    </w:p>
    <w:p>
      <w:pPr>
        <w:spacing w:after="60"/>
        <w:ind w:left="288"/>
      </w:pPr>
      <w:hyperlink r:id="rId12">
        <w:r>
          <w:rPr>
            <w:color w:val="1D5A3A"/>
            <w:u w:val="single"/>
          </w:rPr>
          <w:t>https://www.southernhomeservices.com/blog/2020/july/southern-hvactm-expands-into-texas-with-fox-serv/</w:t>
        </w:r>
      </w:hyperlink>
      <w:r>
        <w:rPr>
          <w:color w:val="5A5A5A"/>
          <w:sz w:val="15"/>
        </w:rPr>
        <w:t xml:space="preserve"> · transaction announcement · rating A · accessed 2026-07-26</w:t>
      </w:r>
    </w:p>
    <w:p>
      <w:pPr>
        <w:spacing w:after="40"/>
      </w:pPr>
      <w:r>
        <w:rPr>
          <w:b/>
          <w:sz w:val="16"/>
        </w:rPr>
        <w:t>S003 · Southern Home Services Announces Acquisition of Daniel’s Plumbing and Air Conditioning — Southern Home Services</w:t>
      </w:r>
    </w:p>
    <w:p>
      <w:pPr>
        <w:spacing w:after="60"/>
        <w:ind w:left="288"/>
      </w:pPr>
      <w:hyperlink r:id="rId13">
        <w:r>
          <w:rPr>
            <w:color w:val="1D5A3A"/>
            <w:u w:val="single"/>
          </w:rPr>
          <w:t>https://www.southernhomeservices.com/blog/2022/april/</w:t>
        </w:r>
      </w:hyperlink>
      <w:r>
        <w:rPr>
          <w:color w:val="5A5A5A"/>
          <w:sz w:val="15"/>
        </w:rPr>
        <w:t xml:space="preserve"> · transaction archive · rating A · accessed 2026-07-26</w:t>
      </w:r>
    </w:p>
    <w:p>
      <w:pPr>
        <w:spacing w:after="40"/>
      </w:pPr>
      <w:r>
        <w:rPr>
          <w:b/>
          <w:sz w:val="16"/>
        </w:rPr>
        <w:t>S004 · Daniel’s Plumbing and Air Conditioning | Austin, TX — Southern Home Services</w:t>
      </w:r>
    </w:p>
    <w:p>
      <w:pPr>
        <w:spacing w:after="60"/>
        <w:ind w:left="288"/>
      </w:pPr>
      <w:hyperlink r:id="rId14">
        <w:r>
          <w:rPr>
            <w:color w:val="1D5A3A"/>
            <w:u w:val="single"/>
          </w:rPr>
          <w:t>https://www.southernhomeservices.com/daniels/</w:t>
        </w:r>
      </w:hyperlink>
      <w:r>
        <w:rPr>
          <w:color w:val="5A5A5A"/>
          <w:sz w:val="15"/>
        </w:rPr>
        <w:t xml:space="preserve"> · current brand page · rating A · accessed 2026-07-26</w:t>
      </w:r>
    </w:p>
    <w:p>
      <w:pPr>
        <w:spacing w:after="40"/>
      </w:pPr>
      <w:r>
        <w:rPr>
          <w:b/>
          <w:sz w:val="16"/>
        </w:rPr>
        <w:t>S005 · Southern Home Services Site Map — Southern Home Services</w:t>
      </w:r>
    </w:p>
    <w:p>
      <w:pPr>
        <w:spacing w:after="60"/>
        <w:ind w:left="288"/>
      </w:pPr>
      <w:hyperlink r:id="rId15">
        <w:r>
          <w:rPr>
            <w:color w:val="1D5A3A"/>
            <w:u w:val="single"/>
          </w:rPr>
          <w:t>https://www.southernhomeservices.com/site-map/</w:t>
        </w:r>
      </w:hyperlink>
      <w:r>
        <w:rPr>
          <w:color w:val="5A5A5A"/>
          <w:sz w:val="15"/>
        </w:rPr>
        <w:t xml:space="preserve"> · current corporate page · rating A · accessed 2026-07-26</w:t>
      </w:r>
    </w:p>
    <w:p>
      <w:pPr>
        <w:spacing w:after="40"/>
      </w:pPr>
      <w:r>
        <w:rPr>
          <w:b/>
          <w:sz w:val="16"/>
        </w:rPr>
        <w:t>S006 · North American Essential Home Services — Gryphon Investors</w:t>
      </w:r>
    </w:p>
    <w:p>
      <w:pPr>
        <w:spacing w:after="60"/>
        <w:ind w:left="288"/>
      </w:pPr>
      <w:hyperlink r:id="rId16">
        <w:r>
          <w:rPr>
            <w:color w:val="1D5A3A"/>
            <w:u w:val="single"/>
          </w:rPr>
          <w:t>https://www.gryphon-inv.com/companies/north-american-essential-home-services-naehs/</w:t>
        </w:r>
      </w:hyperlink>
      <w:r>
        <w:rPr>
          <w:color w:val="5A5A5A"/>
          <w:sz w:val="15"/>
        </w:rPr>
        <w:t xml:space="preserve"> · current portfolio page · rating A · accessed 2026-07-26</w:t>
      </w:r>
    </w:p>
    <w:p>
      <w:pPr>
        <w:spacing w:after="40"/>
      </w:pPr>
      <w:r>
        <w:rPr>
          <w:b/>
          <w:sz w:val="16"/>
        </w:rPr>
        <w:t>S007 · Gryphon Investors Completes Majority Investment in Southern Home Services — Southern Home Services / Gryphon Investors</w:t>
      </w:r>
    </w:p>
    <w:p>
      <w:pPr>
        <w:spacing w:after="60"/>
        <w:ind w:left="288"/>
      </w:pPr>
      <w:hyperlink r:id="rId17">
        <w:r>
          <w:rPr>
            <w:color w:val="1D5A3A"/>
            <w:u w:val="single"/>
          </w:rPr>
          <w:t>https://www.southernhomeservices.com/blog/2021/october/gryphon-investors-completes-majority-investment-/</w:t>
        </w:r>
      </w:hyperlink>
      <w:r>
        <w:rPr>
          <w:color w:val="5A5A5A"/>
          <w:sz w:val="15"/>
        </w:rPr>
        <w:t xml:space="preserve"> · transaction announcement · rating A · accessed 2026-07-26</w:t>
      </w:r>
    </w:p>
    <w:p>
      <w:pPr>
        <w:spacing w:after="40"/>
      </w:pPr>
      <w:r>
        <w:rPr>
          <w:b/>
          <w:sz w:val="16"/>
        </w:rPr>
        <w:t>S008 · Radiant Home Maintenance Plan Terms — Radiant Plumbing &amp; Air Conditioning</w:t>
      </w:r>
    </w:p>
    <w:p>
      <w:pPr>
        <w:spacing w:after="60"/>
        <w:ind w:left="288"/>
      </w:pPr>
      <w:hyperlink r:id="rId18">
        <w:r>
          <w:rPr>
            <w:color w:val="1D5A3A"/>
            <w:u w:val="single"/>
          </w:rPr>
          <w:t>https://radiantplumbing.com/maintenance-plan/</w:t>
        </w:r>
      </w:hyperlink>
      <w:r>
        <w:rPr>
          <w:color w:val="5A5A5A"/>
          <w:sz w:val="15"/>
        </w:rPr>
        <w:t xml:space="preserve"> · current legal terms · rating A · accessed 2026-07-26</w:t>
      </w:r>
    </w:p>
    <w:p>
      <w:pPr>
        <w:spacing w:after="40"/>
      </w:pPr>
      <w:r>
        <w:rPr>
          <w:b/>
          <w:sz w:val="16"/>
        </w:rPr>
        <w:t>S009 · T3 Services Group Partners — T3 Services Group</w:t>
      </w:r>
    </w:p>
    <w:p>
      <w:pPr>
        <w:spacing w:after="60"/>
        <w:ind w:left="288"/>
      </w:pPr>
      <w:hyperlink r:id="rId19">
        <w:r>
          <w:rPr>
            <w:color w:val="1D5A3A"/>
            <w:u w:val="single"/>
          </w:rPr>
          <w:t>https://www.t3servicesgroup.com/</w:t>
        </w:r>
      </w:hyperlink>
      <w:r>
        <w:rPr>
          <w:color w:val="5A5A5A"/>
          <w:sz w:val="15"/>
        </w:rPr>
        <w:t xml:space="preserve"> · current platform page · rating A · accessed 2026-07-26</w:t>
      </w:r>
    </w:p>
    <w:p>
      <w:pPr>
        <w:spacing w:after="40"/>
      </w:pPr>
      <w:r>
        <w:rPr>
          <w:b/>
          <w:sz w:val="16"/>
        </w:rPr>
        <w:t>S010 · T3 Services Group — The Riverside Company</w:t>
      </w:r>
    </w:p>
    <w:p>
      <w:pPr>
        <w:spacing w:after="60"/>
        <w:ind w:left="288"/>
      </w:pPr>
      <w:hyperlink r:id="rId20">
        <w:r>
          <w:rPr>
            <w:color w:val="1D5A3A"/>
            <w:u w:val="single"/>
          </w:rPr>
          <w:t>https://www.riversidecompany.com/investment-portfolio/t3-services-group</w:t>
        </w:r>
      </w:hyperlink>
      <w:r>
        <w:rPr>
          <w:color w:val="5A5A5A"/>
          <w:sz w:val="15"/>
        </w:rPr>
        <w:t xml:space="preserve"> · current portfolio page · rating A · accessed 2026-07-26</w:t>
      </w:r>
    </w:p>
    <w:p>
      <w:pPr>
        <w:spacing w:after="40"/>
      </w:pPr>
      <w:r>
        <w:rPr>
          <w:b/>
          <w:sz w:val="16"/>
        </w:rPr>
        <w:t>S011 · The Master Trades Group Acquires Stan’s Home Services — The Master Trades Group</w:t>
      </w:r>
    </w:p>
    <w:p>
      <w:pPr>
        <w:spacing w:after="60"/>
        <w:ind w:left="288"/>
      </w:pPr>
      <w:hyperlink r:id="rId21">
        <w:r>
          <w:rPr>
            <w:color w:val="1D5A3A"/>
            <w:u w:val="single"/>
          </w:rPr>
          <w:t>https://www.prnewswire.com/news-releases/the-master-trades-group-acquires-stans-home-services-302098640.html</w:t>
        </w:r>
      </w:hyperlink>
      <w:r>
        <w:rPr>
          <w:color w:val="5A5A5A"/>
          <w:sz w:val="15"/>
        </w:rPr>
        <w:t xml:space="preserve"> · transaction announcement · rating A · accessed 2026-07-26</w:t>
      </w:r>
    </w:p>
    <w:p>
      <w:pPr>
        <w:spacing w:after="40"/>
      </w:pPr>
      <w:r>
        <w:rPr>
          <w:b/>
          <w:sz w:val="16"/>
        </w:rPr>
        <w:t>S012 · Treaty Oak Equity Sells Stan’s Home Services — Treaty Oak Equity</w:t>
      </w:r>
    </w:p>
    <w:p>
      <w:pPr>
        <w:spacing w:after="60"/>
        <w:ind w:left="288"/>
      </w:pPr>
      <w:hyperlink r:id="rId22">
        <w:r>
          <w:rPr>
            <w:color w:val="1D5A3A"/>
            <w:u w:val="single"/>
          </w:rPr>
          <w:t>https://treatyoak.com/</w:t>
        </w:r>
      </w:hyperlink>
      <w:r>
        <w:rPr>
          <w:color w:val="5A5A5A"/>
          <w:sz w:val="15"/>
        </w:rPr>
        <w:t xml:space="preserve"> · seller announcement / portfolio history · rating B · accessed 2026-07-26</w:t>
      </w:r>
    </w:p>
    <w:p>
      <w:pPr>
        <w:spacing w:after="40"/>
      </w:pPr>
      <w:r>
        <w:rPr>
          <w:b/>
          <w:sz w:val="16"/>
        </w:rPr>
        <w:t>S013 · Master Trades Group (fka LTP Home Services Group) — L Catterton</w:t>
      </w:r>
    </w:p>
    <w:p>
      <w:pPr>
        <w:spacing w:after="60"/>
        <w:ind w:left="288"/>
      </w:pPr>
      <w:hyperlink r:id="rId23">
        <w:r>
          <w:rPr>
            <w:color w:val="1D5A3A"/>
            <w:u w:val="single"/>
          </w:rPr>
          <w:t>https://www.lcatterton.com/investments.html</w:t>
        </w:r>
      </w:hyperlink>
      <w:r>
        <w:rPr>
          <w:color w:val="5A5A5A"/>
          <w:sz w:val="15"/>
        </w:rPr>
        <w:t xml:space="preserve"> · current portfolio page · rating A · accessed 2026-07-26</w:t>
      </w:r>
    </w:p>
    <w:p>
      <w:pPr>
        <w:spacing w:after="40"/>
      </w:pPr>
      <w:r>
        <w:rPr>
          <w:b/>
          <w:sz w:val="16"/>
        </w:rPr>
        <w:t>S014 · L Catterton to Acquire LTP Home Services Group — L Catterton</w:t>
      </w:r>
    </w:p>
    <w:p>
      <w:pPr>
        <w:spacing w:after="60"/>
        <w:ind w:left="288"/>
      </w:pPr>
      <w:hyperlink r:id="rId24">
        <w:r>
          <w:rPr>
            <w:color w:val="1D5A3A"/>
            <w:u w:val="single"/>
          </w:rPr>
          <w:t>https://www.lcatterton.com/Press.html</w:t>
        </w:r>
      </w:hyperlink>
      <w:r>
        <w:rPr>
          <w:color w:val="5A5A5A"/>
          <w:sz w:val="15"/>
        </w:rPr>
        <w:t xml:space="preserve"> · transaction announcement · rating A · accessed 2026-07-26</w:t>
      </w:r>
    </w:p>
    <w:p>
      <w:pPr>
        <w:spacing w:after="40"/>
      </w:pPr>
      <w:r>
        <w:rPr>
          <w:b/>
          <w:sz w:val="16"/>
        </w:rPr>
        <w:t>S015 · Abacus Privacy Policy — Abacus Plumbing, Air Conditioning &amp; Electrical</w:t>
      </w:r>
    </w:p>
    <w:p>
      <w:pPr>
        <w:spacing w:after="60"/>
        <w:ind w:left="288"/>
      </w:pPr>
      <w:hyperlink r:id="rId25">
        <w:r>
          <w:rPr>
            <w:color w:val="1D5A3A"/>
            <w:u w:val="single"/>
          </w:rPr>
          <w:t>https://www.abacusplumbing.com/privacy-policy/</w:t>
        </w:r>
      </w:hyperlink>
      <w:r>
        <w:rPr>
          <w:color w:val="5A5A5A"/>
          <w:sz w:val="15"/>
        </w:rPr>
        <w:t xml:space="preserve"> · current legal policy · rating A · accessed 2026-07-26</w:t>
      </w:r>
    </w:p>
    <w:p>
      <w:pPr>
        <w:spacing w:after="40"/>
      </w:pPr>
      <w:r>
        <w:rPr>
          <w:b/>
          <w:sz w:val="16"/>
        </w:rPr>
        <w:t>S016 · TSG Consumer Partners and Oak Hill Partner with Leonard Green and Management — Wrench Group</w:t>
      </w:r>
    </w:p>
    <w:p>
      <w:pPr>
        <w:spacing w:after="60"/>
        <w:ind w:left="288"/>
      </w:pPr>
      <w:hyperlink r:id="rId26">
        <w:r>
          <w:rPr>
            <w:color w:val="1D5A3A"/>
            <w:u w:val="single"/>
          </w:rPr>
          <w:t>https://www.wrenchgroup.com/articles/tsg-consumer-partners-and-oak-hill-partner-with-leonard-green-and-management-to-enhance-the-wrench-groups-next-phase-of-growth</w:t>
        </w:r>
      </w:hyperlink>
      <w:r>
        <w:rPr>
          <w:color w:val="5A5A5A"/>
          <w:sz w:val="15"/>
        </w:rPr>
        <w:t xml:space="preserve"> · transaction announcement · rating A · accessed 2026-07-26</w:t>
      </w:r>
    </w:p>
    <w:p>
      <w:pPr>
        <w:spacing w:after="40"/>
      </w:pPr>
      <w:r>
        <w:rPr>
          <w:b/>
          <w:sz w:val="16"/>
        </w:rPr>
        <w:t>S017 · Wrench Group Portfolio Company — Leonard Green &amp; Partners</w:t>
      </w:r>
    </w:p>
    <w:p>
      <w:pPr>
        <w:spacing w:after="60"/>
        <w:ind w:left="288"/>
      </w:pPr>
      <w:hyperlink r:id="rId27">
        <w:r>
          <w:rPr>
            <w:color w:val="1D5A3A"/>
            <w:u w:val="single"/>
          </w:rPr>
          <w:t>https://www.leonardgreen.com/</w:t>
        </w:r>
      </w:hyperlink>
      <w:r>
        <w:rPr>
          <w:color w:val="5A5A5A"/>
          <w:sz w:val="15"/>
        </w:rPr>
        <w:t xml:space="preserve"> · current sponsor page · rating B · accessed 2026-07-26</w:t>
      </w:r>
    </w:p>
    <w:p>
      <w:pPr>
        <w:spacing w:after="40"/>
      </w:pPr>
      <w:r>
        <w:rPr>
          <w:b/>
          <w:sz w:val="16"/>
        </w:rPr>
        <w:t>S018 · Goettl Austin — Goettl Air Conditioning &amp; Plumbing</w:t>
      </w:r>
    </w:p>
    <w:p>
      <w:pPr>
        <w:spacing w:after="60"/>
        <w:ind w:left="288"/>
      </w:pPr>
      <w:hyperlink r:id="rId28">
        <w:r>
          <w:rPr>
            <w:color w:val="1D5A3A"/>
            <w:u w:val="single"/>
          </w:rPr>
          <w:t>https://www.goettl.com/austin/</w:t>
        </w:r>
      </w:hyperlink>
      <w:r>
        <w:rPr>
          <w:color w:val="5A5A5A"/>
          <w:sz w:val="15"/>
        </w:rPr>
        <w:t xml:space="preserve"> · current local service page · rating A · accessed 2026-07-26</w:t>
      </w:r>
    </w:p>
    <w:p>
      <w:pPr>
        <w:spacing w:after="40"/>
      </w:pPr>
      <w:r>
        <w:rPr>
          <w:b/>
          <w:sz w:val="16"/>
        </w:rPr>
        <w:t>S019 · Cortec Group Investment in Goettl — Cortec Group</w:t>
      </w:r>
    </w:p>
    <w:p>
      <w:pPr>
        <w:spacing w:after="60"/>
        <w:ind w:left="288"/>
      </w:pPr>
      <w:hyperlink r:id="rId29">
        <w:r>
          <w:rPr>
            <w:color w:val="1D5A3A"/>
            <w:u w:val="single"/>
          </w:rPr>
          <w:t>https://www.cortecgroup.com/</w:t>
        </w:r>
      </w:hyperlink>
      <w:r>
        <w:rPr>
          <w:color w:val="5A5A5A"/>
          <w:sz w:val="15"/>
        </w:rPr>
        <w:t xml:space="preserve"> · sponsor portfolio / transaction page · rating A · accessed 2026-07-26</w:t>
      </w:r>
    </w:p>
    <w:p>
      <w:pPr>
        <w:spacing w:after="40"/>
      </w:pPr>
      <w:r>
        <w:rPr>
          <w:b/>
          <w:sz w:val="16"/>
        </w:rPr>
        <w:t>S020 · Brookfield Infrastructure Completes Acquisition of Enercare — Brookfield Infrastructure</w:t>
      </w:r>
    </w:p>
    <w:p>
      <w:pPr>
        <w:spacing w:after="60"/>
        <w:ind w:left="288"/>
      </w:pPr>
      <w:hyperlink r:id="rId30">
        <w:r>
          <w:rPr>
            <w:color w:val="1D5A3A"/>
            <w:u w:val="single"/>
          </w:rPr>
          <w:t>https://bip.brookfield.com/press-releases/bip/brookfield-infrastructure-completes-c43-billion-acquisition-enercare-inc</w:t>
        </w:r>
      </w:hyperlink>
      <w:r>
        <w:rPr>
          <w:color w:val="5A5A5A"/>
          <w:sz w:val="15"/>
        </w:rPr>
        <w:t xml:space="preserve"> · transaction announcement · rating A · accessed 2026-07-26</w:t>
      </w:r>
    </w:p>
    <w:p>
      <w:pPr>
        <w:spacing w:after="40"/>
      </w:pPr>
      <w:r>
        <w:rPr>
          <w:b/>
          <w:sz w:val="16"/>
        </w:rPr>
        <w:t>S021 · Strand Brothers Service Experts - Austin — Service Experts</w:t>
      </w:r>
    </w:p>
    <w:p>
      <w:pPr>
        <w:spacing w:after="60"/>
        <w:ind w:left="288"/>
      </w:pPr>
      <w:hyperlink r:id="rId31">
        <w:r>
          <w:rPr>
            <w:color w:val="1D5A3A"/>
            <w:u w:val="single"/>
          </w:rPr>
          <w:t>https://www.serviceexperts.com/austin-tx/</w:t>
        </w:r>
      </w:hyperlink>
      <w:r>
        <w:rPr>
          <w:color w:val="5A5A5A"/>
          <w:sz w:val="15"/>
        </w:rPr>
        <w:t xml:space="preserve"> · current local service page · rating A · accessed 2026-07-26</w:t>
      </w:r>
    </w:p>
    <w:p>
      <w:pPr>
        <w:spacing w:after="40"/>
      </w:pPr>
      <w:r>
        <w:rPr>
          <w:b/>
          <w:sz w:val="16"/>
        </w:rPr>
        <w:t>S022 · Brookfield Infrastructure 2025 Annual Report — Brookfield Infrastructure</w:t>
      </w:r>
    </w:p>
    <w:p>
      <w:pPr>
        <w:spacing w:after="60"/>
        <w:ind w:left="288"/>
      </w:pPr>
      <w:hyperlink r:id="rId32">
        <w:r>
          <w:rPr>
            <w:color w:val="1D5A3A"/>
            <w:u w:val="single"/>
          </w:rPr>
          <w:t>https://bip.brookfield.com/sites/brookfield-bip-v2/files/Brookfield-BIP-IR-V2/BIPC/annual-reports/bip-2025-20-f.pdf</w:t>
        </w:r>
      </w:hyperlink>
      <w:r>
        <w:rPr>
          <w:color w:val="5A5A5A"/>
          <w:sz w:val="15"/>
        </w:rPr>
        <w:t xml:space="preserve"> · annual report · rating A · accessed 2026-07-26</w:t>
      </w:r>
    </w:p>
    <w:p>
      <w:pPr>
        <w:spacing w:after="40"/>
      </w:pPr>
      <w:r>
        <w:rPr>
          <w:b/>
          <w:sz w:val="16"/>
        </w:rPr>
        <w:t>S023 · Champions Group Acquires Service Wizard of Austin — Champions Group Holdings</w:t>
      </w:r>
    </w:p>
    <w:p>
      <w:pPr>
        <w:spacing w:after="60"/>
        <w:ind w:left="288"/>
      </w:pPr>
      <w:hyperlink r:id="rId33">
        <w:r>
          <w:rPr>
            <w:color w:val="1D5A3A"/>
            <w:u w:val="single"/>
          </w:rPr>
          <w:t>https://championsgroupholdings.com/2022/11/22/growth-continues-with-service-wizard-of-austin/</w:t>
        </w:r>
      </w:hyperlink>
      <w:r>
        <w:rPr>
          <w:color w:val="5A5A5A"/>
          <w:sz w:val="15"/>
        </w:rPr>
        <w:t xml:space="preserve"> · transaction announcement · rating A · accessed 2026-07-26</w:t>
      </w:r>
    </w:p>
    <w:p>
      <w:pPr>
        <w:spacing w:after="40"/>
      </w:pPr>
      <w:r>
        <w:rPr>
          <w:b/>
          <w:sz w:val="16"/>
        </w:rPr>
        <w:t>S024 · Blackstone Announces Agreement to Acquire Champions Group — Blackstone</w:t>
      </w:r>
    </w:p>
    <w:p>
      <w:pPr>
        <w:spacing w:after="60"/>
        <w:ind w:left="288"/>
      </w:pPr>
      <w:hyperlink r:id="rId34">
        <w:r>
          <w:rPr>
            <w:color w:val="1D5A3A"/>
            <w:u w:val="single"/>
          </w:rPr>
          <w:t>https://www.blackstone.com/news/press/blackstone-announces-agreement-to-acquire-champions-group/</w:t>
        </w:r>
      </w:hyperlink>
      <w:r>
        <w:rPr>
          <w:color w:val="5A5A5A"/>
          <w:sz w:val="15"/>
        </w:rPr>
        <w:t xml:space="preserve"> · pending transaction announcement · rating A · accessed 2026-07-26</w:t>
      </w:r>
    </w:p>
    <w:p>
      <w:pPr>
        <w:spacing w:after="40"/>
      </w:pPr>
      <w:r>
        <w:rPr>
          <w:b/>
          <w:sz w:val="16"/>
        </w:rPr>
        <w:t>S025 · Service Wizard Austin — Service Wizard Heating &amp; Air Conditioning</w:t>
      </w:r>
    </w:p>
    <w:p>
      <w:pPr>
        <w:spacing w:after="60"/>
        <w:ind w:left="288"/>
      </w:pPr>
      <w:hyperlink r:id="rId35">
        <w:r>
          <w:rPr>
            <w:color w:val="1D5A3A"/>
            <w:u w:val="single"/>
          </w:rPr>
          <w:t>https://servicewizardac.com/</w:t>
        </w:r>
      </w:hyperlink>
      <w:r>
        <w:rPr>
          <w:color w:val="5A5A5A"/>
          <w:sz w:val="15"/>
        </w:rPr>
        <w:t xml:space="preserve"> · current local service page · rating A · accessed 2026-07-26</w:t>
      </w:r>
    </w:p>
    <w:p>
      <w:pPr>
        <w:spacing w:after="40"/>
      </w:pPr>
      <w:r>
        <w:rPr>
          <w:b/>
          <w:sz w:val="16"/>
        </w:rPr>
        <w:t>S026 · ARS/Rescue Rooter Austin — ARS/Rescue Rooter</w:t>
      </w:r>
    </w:p>
    <w:p>
      <w:pPr>
        <w:spacing w:after="60"/>
        <w:ind w:left="288"/>
      </w:pPr>
      <w:hyperlink r:id="rId36">
        <w:r>
          <w:rPr>
            <w:color w:val="1D5A3A"/>
            <w:u w:val="single"/>
          </w:rPr>
          <w:t>https://www.ars.com/austin</w:t>
        </w:r>
      </w:hyperlink>
      <w:r>
        <w:rPr>
          <w:color w:val="5A5A5A"/>
          <w:sz w:val="15"/>
        </w:rPr>
        <w:t xml:space="preserve"> · current local service page · rating A · accessed 2026-07-26</w:t>
      </w:r>
    </w:p>
    <w:p>
      <w:pPr>
        <w:spacing w:after="40"/>
      </w:pPr>
      <w:r>
        <w:rPr>
          <w:b/>
          <w:sz w:val="16"/>
        </w:rPr>
        <w:t>S027 · GI Partners Acquires Majority Interest in American Residential Services — GI Partners</w:t>
      </w:r>
    </w:p>
    <w:p>
      <w:pPr>
        <w:spacing w:after="60"/>
        <w:ind w:left="288"/>
      </w:pPr>
      <w:hyperlink r:id="rId37">
        <w:r>
          <w:rPr>
            <w:color w:val="1D5A3A"/>
            <w:u w:val="single"/>
          </w:rPr>
          <w:t>https://www.gipartners.com/</w:t>
        </w:r>
      </w:hyperlink>
      <w:r>
        <w:rPr>
          <w:color w:val="5A5A5A"/>
          <w:sz w:val="15"/>
        </w:rPr>
        <w:t xml:space="preserve"> · transaction / portfolio page · rating A · accessed 2026-07-26</w:t>
      </w:r>
    </w:p>
    <w:p>
      <w:pPr>
        <w:spacing w:after="40"/>
      </w:pPr>
      <w:r>
        <w:rPr>
          <w:b/>
          <w:sz w:val="16"/>
        </w:rPr>
        <w:t>S028 · American Residential Services Portfolio — GI Partners</w:t>
      </w:r>
    </w:p>
    <w:p>
      <w:pPr>
        <w:spacing w:after="60"/>
        <w:ind w:left="288"/>
      </w:pPr>
      <w:hyperlink r:id="rId38">
        <w:r>
          <w:rPr>
            <w:color w:val="1D5A3A"/>
            <w:u w:val="single"/>
          </w:rPr>
          <w:t>https://www.gipartners.com/portfolio/</w:t>
        </w:r>
      </w:hyperlink>
      <w:r>
        <w:rPr>
          <w:color w:val="5A5A5A"/>
          <w:sz w:val="15"/>
        </w:rPr>
        <w:t xml:space="preserve"> · current portfolio page · rating A · accessed 2026-07-26</w:t>
      </w:r>
    </w:p>
    <w:p>
      <w:pPr>
        <w:spacing w:after="40"/>
      </w:pPr>
      <w:r>
        <w:rPr>
          <w:b/>
          <w:sz w:val="16"/>
        </w:rPr>
        <w:t>S029 · Mr. Rooter Plumbing of Austin — Mr. Rooter Plumbing</w:t>
      </w:r>
    </w:p>
    <w:p>
      <w:pPr>
        <w:spacing w:after="60"/>
        <w:ind w:left="288"/>
      </w:pPr>
      <w:hyperlink r:id="rId39">
        <w:r>
          <w:rPr>
            <w:color w:val="1D5A3A"/>
            <w:u w:val="single"/>
          </w:rPr>
          <w:t>https://www.mrrooter.com/austin/</w:t>
        </w:r>
      </w:hyperlink>
      <w:r>
        <w:rPr>
          <w:color w:val="5A5A5A"/>
          <w:sz w:val="15"/>
        </w:rPr>
        <w:t xml:space="preserve"> · current local franchise page · rating A · accessed 2026-07-26</w:t>
      </w:r>
    </w:p>
    <w:p>
      <w:pPr>
        <w:spacing w:after="40"/>
      </w:pPr>
      <w:r>
        <w:rPr>
          <w:b/>
          <w:sz w:val="16"/>
        </w:rPr>
        <w:t>S030 · KKR Completes Acquisition of Neighborly — KKR</w:t>
      </w:r>
    </w:p>
    <w:p>
      <w:pPr>
        <w:spacing w:after="60"/>
        <w:ind w:left="288"/>
      </w:pPr>
      <w:hyperlink r:id="rId40">
        <w:r>
          <w:rPr>
            <w:color w:val="1D5A3A"/>
            <w:u w:val="single"/>
          </w:rPr>
          <w:t>https://www.kkr.com/newsroom/news/news-details/2021/kkr-completes-acquisition-neighborly</w:t>
        </w:r>
      </w:hyperlink>
      <w:r>
        <w:rPr>
          <w:color w:val="5A5A5A"/>
          <w:sz w:val="15"/>
        </w:rPr>
        <w:t xml:space="preserve"> · transaction announcement · rating A · accessed 2026-07-26</w:t>
      </w:r>
    </w:p>
    <w:p>
      <w:pPr>
        <w:spacing w:after="40"/>
      </w:pPr>
      <w:r>
        <w:rPr>
          <w:b/>
          <w:sz w:val="16"/>
        </w:rPr>
        <w:t>S031 · Authority Brands — Apax Partners</w:t>
      </w:r>
    </w:p>
    <w:p>
      <w:pPr>
        <w:spacing w:after="60"/>
        <w:ind w:left="288"/>
      </w:pPr>
      <w:hyperlink r:id="rId41">
        <w:r>
          <w:rPr>
            <w:color w:val="1D5A3A"/>
            <w:u w:val="single"/>
          </w:rPr>
          <w:t>https://www.apax.com/partnerships/authority-brands/</w:t>
        </w:r>
      </w:hyperlink>
      <w:r>
        <w:rPr>
          <w:color w:val="5A5A5A"/>
          <w:sz w:val="15"/>
        </w:rPr>
        <w:t xml:space="preserve"> · current portfolio page · rating A · accessed 2026-07-26</w:t>
      </w:r>
    </w:p>
    <w:p>
      <w:pPr>
        <w:spacing w:after="40"/>
      </w:pPr>
      <w:r>
        <w:rPr>
          <w:b/>
          <w:sz w:val="16"/>
        </w:rPr>
        <w:t>S032 · BCI Corporate Annual Report 2022-2023 — British Columbia Investment Management Corporation</w:t>
      </w:r>
    </w:p>
    <w:p>
      <w:pPr>
        <w:spacing w:after="60"/>
        <w:ind w:left="288"/>
      </w:pPr>
      <w:hyperlink r:id="rId42">
        <w:r>
          <w:rPr>
            <w:color w:val="1D5A3A"/>
            <w:u w:val="single"/>
          </w:rPr>
          <w:t>https://www.bci.ca/wp-content/uploads/2018/01/2022-2023-corporate-annual-report_financial-statements-2.pdf</w:t>
        </w:r>
      </w:hyperlink>
      <w:r>
        <w:rPr>
          <w:color w:val="5A5A5A"/>
          <w:sz w:val="15"/>
        </w:rPr>
        <w:t xml:space="preserve"> · annual report · rating A · accessed 2026-07-26</w:t>
      </w:r>
    </w:p>
    <w:p>
      <w:pPr>
        <w:spacing w:after="40"/>
      </w:pPr>
      <w:r>
        <w:rPr>
          <w:b/>
          <w:sz w:val="16"/>
        </w:rPr>
        <w:t>S033 · Benjamin Franklin Plumbing of Austin — Benjamin Franklin Plumbing</w:t>
      </w:r>
    </w:p>
    <w:p>
      <w:pPr>
        <w:spacing w:after="60"/>
        <w:ind w:left="288"/>
      </w:pPr>
      <w:hyperlink r:id="rId43">
        <w:r>
          <w:rPr>
            <w:color w:val="1D5A3A"/>
            <w:u w:val="single"/>
          </w:rPr>
          <w:t>https://www.benjaminfranklinplumbing.com/austin/</w:t>
        </w:r>
      </w:hyperlink>
      <w:r>
        <w:rPr>
          <w:color w:val="5A5A5A"/>
          <w:sz w:val="15"/>
        </w:rPr>
        <w:t xml:space="preserve"> · current local franchise page · rating B · accessed 2026-07-26</w:t>
      </w:r>
    </w:p>
    <w:p>
      <w:pPr>
        <w:spacing w:after="40"/>
      </w:pPr>
      <w:r>
        <w:rPr>
          <w:b/>
          <w:sz w:val="16"/>
        </w:rPr>
        <w:t>S034 · Aire Serv of Cedar Park — Aire Serv</w:t>
      </w:r>
    </w:p>
    <w:p>
      <w:pPr>
        <w:spacing w:after="60"/>
        <w:ind w:left="288"/>
      </w:pPr>
      <w:hyperlink r:id="rId44">
        <w:r>
          <w:rPr>
            <w:color w:val="1D5A3A"/>
            <w:u w:val="single"/>
          </w:rPr>
          <w:t>https://www.aireserv.com/cedar-park/</w:t>
        </w:r>
      </w:hyperlink>
      <w:r>
        <w:rPr>
          <w:color w:val="5A5A5A"/>
          <w:sz w:val="15"/>
        </w:rPr>
        <w:t xml:space="preserve"> · current local franchise page · rating B · accessed 2026-07-26</w:t>
      </w:r>
    </w:p>
    <w:p>
      <w:pPr>
        <w:spacing w:after="40"/>
      </w:pPr>
      <w:r>
        <w:rPr>
          <w:b/>
          <w:sz w:val="16"/>
        </w:rPr>
        <w:t>S035 · Aire Serv of Round Rock — Aire Serv</w:t>
      </w:r>
    </w:p>
    <w:p>
      <w:pPr>
        <w:spacing w:after="60"/>
        <w:ind w:left="288"/>
      </w:pPr>
      <w:hyperlink r:id="rId45">
        <w:r>
          <w:rPr>
            <w:color w:val="1D5A3A"/>
            <w:u w:val="single"/>
          </w:rPr>
          <w:t>https://www.aireserv.com/round-rock/</w:t>
        </w:r>
      </w:hyperlink>
      <w:r>
        <w:rPr>
          <w:color w:val="5A5A5A"/>
          <w:sz w:val="15"/>
        </w:rPr>
        <w:t xml:space="preserve"> · current local franchise page · rating A · accessed 2026-07-26</w:t>
      </w:r>
    </w:p>
    <w:p>
      <w:pPr>
        <w:spacing w:after="40"/>
      </w:pPr>
      <w:r>
        <w:rPr>
          <w:b/>
          <w:sz w:val="16"/>
        </w:rPr>
        <w:t>S036 · Aire Serv is a Neighborly Company — Aire Serv / Neighborly</w:t>
      </w:r>
    </w:p>
    <w:p>
      <w:pPr>
        <w:spacing w:after="60"/>
        <w:ind w:left="288"/>
      </w:pPr>
      <w:hyperlink r:id="rId46">
        <w:r>
          <w:rPr>
            <w:color w:val="1D5A3A"/>
            <w:u w:val="single"/>
          </w:rPr>
          <w:t>https://www.aireserv.com/about/</w:t>
        </w:r>
      </w:hyperlink>
      <w:r>
        <w:rPr>
          <w:color w:val="5A5A5A"/>
          <w:sz w:val="15"/>
        </w:rPr>
        <w:t xml:space="preserve"> · current franchisor page · rating A · accessed 2026-07-26</w:t>
      </w:r>
    </w:p>
    <w:p>
      <w:pPr>
        <w:spacing w:after="40"/>
      </w:pPr>
      <w:r>
        <w:rPr>
          <w:b/>
          <w:sz w:val="16"/>
        </w:rPr>
        <w:t>S037 · SAS Service Partners Acquires Austin Air Conditioning — SAS Service Partners</w:t>
      </w:r>
    </w:p>
    <w:p>
      <w:pPr>
        <w:spacing w:after="60"/>
        <w:ind w:left="288"/>
      </w:pPr>
      <w:hyperlink r:id="rId47">
        <w:r>
          <w:rPr>
            <w:color w:val="1D5A3A"/>
            <w:u w:val="single"/>
          </w:rPr>
          <w:t>https://sasservicepartners.com/news/austin-air-conditioning</w:t>
        </w:r>
      </w:hyperlink>
      <w:r>
        <w:rPr>
          <w:color w:val="5A5A5A"/>
          <w:sz w:val="15"/>
        </w:rPr>
        <w:t xml:space="preserve"> · transaction announcement · rating A · accessed 2026-07-26</w:t>
      </w:r>
    </w:p>
    <w:p>
      <w:pPr>
        <w:spacing w:after="40"/>
      </w:pPr>
      <w:r>
        <w:rPr>
          <w:b/>
          <w:sz w:val="16"/>
        </w:rPr>
        <w:t>S038 · SAS Service Partners Acquires Roger’s Plumbing — SAS Service Partners</w:t>
      </w:r>
    </w:p>
    <w:p>
      <w:pPr>
        <w:spacing w:after="60"/>
        <w:ind w:left="288"/>
      </w:pPr>
      <w:hyperlink r:id="rId48">
        <w:r>
          <w:rPr>
            <w:color w:val="1D5A3A"/>
            <w:u w:val="single"/>
          </w:rPr>
          <w:t>https://sasservicepartners.com/news/rogers-plumbing</w:t>
        </w:r>
      </w:hyperlink>
      <w:r>
        <w:rPr>
          <w:color w:val="5A5A5A"/>
          <w:sz w:val="15"/>
        </w:rPr>
        <w:t xml:space="preserve"> · transaction announcement · rating A · accessed 2026-07-26</w:t>
      </w:r>
    </w:p>
    <w:p>
      <w:pPr>
        <w:spacing w:after="40"/>
      </w:pPr>
      <w:r>
        <w:rPr>
          <w:b/>
          <w:sz w:val="16"/>
        </w:rPr>
        <w:t>S039 · Cool Atmosphere Joins SAS Service Partners — SAS Service Partners</w:t>
      </w:r>
    </w:p>
    <w:p>
      <w:pPr>
        <w:spacing w:after="60"/>
        <w:ind w:left="288"/>
      </w:pPr>
      <w:hyperlink r:id="rId49">
        <w:r>
          <w:rPr>
            <w:color w:val="1D5A3A"/>
            <w:u w:val="single"/>
          </w:rPr>
          <w:t>https://sasservicepartners.com/news/cool-atmosphere</w:t>
        </w:r>
      </w:hyperlink>
      <w:r>
        <w:rPr>
          <w:color w:val="5A5A5A"/>
          <w:sz w:val="15"/>
        </w:rPr>
        <w:t xml:space="preserve"> · transaction announcement · rating A · accessed 2026-07-26</w:t>
      </w:r>
    </w:p>
    <w:p>
      <w:pPr>
        <w:spacing w:after="40"/>
      </w:pPr>
      <w:r>
        <w:rPr>
          <w:b/>
          <w:sz w:val="16"/>
        </w:rPr>
        <w:t>S040 · SAS Service Partners News Index — SAS Service Partners</w:t>
      </w:r>
    </w:p>
    <w:p>
      <w:pPr>
        <w:spacing w:after="60"/>
        <w:ind w:left="288"/>
      </w:pPr>
      <w:hyperlink r:id="rId50">
        <w:r>
          <w:rPr>
            <w:color w:val="1D5A3A"/>
            <w:u w:val="single"/>
          </w:rPr>
          <w:t>https://sasservicepartners.com/news</w:t>
        </w:r>
      </w:hyperlink>
      <w:r>
        <w:rPr>
          <w:color w:val="5A5A5A"/>
          <w:sz w:val="15"/>
        </w:rPr>
        <w:t xml:space="preserve"> · current transaction index · rating A · accessed 2026-07-26</w:t>
      </w:r>
    </w:p>
    <w:p>
      <w:pPr>
        <w:spacing w:after="40"/>
      </w:pPr>
      <w:r>
        <w:rPr>
          <w:b/>
          <w:sz w:val="16"/>
        </w:rPr>
        <w:t>S041 · Austin Air Conditioning — Austin Air Conditioning</w:t>
      </w:r>
    </w:p>
    <w:p>
      <w:pPr>
        <w:spacing w:after="60"/>
        <w:ind w:left="288"/>
      </w:pPr>
      <w:hyperlink r:id="rId51">
        <w:r>
          <w:rPr>
            <w:color w:val="1D5A3A"/>
            <w:u w:val="single"/>
          </w:rPr>
          <w:t>https://austinairconditioning.com/</w:t>
        </w:r>
      </w:hyperlink>
      <w:r>
        <w:rPr>
          <w:color w:val="5A5A5A"/>
          <w:sz w:val="15"/>
        </w:rPr>
        <w:t xml:space="preserve"> · current local service page · rating A · accessed 2026-07-26</w:t>
      </w:r>
    </w:p>
    <w:p>
      <w:pPr>
        <w:spacing w:after="40"/>
      </w:pPr>
      <w:r>
        <w:rPr>
          <w:b/>
          <w:sz w:val="16"/>
        </w:rPr>
        <w:t>S042 · Roger’s Plumbing — Roger’s Plumbing</w:t>
      </w:r>
    </w:p>
    <w:p>
      <w:pPr>
        <w:spacing w:after="60"/>
        <w:ind w:left="288"/>
      </w:pPr>
      <w:hyperlink r:id="rId52">
        <w:r>
          <w:rPr>
            <w:color w:val="1D5A3A"/>
            <w:u w:val="single"/>
          </w:rPr>
          <w:t>https://callrogersplumbing.com/</w:t>
        </w:r>
      </w:hyperlink>
      <w:r>
        <w:rPr>
          <w:color w:val="5A5A5A"/>
          <w:sz w:val="15"/>
        </w:rPr>
        <w:t xml:space="preserve"> · current local service page · rating A · accessed 2026-07-26</w:t>
      </w:r>
    </w:p>
    <w:p>
      <w:pPr>
        <w:spacing w:after="40"/>
      </w:pPr>
      <w:r>
        <w:rPr>
          <w:b/>
          <w:sz w:val="16"/>
        </w:rPr>
        <w:t>S043 · Cool Atmosphere — Cool Atmosphere</w:t>
      </w:r>
    </w:p>
    <w:p>
      <w:pPr>
        <w:spacing w:after="60"/>
        <w:ind w:left="288"/>
      </w:pPr>
      <w:hyperlink r:id="rId53">
        <w:r>
          <w:rPr>
            <w:color w:val="1D5A3A"/>
            <w:u w:val="single"/>
          </w:rPr>
          <w:t>https://coolatmosphereheatingandair.com/</w:t>
        </w:r>
      </w:hyperlink>
      <w:r>
        <w:rPr>
          <w:color w:val="5A5A5A"/>
          <w:sz w:val="15"/>
        </w:rPr>
        <w:t xml:space="preserve"> · current brand page / redirect · rating B · accessed 2026-07-26</w:t>
      </w:r>
    </w:p>
    <w:p>
      <w:pPr>
        <w:spacing w:after="40"/>
      </w:pPr>
      <w:r>
        <w:rPr>
          <w:b/>
          <w:sz w:val="16"/>
        </w:rPr>
        <w:t>S044 · SAS Service Partners Meet the Team Archive — SAS Service Partners</w:t>
      </w:r>
    </w:p>
    <w:p>
      <w:pPr>
        <w:spacing w:after="60"/>
        <w:ind w:left="288"/>
      </w:pPr>
      <w:hyperlink r:id="rId54">
        <w:r>
          <w:rPr>
            <w:color w:val="1D5A3A"/>
            <w:u w:val="single"/>
          </w:rPr>
          <w:t>https://sasservicepartners.com/meet-the-team-old</w:t>
        </w:r>
      </w:hyperlink>
      <w:r>
        <w:rPr>
          <w:color w:val="5A5A5A"/>
          <w:sz w:val="15"/>
        </w:rPr>
        <w:t xml:space="preserve"> · current/archive company page · rating B · accessed 2026-07-26</w:t>
      </w:r>
    </w:p>
    <w:p>
      <w:pPr>
        <w:spacing w:after="40"/>
      </w:pPr>
      <w:r>
        <w:rPr>
          <w:b/>
          <w:sz w:val="16"/>
        </w:rPr>
        <w:t>S045 · Roofing Services Solutions Acquires Ja-Mar Roofing &amp; Sheet Metal — Dunes Point Capital</w:t>
      </w:r>
    </w:p>
    <w:p>
      <w:pPr>
        <w:spacing w:after="60"/>
        <w:ind w:left="288"/>
      </w:pPr>
      <w:hyperlink r:id="rId55">
        <w:r>
          <w:rPr>
            <w:color w:val="1D5A3A"/>
            <w:u w:val="single"/>
          </w:rPr>
          <w:t>https://www.dunespointcapital.com/news/roofing-services-solutions-acquires-ja-mar-roofing-sheet-metal/</w:t>
        </w:r>
      </w:hyperlink>
      <w:r>
        <w:rPr>
          <w:color w:val="5A5A5A"/>
          <w:sz w:val="15"/>
        </w:rPr>
        <w:t xml:space="preserve"> · transaction announcement · rating A · accessed 2026-07-26</w:t>
      </w:r>
    </w:p>
    <w:p>
      <w:pPr>
        <w:spacing w:after="40"/>
      </w:pPr>
      <w:r>
        <w:rPr>
          <w:b/>
          <w:sz w:val="16"/>
        </w:rPr>
        <w:t>S046 · Roofing Services Solutions — Dunes Point Capital</w:t>
      </w:r>
    </w:p>
    <w:p>
      <w:pPr>
        <w:spacing w:after="60"/>
        <w:ind w:left="288"/>
      </w:pPr>
      <w:hyperlink r:id="rId56">
        <w:r>
          <w:rPr>
            <w:color w:val="1D5A3A"/>
            <w:u w:val="single"/>
          </w:rPr>
          <w:t>https://www.dunespointcapital.com/portfolio/roofing-services-solutions/</w:t>
        </w:r>
      </w:hyperlink>
      <w:r>
        <w:rPr>
          <w:color w:val="5A5A5A"/>
          <w:sz w:val="15"/>
        </w:rPr>
        <w:t xml:space="preserve"> · current portfolio page · rating A · accessed 2026-07-26</w:t>
      </w:r>
    </w:p>
    <w:p>
      <w:pPr>
        <w:spacing w:after="40"/>
      </w:pPr>
      <w:r>
        <w:rPr>
          <w:b/>
          <w:sz w:val="16"/>
        </w:rPr>
        <w:t>S047 · Ja-Mar Roofing &amp; Sheet Metal — Ja-Mar Roofing &amp; Sheet Metal</w:t>
      </w:r>
    </w:p>
    <w:p>
      <w:pPr>
        <w:spacing w:after="60"/>
        <w:ind w:left="288"/>
      </w:pPr>
      <w:hyperlink r:id="rId57">
        <w:r>
          <w:rPr>
            <w:color w:val="1D5A3A"/>
            <w:u w:val="single"/>
          </w:rPr>
          <w:t>https://jamarroofing.com/</w:t>
        </w:r>
      </w:hyperlink>
      <w:r>
        <w:rPr>
          <w:color w:val="5A5A5A"/>
          <w:sz w:val="15"/>
        </w:rPr>
        <w:t xml:space="preserve"> · current company page · rating A · accessed 2026-07-26</w:t>
      </w:r>
    </w:p>
    <w:p>
      <w:pPr>
        <w:spacing w:after="40"/>
      </w:pPr>
      <w:r>
        <w:rPr>
          <w:b/>
          <w:sz w:val="16"/>
        </w:rPr>
        <w:t>S048 · Groundworks Austin — Groundworks</w:t>
      </w:r>
    </w:p>
    <w:p>
      <w:pPr>
        <w:spacing w:after="60"/>
        <w:ind w:left="288"/>
      </w:pPr>
      <w:hyperlink r:id="rId58">
        <w:r>
          <w:rPr>
            <w:color w:val="1D5A3A"/>
            <w:u w:val="single"/>
          </w:rPr>
          <w:t>https://www.groundworks.com/service-areas/foundation-repair-austin-tx/</w:t>
        </w:r>
      </w:hyperlink>
      <w:r>
        <w:rPr>
          <w:color w:val="5A5A5A"/>
          <w:sz w:val="15"/>
        </w:rPr>
        <w:t xml:space="preserve"> · current service-area page · rating A · accessed 2026-07-26</w:t>
      </w:r>
    </w:p>
    <w:p>
      <w:pPr>
        <w:spacing w:after="40"/>
      </w:pPr>
      <w:r>
        <w:rPr>
          <w:b/>
          <w:sz w:val="16"/>
        </w:rPr>
        <w:t>S049 · KKR Makes Significant Investment in Groundworks — Groundworks / KKR</w:t>
      </w:r>
    </w:p>
    <w:p>
      <w:pPr>
        <w:spacing w:after="60"/>
        <w:ind w:left="288"/>
      </w:pPr>
      <w:hyperlink r:id="rId59">
        <w:r>
          <w:rPr>
            <w:color w:val="1D5A3A"/>
            <w:u w:val="single"/>
          </w:rPr>
          <w:t>https://www.groundworks.com/resources/kkr-makes-significant-investment-in-groundworks/</w:t>
        </w:r>
      </w:hyperlink>
      <w:r>
        <w:rPr>
          <w:color w:val="5A5A5A"/>
          <w:sz w:val="15"/>
        </w:rPr>
        <w:t xml:space="preserve"> · transaction announcement · rating A · accessed 2026-07-26</w:t>
      </w:r>
    </w:p>
    <w:p>
      <w:pPr>
        <w:spacing w:after="40"/>
      </w:pPr>
      <w:r>
        <w:rPr>
          <w:b/>
          <w:sz w:val="16"/>
        </w:rPr>
        <w:t>S050 · Cortec Groundworks Investment History — Cortec Group</w:t>
      </w:r>
    </w:p>
    <w:p>
      <w:pPr>
        <w:spacing w:after="60"/>
        <w:ind w:left="288"/>
      </w:pPr>
      <w:hyperlink r:id="rId60">
        <w:r>
          <w:rPr>
            <w:color w:val="1D5A3A"/>
            <w:u w:val="single"/>
          </w:rPr>
          <w:t>https://www.cortecgroup.com/portfolio/groundworks/</w:t>
        </w:r>
      </w:hyperlink>
      <w:r>
        <w:rPr>
          <w:color w:val="5A5A5A"/>
          <w:sz w:val="15"/>
        </w:rPr>
        <w:t xml:space="preserve"> · portfolio history · rating A · accessed 2026-07-26</w:t>
      </w:r>
    </w:p>
    <w:p>
      <w:pPr>
        <w:spacing w:after="40"/>
      </w:pPr>
      <w:r>
        <w:rPr>
          <w:b/>
          <w:sz w:val="16"/>
        </w:rPr>
        <w:t>S051 · Groundworks Acquires Foundation Support Specialists — Groundworks</w:t>
      </w:r>
    </w:p>
    <w:p>
      <w:pPr>
        <w:spacing w:after="60"/>
        <w:ind w:left="288"/>
      </w:pPr>
      <w:hyperlink r:id="rId61">
        <w:r>
          <w:rPr>
            <w:color w:val="1D5A3A"/>
            <w:u w:val="single"/>
          </w:rPr>
          <w:t>https://www.groundworks.com/resources/groundworks-acquires-foundation-support-specialists/</w:t>
        </w:r>
      </w:hyperlink>
      <w:r>
        <w:rPr>
          <w:color w:val="5A5A5A"/>
          <w:sz w:val="15"/>
        </w:rPr>
        <w:t xml:space="preserve"> · transaction announcement · rating A · accessed 2026-07-26</w:t>
      </w:r>
    </w:p>
    <w:p>
      <w:pPr>
        <w:spacing w:after="40"/>
      </w:pPr>
      <w:r>
        <w:rPr>
          <w:b/>
          <w:sz w:val="16"/>
        </w:rPr>
        <w:t>S052 · Citation Capital Acquires Majority Stake in Aptive Environmental — Citation Capital</w:t>
      </w:r>
    </w:p>
    <w:p>
      <w:pPr>
        <w:spacing w:after="60"/>
        <w:ind w:left="288"/>
      </w:pPr>
      <w:hyperlink r:id="rId62">
        <w:r>
          <w:rPr>
            <w:color w:val="1D5A3A"/>
            <w:u w:val="single"/>
          </w:rPr>
          <w:t>https://www.citationcapital.com/news/citation-capital-invests-in-aptive-environmental</w:t>
        </w:r>
      </w:hyperlink>
      <w:r>
        <w:rPr>
          <w:color w:val="5A5A5A"/>
          <w:sz w:val="15"/>
        </w:rPr>
        <w:t xml:space="preserve"> · transaction announcement · rating A · accessed 2026-07-26</w:t>
      </w:r>
    </w:p>
    <w:p>
      <w:pPr>
        <w:spacing w:after="40"/>
      </w:pPr>
      <w:r>
        <w:rPr>
          <w:b/>
          <w:sz w:val="16"/>
        </w:rPr>
        <w:t>S053 · Aptive Austin Branch — Aptive Environmental</w:t>
      </w:r>
    </w:p>
    <w:p>
      <w:pPr>
        <w:spacing w:after="60"/>
        <w:ind w:left="288"/>
      </w:pPr>
      <w:hyperlink r:id="rId63">
        <w:r>
          <w:rPr>
            <w:color w:val="1D5A3A"/>
            <w:u w:val="single"/>
          </w:rPr>
          <w:t>https://aptivepestcontrol.com/locations/texas-tx/austin-pest-control/local-branch/</w:t>
        </w:r>
      </w:hyperlink>
      <w:r>
        <w:rPr>
          <w:color w:val="5A5A5A"/>
          <w:sz w:val="15"/>
        </w:rPr>
        <w:t xml:space="preserve"> · current local branch page · rating A · accessed 2026-07-26</w:t>
      </w:r>
    </w:p>
    <w:p>
      <w:pPr>
        <w:spacing w:after="40"/>
      </w:pPr>
      <w:r>
        <w:rPr>
          <w:b/>
          <w:sz w:val="16"/>
        </w:rPr>
        <w:t>S054 · Trivest Makes Minority Investment in Alta Pest Control — Trivest Partners</w:t>
      </w:r>
    </w:p>
    <w:p>
      <w:pPr>
        <w:spacing w:after="60"/>
        <w:ind w:left="288"/>
      </w:pPr>
      <w:hyperlink r:id="rId64">
        <w:r>
          <w:rPr>
            <w:color w:val="1D5A3A"/>
            <w:u w:val="single"/>
          </w:rPr>
          <w:t>https://www.trivest.com/news/trivest-partners-announces-investment-in-alta-pest-control/</w:t>
        </w:r>
      </w:hyperlink>
      <w:r>
        <w:rPr>
          <w:color w:val="5A5A5A"/>
          <w:sz w:val="15"/>
        </w:rPr>
        <w:t xml:space="preserve"> · transaction announcement · rating A · accessed 2026-07-26</w:t>
      </w:r>
    </w:p>
    <w:p>
      <w:pPr>
        <w:spacing w:after="40"/>
      </w:pPr>
      <w:r>
        <w:rPr>
          <w:b/>
          <w:sz w:val="16"/>
        </w:rPr>
        <w:t>S055 · Rollins Completes Acquisition of HomeTeam Pest Defense — Rollins, Inc.</w:t>
      </w:r>
    </w:p>
    <w:p>
      <w:pPr>
        <w:spacing w:after="60"/>
        <w:ind w:left="288"/>
      </w:pPr>
      <w:hyperlink r:id="rId65">
        <w:r>
          <w:rPr>
            <w:color w:val="1D5A3A"/>
            <w:u w:val="single"/>
          </w:rPr>
          <w:t>https://www.rollins.com/news-events/press-releases/detail/28/rollins-inc-completes-acquisition-of-hometeam-pest-defense</w:t>
        </w:r>
      </w:hyperlink>
      <w:r>
        <w:rPr>
          <w:color w:val="5A5A5A"/>
          <w:sz w:val="15"/>
        </w:rPr>
        <w:t xml:space="preserve"> · transaction announcement · rating A · accessed 2026-07-26</w:t>
      </w:r>
    </w:p>
    <w:p>
      <w:pPr>
        <w:spacing w:after="40"/>
      </w:pPr>
      <w:r>
        <w:rPr>
          <w:b/>
          <w:sz w:val="16"/>
        </w:rPr>
        <w:t>S056 · Rollins Brands — Rollins, Inc.</w:t>
      </w:r>
    </w:p>
    <w:p>
      <w:pPr>
        <w:spacing w:after="60"/>
        <w:ind w:left="288"/>
      </w:pPr>
      <w:hyperlink r:id="rId66">
        <w:r>
          <w:rPr>
            <w:color w:val="1D5A3A"/>
            <w:u w:val="single"/>
          </w:rPr>
          <w:t>https://www.rollins.com/about-us/brands/default.aspx</w:t>
        </w:r>
      </w:hyperlink>
      <w:r>
        <w:rPr>
          <w:color w:val="5A5A5A"/>
          <w:sz w:val="15"/>
        </w:rPr>
        <w:t xml:space="preserve"> · current corporate brand page · rating A · accessed 2026-07-26</w:t>
      </w:r>
    </w:p>
    <w:p>
      <w:pPr>
        <w:spacing w:after="40"/>
      </w:pPr>
      <w:r>
        <w:rPr>
          <w:b/>
          <w:sz w:val="16"/>
        </w:rPr>
        <w:t>S057 · Rentokil Completes Terminix Acquisition — Rentokil Initial plc</w:t>
      </w:r>
    </w:p>
    <w:p>
      <w:pPr>
        <w:spacing w:after="60"/>
        <w:ind w:left="288"/>
      </w:pPr>
      <w:hyperlink r:id="rId67">
        <w:r>
          <w:rPr>
            <w:color w:val="1D5A3A"/>
            <w:u w:val="single"/>
          </w:rPr>
          <w:t>https://www.rentokil-initial.com/media/news-releases/news-2022/terminix_completion.aspx</w:t>
        </w:r>
      </w:hyperlink>
      <w:r>
        <w:rPr>
          <w:color w:val="5A5A5A"/>
          <w:sz w:val="15"/>
        </w:rPr>
        <w:t xml:space="preserve"> · transaction announcement · rating A · accessed 2026-07-26</w:t>
      </w:r>
    </w:p>
    <w:p>
      <w:pPr>
        <w:spacing w:after="40"/>
      </w:pPr>
      <w:r>
        <w:rPr>
          <w:b/>
          <w:sz w:val="16"/>
        </w:rPr>
        <w:t>S058 · PCM Growth Acquires Hawx Services — PCM Growth</w:t>
      </w:r>
    </w:p>
    <w:p>
      <w:pPr>
        <w:spacing w:after="60"/>
        <w:ind w:left="288"/>
      </w:pPr>
      <w:hyperlink r:id="rId68">
        <w:r>
          <w:rPr>
            <w:color w:val="1D5A3A"/>
            <w:u w:val="single"/>
          </w:rPr>
          <w:t>https://www.pcmgrowth.com/</w:t>
        </w:r>
      </w:hyperlink>
      <w:r>
        <w:rPr>
          <w:color w:val="5A5A5A"/>
          <w:sz w:val="15"/>
        </w:rPr>
        <w:t xml:space="preserve"> · transaction announcement / portfolio page · rating B · accessed 2026-07-26</w:t>
      </w:r>
    </w:p>
    <w:p>
      <w:pPr>
        <w:spacing w:after="40"/>
      </w:pPr>
      <w:r>
        <w:rPr>
          <w:b/>
          <w:sz w:val="16"/>
        </w:rPr>
        <w:t>S059 · Massey Services Acquires EcoShield’s Austin Division — Massey Services</w:t>
      </w:r>
    </w:p>
    <w:p>
      <w:pPr>
        <w:spacing w:after="60"/>
        <w:ind w:left="288"/>
      </w:pPr>
      <w:hyperlink r:id="rId69">
        <w:r>
          <w:rPr>
            <w:color w:val="1D5A3A"/>
            <w:u w:val="single"/>
          </w:rPr>
          <w:t>https://www.masseyservices.com/massey-services-acquires-ecoshield-pest-controls-austin-division/</w:t>
        </w:r>
      </w:hyperlink>
      <w:r>
        <w:rPr>
          <w:color w:val="5A5A5A"/>
          <w:sz w:val="15"/>
        </w:rPr>
        <w:t xml:space="preserve"> · transaction announcement · rating A · accessed 2026-07-26</w:t>
      </w:r>
    </w:p>
    <w:p>
      <w:pPr>
        <w:spacing w:after="40"/>
      </w:pPr>
      <w:r>
        <w:rPr>
          <w:b/>
          <w:sz w:val="16"/>
        </w:rPr>
        <w:t>S060 · Structural Pest Control Service — Texas Department of Agriculture</w:t>
      </w:r>
    </w:p>
    <w:p>
      <w:pPr>
        <w:spacing w:after="60"/>
        <w:ind w:left="288"/>
      </w:pPr>
      <w:hyperlink r:id="rId70">
        <w:r>
          <w:rPr>
            <w:color w:val="1D5A3A"/>
            <w:u w:val="single"/>
          </w:rPr>
          <w:t>https://texasagriculture.gov/Regulatory-Programs/Pesticides/Structural-Pest-Control-Service</w:t>
        </w:r>
      </w:hyperlink>
      <w:r>
        <w:rPr>
          <w:color w:val="5A5A5A"/>
          <w:sz w:val="15"/>
        </w:rPr>
        <w:t xml:space="preserve"> · regulatory page · rating A · accessed 2026-07-26</w:t>
      </w:r>
    </w:p>
    <w:p>
      <w:pPr>
        <w:spacing w:after="40"/>
      </w:pPr>
      <w:r>
        <w:rPr>
          <w:b/>
          <w:sz w:val="16"/>
        </w:rPr>
        <w:t>S100 · ABC Home &amp; Commercial Services - About Austin — ABC Home &amp; Commercial Services</w:t>
      </w:r>
    </w:p>
    <w:p>
      <w:pPr>
        <w:spacing w:after="60"/>
        <w:ind w:left="288"/>
      </w:pPr>
      <w:hyperlink r:id="rId71">
        <w:r>
          <w:rPr>
            <w:color w:val="1D5A3A"/>
            <w:u w:val="single"/>
          </w:rPr>
          <w:t>https://www.abchomeandcommercial.com/austin/about</w:t>
        </w:r>
      </w:hyperlink>
      <w:r>
        <w:rPr>
          <w:color w:val="5A5A5A"/>
          <w:sz w:val="15"/>
        </w:rPr>
        <w:t xml:space="preserve"> · current company / identity page · rating B · accessed 2026-07-26</w:t>
      </w:r>
    </w:p>
    <w:p>
      <w:pPr>
        <w:spacing w:after="40"/>
      </w:pPr>
      <w:r>
        <w:rPr>
          <w:b/>
          <w:sz w:val="16"/>
        </w:rPr>
        <w:t>S101 · Fox Service Company — Fox Service Company</w:t>
      </w:r>
    </w:p>
    <w:p>
      <w:pPr>
        <w:spacing w:after="60"/>
        <w:ind w:left="288"/>
      </w:pPr>
      <w:hyperlink r:id="rId72">
        <w:r>
          <w:rPr>
            <w:color w:val="1D5A3A"/>
            <w:u w:val="single"/>
          </w:rPr>
          <w:t>https://www.foxservice.com/</w:t>
        </w:r>
      </w:hyperlink>
      <w:r>
        <w:rPr>
          <w:color w:val="5A5A5A"/>
          <w:sz w:val="15"/>
        </w:rPr>
        <w:t xml:space="preserve"> · current company / identity page · rating B · accessed 2026-07-26</w:t>
      </w:r>
    </w:p>
    <w:p>
      <w:pPr>
        <w:spacing w:after="40"/>
      </w:pPr>
      <w:r>
        <w:rPr>
          <w:b/>
          <w:sz w:val="16"/>
        </w:rPr>
        <w:t>S102 · Precision Heating &amp; Air — Precision Heating &amp; Air</w:t>
      </w:r>
    </w:p>
    <w:p>
      <w:pPr>
        <w:spacing w:after="60"/>
        <w:ind w:left="288"/>
      </w:pPr>
      <w:hyperlink r:id="rId73">
        <w:r>
          <w:rPr>
            <w:color w:val="1D5A3A"/>
            <w:u w:val="single"/>
          </w:rPr>
          <w:t>https://www.precisionheatac.com/</w:t>
        </w:r>
      </w:hyperlink>
      <w:r>
        <w:rPr>
          <w:color w:val="5A5A5A"/>
          <w:sz w:val="15"/>
        </w:rPr>
        <w:t xml:space="preserve"> · current company / identity page · rating B · accessed 2026-07-26</w:t>
      </w:r>
    </w:p>
    <w:p>
      <w:pPr>
        <w:spacing w:after="40"/>
      </w:pPr>
      <w:r>
        <w:rPr>
          <w:b/>
          <w:sz w:val="16"/>
        </w:rPr>
        <w:t>S103 · Radiant Plumbing, Air Conditioning &amp; Electrical — Radiant</w:t>
      </w:r>
    </w:p>
    <w:p>
      <w:pPr>
        <w:spacing w:after="60"/>
        <w:ind w:left="288"/>
      </w:pPr>
      <w:hyperlink r:id="rId74">
        <w:r>
          <w:rPr>
            <w:color w:val="1D5A3A"/>
            <w:u w:val="single"/>
          </w:rPr>
          <w:t>https://radiantplumbing.com/</w:t>
        </w:r>
      </w:hyperlink>
      <w:r>
        <w:rPr>
          <w:color w:val="5A5A5A"/>
          <w:sz w:val="15"/>
        </w:rPr>
        <w:t xml:space="preserve"> · current company / identity page · rating B · accessed 2026-07-26</w:t>
      </w:r>
    </w:p>
    <w:p>
      <w:pPr>
        <w:spacing w:after="40"/>
      </w:pPr>
      <w:r>
        <w:rPr>
          <w:b/>
          <w:sz w:val="16"/>
        </w:rPr>
        <w:t>S104 · Stan’s Heating, Air, Plumbing &amp; Electrical — Stan’s</w:t>
      </w:r>
    </w:p>
    <w:p>
      <w:pPr>
        <w:spacing w:after="60"/>
        <w:ind w:left="288"/>
      </w:pPr>
      <w:hyperlink r:id="rId75">
        <w:r>
          <w:rPr>
            <w:color w:val="1D5A3A"/>
            <w:u w:val="single"/>
          </w:rPr>
          <w:t>https://stansac.com/</w:t>
        </w:r>
      </w:hyperlink>
      <w:r>
        <w:rPr>
          <w:color w:val="5A5A5A"/>
          <w:sz w:val="15"/>
        </w:rPr>
        <w:t xml:space="preserve"> · current company / identity page · rating B · accessed 2026-07-26</w:t>
      </w:r>
    </w:p>
    <w:p>
      <w:pPr>
        <w:spacing w:after="40"/>
      </w:pPr>
      <w:r>
        <w:rPr>
          <w:b/>
          <w:sz w:val="16"/>
        </w:rPr>
        <w:t>S105 · McCullough Heating &amp; Air Conditioning — McCullough Heating &amp; Air Conditioning</w:t>
      </w:r>
    </w:p>
    <w:p>
      <w:pPr>
        <w:spacing w:after="60"/>
        <w:ind w:left="288"/>
      </w:pPr>
      <w:hyperlink r:id="rId76">
        <w:r>
          <w:rPr>
            <w:color w:val="1D5A3A"/>
            <w:u w:val="single"/>
          </w:rPr>
          <w:t>https://coolmenow.com/</w:t>
        </w:r>
      </w:hyperlink>
      <w:r>
        <w:rPr>
          <w:color w:val="5A5A5A"/>
          <w:sz w:val="15"/>
        </w:rPr>
        <w:t xml:space="preserve"> · current company / identity page · rating B · accessed 2026-07-26</w:t>
      </w:r>
    </w:p>
    <w:p>
      <w:pPr>
        <w:spacing w:after="40"/>
      </w:pPr>
      <w:r>
        <w:rPr>
          <w:b/>
          <w:sz w:val="16"/>
        </w:rPr>
        <w:t>S106 · McCullough BBB Profile — Better Business Bureau</w:t>
      </w:r>
    </w:p>
    <w:p>
      <w:pPr>
        <w:spacing w:after="60"/>
        <w:ind w:left="288"/>
      </w:pPr>
      <w:hyperlink r:id="rId77">
        <w:r>
          <w:rPr>
            <w:color w:val="1D5A3A"/>
            <w:u w:val="single"/>
          </w:rPr>
          <w:t>https://www.bbb.org/us/tx/austin/profile/air-conditioning-contractor/mccullough-heating-air-conditioning-inc-0825-37920</w:t>
        </w:r>
      </w:hyperlink>
      <w:r>
        <w:rPr>
          <w:color w:val="5A5A5A"/>
          <w:sz w:val="15"/>
        </w:rPr>
        <w:t xml:space="preserve"> · current company / identity page · rating B · accessed 2026-07-26</w:t>
      </w:r>
    </w:p>
    <w:p>
      <w:pPr>
        <w:spacing w:after="40"/>
      </w:pPr>
      <w:r>
        <w:rPr>
          <w:b/>
          <w:sz w:val="16"/>
        </w:rPr>
        <w:t>S107 · Efficient AC, Electric &amp; Plumbing - About — Efficient AC, Electric &amp; Plumbing</w:t>
      </w:r>
    </w:p>
    <w:p>
      <w:pPr>
        <w:spacing w:after="60"/>
        <w:ind w:left="288"/>
      </w:pPr>
      <w:hyperlink r:id="rId78">
        <w:r>
          <w:rPr>
            <w:color w:val="1D5A3A"/>
            <w:u w:val="single"/>
          </w:rPr>
          <w:t>https://efficienttexas.com/about-us/</w:t>
        </w:r>
      </w:hyperlink>
      <w:r>
        <w:rPr>
          <w:color w:val="5A5A5A"/>
          <w:sz w:val="15"/>
        </w:rPr>
        <w:t xml:space="preserve"> · current company / identity page · rating B · accessed 2026-07-26</w:t>
      </w:r>
    </w:p>
    <w:p>
      <w:pPr>
        <w:spacing w:after="40"/>
      </w:pPr>
      <w:r>
        <w:rPr>
          <w:b/>
          <w:sz w:val="16"/>
        </w:rPr>
        <w:t>S108 · Reliant Plumbing - About — Reliant Plumbing</w:t>
      </w:r>
    </w:p>
    <w:p>
      <w:pPr>
        <w:spacing w:after="60"/>
        <w:ind w:left="288"/>
      </w:pPr>
      <w:hyperlink r:id="rId79">
        <w:r>
          <w:rPr>
            <w:color w:val="1D5A3A"/>
            <w:u w:val="single"/>
          </w:rPr>
          <w:t>https://www.reliantplumbing.com/about-us/</w:t>
        </w:r>
      </w:hyperlink>
      <w:r>
        <w:rPr>
          <w:color w:val="5A5A5A"/>
          <w:sz w:val="15"/>
        </w:rPr>
        <w:t xml:space="preserve"> · current company / identity page · rating B · accessed 2026-07-26</w:t>
      </w:r>
    </w:p>
    <w:p>
      <w:pPr>
        <w:spacing w:after="40"/>
      </w:pPr>
      <w:r>
        <w:rPr>
          <w:b/>
          <w:sz w:val="16"/>
        </w:rPr>
        <w:t>S109 · Christianson Air Conditioning &amp; Plumbing — Christianson</w:t>
      </w:r>
    </w:p>
    <w:p>
      <w:pPr>
        <w:spacing w:after="60"/>
        <w:ind w:left="288"/>
      </w:pPr>
      <w:hyperlink r:id="rId80">
        <w:r>
          <w:rPr>
            <w:color w:val="1D5A3A"/>
            <w:u w:val="single"/>
          </w:rPr>
          <w:t>https://www.christiansonco.com/</w:t>
        </w:r>
      </w:hyperlink>
      <w:r>
        <w:rPr>
          <w:color w:val="5A5A5A"/>
          <w:sz w:val="15"/>
        </w:rPr>
        <w:t xml:space="preserve"> · current company / identity page · rating B · accessed 2026-07-26</w:t>
      </w:r>
    </w:p>
    <w:p>
      <w:pPr>
        <w:spacing w:after="40"/>
      </w:pPr>
      <w:r>
        <w:rPr>
          <w:b/>
          <w:sz w:val="16"/>
        </w:rPr>
        <w:t>S110 · Excalibur Plumbing — Excalibur Plumbing</w:t>
      </w:r>
    </w:p>
    <w:p>
      <w:pPr>
        <w:spacing w:after="60"/>
        <w:ind w:left="288"/>
      </w:pPr>
      <w:hyperlink r:id="rId81">
        <w:r>
          <w:rPr>
            <w:color w:val="1D5A3A"/>
            <w:u w:val="single"/>
          </w:rPr>
          <w:t>https://www.excaliburplumbing.com/</w:t>
        </w:r>
      </w:hyperlink>
      <w:r>
        <w:rPr>
          <w:color w:val="5A5A5A"/>
          <w:sz w:val="15"/>
        </w:rPr>
        <w:t xml:space="preserve"> · current company / identity page · rating B · accessed 2026-07-26</w:t>
      </w:r>
    </w:p>
    <w:p>
      <w:pPr>
        <w:spacing w:after="40"/>
      </w:pPr>
      <w:r>
        <w:rPr>
          <w:b/>
          <w:sz w:val="16"/>
        </w:rPr>
        <w:t>S111 · Excalibur Plumbing BBB Profile — Better Business Bureau</w:t>
      </w:r>
    </w:p>
    <w:p>
      <w:pPr>
        <w:spacing w:after="60"/>
        <w:ind w:left="288"/>
      </w:pPr>
      <w:hyperlink r:id="rId82">
        <w:r>
          <w:rPr>
            <w:color w:val="1D5A3A"/>
            <w:u w:val="single"/>
          </w:rPr>
          <w:t>https://www.bbb.org/us/tx/leander/profile/plumber/excalibur-plumbing-llc-0825-90055054</w:t>
        </w:r>
      </w:hyperlink>
      <w:r>
        <w:rPr>
          <w:color w:val="5A5A5A"/>
          <w:sz w:val="15"/>
        </w:rPr>
        <w:t xml:space="preserve"> · current company / identity page · rating B · accessed 2026-07-26</w:t>
      </w:r>
    </w:p>
    <w:p>
      <w:pPr>
        <w:spacing w:after="40"/>
      </w:pPr>
      <w:r>
        <w:rPr>
          <w:b/>
          <w:sz w:val="16"/>
        </w:rPr>
        <w:t>S112 · Whitestone Plumbing — Whitestone Plumbing</w:t>
      </w:r>
    </w:p>
    <w:p>
      <w:pPr>
        <w:spacing w:after="60"/>
        <w:ind w:left="288"/>
      </w:pPr>
      <w:hyperlink r:id="rId83">
        <w:r>
          <w:rPr>
            <w:color w:val="1D5A3A"/>
            <w:u w:val="single"/>
          </w:rPr>
          <w:t>https://callwhitestone.com/</w:t>
        </w:r>
      </w:hyperlink>
      <w:r>
        <w:rPr>
          <w:color w:val="5A5A5A"/>
          <w:sz w:val="15"/>
        </w:rPr>
        <w:t xml:space="preserve"> · current company / identity page · rating B · accessed 2026-07-26</w:t>
      </w:r>
    </w:p>
    <w:p>
      <w:pPr>
        <w:spacing w:after="40"/>
      </w:pPr>
      <w:r>
        <w:rPr>
          <w:b/>
          <w:sz w:val="16"/>
        </w:rPr>
        <w:t>S113 · Whitestone Plumbing BBB Profile — Better Business Bureau</w:t>
      </w:r>
    </w:p>
    <w:p>
      <w:pPr>
        <w:spacing w:after="60"/>
        <w:ind w:left="288"/>
      </w:pPr>
      <w:hyperlink r:id="rId84">
        <w:r>
          <w:rPr>
            <w:color w:val="1D5A3A"/>
            <w:u w:val="single"/>
          </w:rPr>
          <w:t>https://www.bbb.org/us/tx/cedar-park/profile/plumber/whitestone-plumbing-0825-1000193219</w:t>
        </w:r>
      </w:hyperlink>
      <w:r>
        <w:rPr>
          <w:color w:val="5A5A5A"/>
          <w:sz w:val="15"/>
        </w:rPr>
        <w:t xml:space="preserve"> · current company / identity page · rating B · accessed 2026-07-26</w:t>
      </w:r>
    </w:p>
    <w:p>
      <w:pPr>
        <w:spacing w:after="40"/>
      </w:pPr>
      <w:r>
        <w:rPr>
          <w:b/>
          <w:sz w:val="16"/>
        </w:rPr>
        <w:t>S114 · Crow’s Plumbing Service — Crow’s Plumbing Service</w:t>
      </w:r>
    </w:p>
    <w:p>
      <w:pPr>
        <w:spacing w:after="60"/>
        <w:ind w:left="288"/>
      </w:pPr>
      <w:hyperlink r:id="rId85">
        <w:r>
          <w:rPr>
            <w:color w:val="1D5A3A"/>
            <w:u w:val="single"/>
          </w:rPr>
          <w:t>https://crowsplumbing.com/</w:t>
        </w:r>
      </w:hyperlink>
      <w:r>
        <w:rPr>
          <w:color w:val="5A5A5A"/>
          <w:sz w:val="15"/>
        </w:rPr>
        <w:t xml:space="preserve"> · current company / identity page · rating B · accessed 2026-07-26</w:t>
      </w:r>
    </w:p>
    <w:p>
      <w:pPr>
        <w:spacing w:after="40"/>
      </w:pPr>
      <w:r>
        <w:rPr>
          <w:b/>
          <w:sz w:val="16"/>
        </w:rPr>
        <w:t>S115 · Crow’s Plumbing BBB Profile — Better Business Bureau</w:t>
      </w:r>
    </w:p>
    <w:p>
      <w:pPr>
        <w:spacing w:after="60"/>
        <w:ind w:left="288"/>
      </w:pPr>
      <w:hyperlink r:id="rId86">
        <w:r>
          <w:rPr>
            <w:color w:val="1D5A3A"/>
            <w:u w:val="single"/>
          </w:rPr>
          <w:t>https://www.bbb.org/us/tx/round-rock/profile/plumber/crows-plumbing-service-0825-90034943</w:t>
        </w:r>
      </w:hyperlink>
      <w:r>
        <w:rPr>
          <w:color w:val="5A5A5A"/>
          <w:sz w:val="15"/>
        </w:rPr>
        <w:t xml:space="preserve"> · current company / identity page · rating B · accessed 2026-07-26</w:t>
      </w:r>
    </w:p>
    <w:p>
      <w:pPr>
        <w:spacing w:after="40"/>
      </w:pPr>
      <w:r>
        <w:rPr>
          <w:b/>
          <w:sz w:val="16"/>
        </w:rPr>
        <w:t>S116 · AirFix Mechanical — AirFix Mechanical</w:t>
      </w:r>
    </w:p>
    <w:p>
      <w:pPr>
        <w:spacing w:after="60"/>
        <w:ind w:left="288"/>
      </w:pPr>
      <w:hyperlink r:id="rId87">
        <w:r>
          <w:rPr>
            <w:color w:val="1D5A3A"/>
            <w:u w:val="single"/>
          </w:rPr>
          <w:t>https://www.getyourairfix.com/</w:t>
        </w:r>
      </w:hyperlink>
      <w:r>
        <w:rPr>
          <w:color w:val="5A5A5A"/>
          <w:sz w:val="15"/>
        </w:rPr>
        <w:t xml:space="preserve"> · current company / identity page · rating B · accessed 2026-07-26</w:t>
      </w:r>
    </w:p>
    <w:p>
      <w:pPr>
        <w:spacing w:after="40"/>
      </w:pPr>
      <w:r>
        <w:rPr>
          <w:b/>
          <w:sz w:val="16"/>
        </w:rPr>
        <w:t>S117 · Austin Major Air &amp; Heat BBB Profile — Better Business Bureau</w:t>
      </w:r>
    </w:p>
    <w:p>
      <w:pPr>
        <w:spacing w:after="60"/>
        <w:ind w:left="288"/>
      </w:pPr>
      <w:hyperlink r:id="rId88">
        <w:r>
          <w:rPr>
            <w:color w:val="1D5A3A"/>
            <w:u w:val="single"/>
          </w:rPr>
          <w:t>https://www.bbb.org/us/tx/austin/profile/air-conditioning-contractor/austin-major-air-heat-0825-43724</w:t>
        </w:r>
      </w:hyperlink>
      <w:r>
        <w:rPr>
          <w:color w:val="5A5A5A"/>
          <w:sz w:val="15"/>
        </w:rPr>
        <w:t xml:space="preserve"> · current company / identity page · rating B · accessed 2026-07-26</w:t>
      </w:r>
    </w:p>
    <w:p>
      <w:pPr>
        <w:spacing w:after="40"/>
      </w:pPr>
      <w:r>
        <w:rPr>
          <w:b/>
          <w:sz w:val="16"/>
        </w:rPr>
        <w:t>S118 · Kidd Roofing Austin — Kidd Roofing</w:t>
      </w:r>
    </w:p>
    <w:p>
      <w:pPr>
        <w:spacing w:after="60"/>
        <w:ind w:left="288"/>
      </w:pPr>
      <w:hyperlink r:id="rId89">
        <w:r>
          <w:rPr>
            <w:color w:val="1D5A3A"/>
            <w:u w:val="single"/>
          </w:rPr>
          <w:t>https://www.kiddroof.com/austin-roofing/</w:t>
        </w:r>
      </w:hyperlink>
      <w:r>
        <w:rPr>
          <w:color w:val="5A5A5A"/>
          <w:sz w:val="15"/>
        </w:rPr>
        <w:t xml:space="preserve"> · current company / identity page · rating B · accessed 2026-07-26</w:t>
      </w:r>
    </w:p>
    <w:p>
      <w:pPr>
        <w:spacing w:after="40"/>
      </w:pPr>
      <w:r>
        <w:rPr>
          <w:b/>
          <w:sz w:val="16"/>
        </w:rPr>
        <w:t>S119 · Kidd Roofing BBB Profile — Better Business Bureau</w:t>
      </w:r>
    </w:p>
    <w:p>
      <w:pPr>
        <w:spacing w:after="60"/>
        <w:ind w:left="288"/>
      </w:pPr>
      <w:hyperlink r:id="rId90">
        <w:r>
          <w:rPr>
            <w:color w:val="1D5A3A"/>
            <w:u w:val="single"/>
          </w:rPr>
          <w:t>https://www.bbb.org/us/tx/austin/profile/roofing-contractors/kidd-roofing-0825-43065</w:t>
        </w:r>
      </w:hyperlink>
      <w:r>
        <w:rPr>
          <w:color w:val="5A5A5A"/>
          <w:sz w:val="15"/>
        </w:rPr>
        <w:t xml:space="preserve"> · current company / identity page · rating B · accessed 2026-07-26</w:t>
      </w:r>
    </w:p>
    <w:p>
      <w:pPr>
        <w:spacing w:after="40"/>
      </w:pPr>
      <w:r>
        <w:rPr>
          <w:b/>
          <w:sz w:val="16"/>
        </w:rPr>
        <w:t>S120 · Hall Roofing &amp; Construction — Hall Roofing &amp; Construction</w:t>
      </w:r>
    </w:p>
    <w:p>
      <w:pPr>
        <w:spacing w:after="60"/>
        <w:ind w:left="288"/>
      </w:pPr>
      <w:hyperlink r:id="rId91">
        <w:r>
          <w:rPr>
            <w:color w:val="1D5A3A"/>
            <w:u w:val="single"/>
          </w:rPr>
          <w:t>https://hallroofingtx.com/</w:t>
        </w:r>
      </w:hyperlink>
      <w:r>
        <w:rPr>
          <w:color w:val="5A5A5A"/>
          <w:sz w:val="15"/>
        </w:rPr>
        <w:t xml:space="preserve"> · current company / identity page · rating B · accessed 2026-07-26</w:t>
      </w:r>
    </w:p>
    <w:p>
      <w:pPr>
        <w:spacing w:after="40"/>
      </w:pPr>
      <w:r>
        <w:rPr>
          <w:b/>
          <w:sz w:val="16"/>
        </w:rPr>
        <w:t>S121 · RoofCrafters Austin — RoofCrafters</w:t>
      </w:r>
    </w:p>
    <w:p>
      <w:pPr>
        <w:spacing w:after="60"/>
        <w:ind w:left="288"/>
      </w:pPr>
      <w:hyperlink r:id="rId92">
        <w:r>
          <w:rPr>
            <w:color w:val="1D5A3A"/>
            <w:u w:val="single"/>
          </w:rPr>
          <w:t>https://roofcrafters.com/austin/</w:t>
        </w:r>
      </w:hyperlink>
      <w:r>
        <w:rPr>
          <w:color w:val="5A5A5A"/>
          <w:sz w:val="15"/>
        </w:rPr>
        <w:t xml:space="preserve"> · current company / identity page · rating B · accessed 2026-07-26</w:t>
      </w:r>
    </w:p>
    <w:p>
      <w:pPr>
        <w:spacing w:after="40"/>
      </w:pPr>
      <w:r>
        <w:rPr>
          <w:b/>
          <w:sz w:val="16"/>
        </w:rPr>
        <w:t>S122 · RoofCrafters GAF Profile — GAF</w:t>
      </w:r>
    </w:p>
    <w:p>
      <w:pPr>
        <w:spacing w:after="60"/>
        <w:ind w:left="288"/>
      </w:pPr>
      <w:hyperlink r:id="rId93">
        <w:r>
          <w:rPr>
            <w:color w:val="1D5A3A"/>
            <w:u w:val="single"/>
          </w:rPr>
          <w:t>https://www.gaf.com/en-us/roofing-contractors/residential/usa/tx/leander/roofcrafters-inc-1101351</w:t>
        </w:r>
      </w:hyperlink>
      <w:r>
        <w:rPr>
          <w:color w:val="5A5A5A"/>
          <w:sz w:val="15"/>
        </w:rPr>
        <w:t xml:space="preserve"> · current company / identity page · rating B · accessed 2026-07-26</w:t>
      </w:r>
    </w:p>
    <w:p>
      <w:pPr>
        <w:spacing w:after="40"/>
      </w:pPr>
      <w:r>
        <w:rPr>
          <w:b/>
          <w:sz w:val="16"/>
        </w:rPr>
        <w:t>S123 · Longhorn Roofing — Longhorn Roofing</w:t>
      </w:r>
    </w:p>
    <w:p>
      <w:pPr>
        <w:spacing w:after="60"/>
        <w:ind w:left="288"/>
      </w:pPr>
      <w:hyperlink r:id="rId94">
        <w:r>
          <w:rPr>
            <w:color w:val="1D5A3A"/>
            <w:u w:val="single"/>
          </w:rPr>
          <w:t>https://www.longhornroofing.com/</w:t>
        </w:r>
      </w:hyperlink>
      <w:r>
        <w:rPr>
          <w:color w:val="5A5A5A"/>
          <w:sz w:val="15"/>
        </w:rPr>
        <w:t xml:space="preserve"> · current company / identity page · rating B · accessed 2026-07-26</w:t>
      </w:r>
    </w:p>
    <w:p>
      <w:pPr>
        <w:spacing w:after="40"/>
      </w:pPr>
      <w:r>
        <w:rPr>
          <w:b/>
          <w:sz w:val="16"/>
        </w:rPr>
        <w:t>S124 · Anderson Roofing &amp; Construction — Anderson Roofing &amp; Construction</w:t>
      </w:r>
    </w:p>
    <w:p>
      <w:pPr>
        <w:spacing w:after="60"/>
        <w:ind w:left="288"/>
      </w:pPr>
      <w:hyperlink r:id="rId95">
        <w:r>
          <w:rPr>
            <w:color w:val="1D5A3A"/>
            <w:u w:val="single"/>
          </w:rPr>
          <w:t>https://andersonroofingtexas.com/</w:t>
        </w:r>
      </w:hyperlink>
      <w:r>
        <w:rPr>
          <w:color w:val="5A5A5A"/>
          <w:sz w:val="15"/>
        </w:rPr>
        <w:t xml:space="preserve"> · current company / identity page · rating B · accessed 2026-07-26</w:t>
      </w:r>
    </w:p>
    <w:p>
      <w:pPr>
        <w:spacing w:after="40"/>
      </w:pPr>
      <w:r>
        <w:rPr>
          <w:b/>
          <w:sz w:val="16"/>
        </w:rPr>
        <w:t>S125 · Silver Creek Exterior &amp; Construction — Silver Creek Exterior &amp; Construction</w:t>
      </w:r>
    </w:p>
    <w:p>
      <w:pPr>
        <w:spacing w:after="60"/>
        <w:ind w:left="288"/>
      </w:pPr>
      <w:hyperlink r:id="rId96">
        <w:r>
          <w:rPr>
            <w:color w:val="1D5A3A"/>
            <w:u w:val="single"/>
          </w:rPr>
          <w:t>https://scecroofs.com/</w:t>
        </w:r>
      </w:hyperlink>
      <w:r>
        <w:rPr>
          <w:color w:val="5A5A5A"/>
          <w:sz w:val="15"/>
        </w:rPr>
        <w:t xml:space="preserve"> · current company / identity page · rating B · accessed 2026-07-26</w:t>
      </w:r>
    </w:p>
    <w:p>
      <w:pPr>
        <w:spacing w:after="40"/>
      </w:pPr>
      <w:r>
        <w:rPr>
          <w:b/>
          <w:sz w:val="16"/>
        </w:rPr>
        <w:t>S126 · Wilson Roofing — Wilson Roofing</w:t>
      </w:r>
    </w:p>
    <w:p>
      <w:pPr>
        <w:spacing w:after="60"/>
        <w:ind w:left="288"/>
      </w:pPr>
      <w:hyperlink r:id="rId97">
        <w:r>
          <w:rPr>
            <w:color w:val="1D5A3A"/>
            <w:u w:val="single"/>
          </w:rPr>
          <w:t>https://wilsonroofing.com/</w:t>
        </w:r>
      </w:hyperlink>
      <w:r>
        <w:rPr>
          <w:color w:val="5A5A5A"/>
          <w:sz w:val="15"/>
        </w:rPr>
        <w:t xml:space="preserve"> · current company / identity page · rating B · accessed 2026-07-26</w:t>
      </w:r>
    </w:p>
    <w:p>
      <w:pPr>
        <w:spacing w:after="40"/>
      </w:pPr>
      <w:r>
        <w:rPr>
          <w:b/>
          <w:sz w:val="16"/>
        </w:rPr>
        <w:t>S127 · Austin Roofing and Construction — Austin Roofing and Construction</w:t>
      </w:r>
    </w:p>
    <w:p>
      <w:pPr>
        <w:spacing w:after="60"/>
        <w:ind w:left="288"/>
      </w:pPr>
      <w:hyperlink r:id="rId98">
        <w:r>
          <w:rPr>
            <w:color w:val="1D5A3A"/>
            <w:u w:val="single"/>
          </w:rPr>
          <w:t>https://www.austinroofingandconstruction.com/</w:t>
        </w:r>
      </w:hyperlink>
      <w:r>
        <w:rPr>
          <w:color w:val="5A5A5A"/>
          <w:sz w:val="15"/>
        </w:rPr>
        <w:t xml:space="preserve"> · current company / identity page · rating B · accessed 2026-07-26</w:t>
      </w:r>
    </w:p>
    <w:p>
      <w:pPr>
        <w:spacing w:after="40"/>
      </w:pPr>
      <w:r>
        <w:rPr>
          <w:b/>
          <w:sz w:val="16"/>
        </w:rPr>
        <w:t>S128 · Olshan Foundation Repair Austin — Olshan Foundation Repair</w:t>
      </w:r>
    </w:p>
    <w:p>
      <w:pPr>
        <w:spacing w:after="60"/>
        <w:ind w:left="288"/>
      </w:pPr>
      <w:hyperlink r:id="rId99">
        <w:r>
          <w:rPr>
            <w:color w:val="1D5A3A"/>
            <w:u w:val="single"/>
          </w:rPr>
          <w:t>https://www.olshanfoundation.com/regions/texas/austin/</w:t>
        </w:r>
      </w:hyperlink>
      <w:r>
        <w:rPr>
          <w:color w:val="5A5A5A"/>
          <w:sz w:val="15"/>
        </w:rPr>
        <w:t xml:space="preserve"> · current company / identity page · rating B · accessed 2026-07-26</w:t>
      </w:r>
    </w:p>
    <w:p>
      <w:pPr>
        <w:spacing w:after="40"/>
      </w:pPr>
      <w:r>
        <w:rPr>
          <w:b/>
          <w:sz w:val="16"/>
        </w:rPr>
        <w:t>S129 · Ram Jack Austin — Ram Jack</w:t>
      </w:r>
    </w:p>
    <w:p>
      <w:pPr>
        <w:spacing w:after="60"/>
        <w:ind w:left="288"/>
      </w:pPr>
      <w:hyperlink r:id="rId100">
        <w:r>
          <w:rPr>
            <w:color w:val="1D5A3A"/>
            <w:u w:val="single"/>
          </w:rPr>
          <w:t>https://www.ramjack.com/austin/</w:t>
        </w:r>
      </w:hyperlink>
      <w:r>
        <w:rPr>
          <w:color w:val="5A5A5A"/>
          <w:sz w:val="15"/>
        </w:rPr>
        <w:t xml:space="preserve"> · current company / identity page · rating B · accessed 2026-07-26</w:t>
      </w:r>
    </w:p>
    <w:p>
      <w:pPr>
        <w:spacing w:after="40"/>
      </w:pPr>
      <w:r>
        <w:rPr>
          <w:b/>
          <w:sz w:val="16"/>
        </w:rPr>
        <w:t>S130 · CenTex Foundation Repair — CenTex Foundation Repair</w:t>
      </w:r>
    </w:p>
    <w:p>
      <w:pPr>
        <w:spacing w:after="60"/>
        <w:ind w:left="288"/>
      </w:pPr>
      <w:hyperlink r:id="rId101">
        <w:r>
          <w:rPr>
            <w:color w:val="1D5A3A"/>
            <w:u w:val="single"/>
          </w:rPr>
          <w:t>https://centexfoundationrepair.com/</w:t>
        </w:r>
      </w:hyperlink>
      <w:r>
        <w:rPr>
          <w:color w:val="5A5A5A"/>
          <w:sz w:val="15"/>
        </w:rPr>
        <w:t xml:space="preserve"> · current company / identity page · rating B · accessed 2026-07-26</w:t>
      </w:r>
    </w:p>
    <w:p>
      <w:pPr>
        <w:spacing w:after="40"/>
      </w:pPr>
      <w:r>
        <w:rPr>
          <w:b/>
          <w:sz w:val="16"/>
        </w:rPr>
        <w:t>S131 · Douglas Foundation Repair — Douglas Foundation Repair</w:t>
      </w:r>
    </w:p>
    <w:p>
      <w:pPr>
        <w:spacing w:after="60"/>
        <w:ind w:left="288"/>
      </w:pPr>
      <w:hyperlink r:id="rId102">
        <w:r>
          <w:rPr>
            <w:color w:val="1D5A3A"/>
            <w:u w:val="single"/>
          </w:rPr>
          <w:t>https://douglasfoundationrepair.com/</w:t>
        </w:r>
      </w:hyperlink>
      <w:r>
        <w:rPr>
          <w:color w:val="5A5A5A"/>
          <w:sz w:val="15"/>
        </w:rPr>
        <w:t xml:space="preserve"> · current company / identity page · rating B · accessed 2026-07-26</w:t>
      </w:r>
    </w:p>
    <w:p>
      <w:pPr>
        <w:spacing w:after="40"/>
      </w:pPr>
      <w:r>
        <w:rPr>
          <w:b/>
          <w:sz w:val="16"/>
        </w:rPr>
        <w:t>S132 · Advanced Foundation Repair Austin — Advanced Foundation Repair</w:t>
      </w:r>
    </w:p>
    <w:p>
      <w:pPr>
        <w:spacing w:after="60"/>
        <w:ind w:left="288"/>
      </w:pPr>
      <w:hyperlink r:id="rId103">
        <w:r>
          <w:rPr>
            <w:color w:val="1D5A3A"/>
            <w:u w:val="single"/>
          </w:rPr>
          <w:t>https://foundationrepairs.com/texas/austin-foundation-repair/</w:t>
        </w:r>
      </w:hyperlink>
      <w:r>
        <w:rPr>
          <w:color w:val="5A5A5A"/>
          <w:sz w:val="15"/>
        </w:rPr>
        <w:t xml:space="preserve"> · current company / identity page · rating B · accessed 2026-07-26</w:t>
      </w:r>
    </w:p>
    <w:p>
      <w:pPr>
        <w:spacing w:after="40"/>
      </w:pPr>
      <w:r>
        <w:rPr>
          <w:b/>
          <w:sz w:val="16"/>
        </w:rPr>
        <w:t>S133 · Advanced Foundation Repair BBB Profile — Better Business Bureau</w:t>
      </w:r>
    </w:p>
    <w:p>
      <w:pPr>
        <w:spacing w:after="60"/>
        <w:ind w:left="288"/>
      </w:pPr>
      <w:hyperlink r:id="rId104">
        <w:r>
          <w:rPr>
            <w:color w:val="1D5A3A"/>
            <w:u w:val="single"/>
          </w:rPr>
          <w:t>https://www.bbb.org/us/tx/dallas/profile/foundation-contractors/advanced-foundation-repair-lp-0875-19000054</w:t>
        </w:r>
      </w:hyperlink>
      <w:r>
        <w:rPr>
          <w:color w:val="5A5A5A"/>
          <w:sz w:val="15"/>
        </w:rPr>
        <w:t xml:space="preserve"> · current company / identity page · rating B · accessed 2026-07-26</w:t>
      </w:r>
    </w:p>
    <w:p>
      <w:pPr>
        <w:spacing w:after="40"/>
      </w:pPr>
      <w:r>
        <w:rPr>
          <w:b/>
          <w:sz w:val="16"/>
        </w:rPr>
        <w:t>S134 · Baird Foundation Repair - About — Baird Foundation Repair</w:t>
      </w:r>
    </w:p>
    <w:p>
      <w:pPr>
        <w:spacing w:after="60"/>
        <w:ind w:left="288"/>
      </w:pPr>
      <w:hyperlink r:id="rId105">
        <w:r>
          <w:rPr>
            <w:color w:val="1D5A3A"/>
            <w:u w:val="single"/>
          </w:rPr>
          <w:t>https://www.bairdfoundationrepair.com/about-us/</w:t>
        </w:r>
      </w:hyperlink>
      <w:r>
        <w:rPr>
          <w:color w:val="5A5A5A"/>
          <w:sz w:val="15"/>
        </w:rPr>
        <w:t xml:space="preserve"> · current company / identity page · rating B · accessed 2026-07-26</w:t>
      </w:r>
    </w:p>
    <w:p>
      <w:pPr>
        <w:spacing w:after="40"/>
      </w:pPr>
      <w:r>
        <w:rPr>
          <w:b/>
          <w:sz w:val="16"/>
        </w:rPr>
        <w:t>S135 · G.L. Hunt Foundation Repair — G.L. Hunt Foundation Repair</w:t>
      </w:r>
    </w:p>
    <w:p>
      <w:pPr>
        <w:spacing w:after="60"/>
        <w:ind w:left="288"/>
      </w:pPr>
      <w:hyperlink r:id="rId106">
        <w:r>
          <w:rPr>
            <w:color w:val="1D5A3A"/>
            <w:u w:val="single"/>
          </w:rPr>
          <w:t>https://glhunt.com/</w:t>
        </w:r>
      </w:hyperlink>
      <w:r>
        <w:rPr>
          <w:color w:val="5A5A5A"/>
          <w:sz w:val="15"/>
        </w:rPr>
        <w:t xml:space="preserve"> · current company / identity page · rating B · accessed 2026-07-26</w:t>
      </w:r>
    </w:p>
    <w:p>
      <w:pPr>
        <w:spacing w:after="40"/>
      </w:pPr>
      <w:r>
        <w:rPr>
          <w:b/>
          <w:sz w:val="16"/>
        </w:rPr>
        <w:t>S136 · All in One Foundation Repair — All in One Foundation Repair</w:t>
      </w:r>
    </w:p>
    <w:p>
      <w:pPr>
        <w:spacing w:after="60"/>
        <w:ind w:left="288"/>
      </w:pPr>
      <w:hyperlink r:id="rId107">
        <w:r>
          <w:rPr>
            <w:color w:val="1D5A3A"/>
            <w:u w:val="single"/>
          </w:rPr>
          <w:t>https://allinonefoundationrepair.com/</w:t>
        </w:r>
      </w:hyperlink>
      <w:r>
        <w:rPr>
          <w:color w:val="5A5A5A"/>
          <w:sz w:val="15"/>
        </w:rPr>
        <w:t xml:space="preserve"> · current company / identity page · rating B · accessed 2026-07-26</w:t>
      </w:r>
    </w:p>
    <w:p>
      <w:pPr>
        <w:spacing w:after="40"/>
      </w:pPr>
      <w:r>
        <w:rPr>
          <w:b/>
          <w:sz w:val="16"/>
        </w:rPr>
        <w:t>S137 · All in One Foundation Repair BBB Profile — Better Business Bureau</w:t>
      </w:r>
    </w:p>
    <w:p>
      <w:pPr>
        <w:spacing w:after="60"/>
        <w:ind w:left="288"/>
      </w:pPr>
      <w:hyperlink r:id="rId108">
        <w:r>
          <w:rPr>
            <w:color w:val="1D5A3A"/>
            <w:u w:val="single"/>
          </w:rPr>
          <w:t>https://www.bbb.org/us/tx/austin/profile/foundation-contractors/all-in-one-foundation-repair-0825-90019893</w:t>
        </w:r>
      </w:hyperlink>
      <w:r>
        <w:rPr>
          <w:color w:val="5A5A5A"/>
          <w:sz w:val="15"/>
        </w:rPr>
        <w:t xml:space="preserve"> · current company / identity page · rating B · accessed 2026-07-26</w:t>
      </w:r>
    </w:p>
    <w:p>
      <w:pPr>
        <w:spacing w:after="40"/>
      </w:pPr>
      <w:r>
        <w:rPr>
          <w:b/>
          <w:sz w:val="16"/>
        </w:rPr>
        <w:t>S138 · Bats Foundation Repair - About — Bats Foundation Repair</w:t>
      </w:r>
    </w:p>
    <w:p>
      <w:pPr>
        <w:spacing w:after="60"/>
        <w:ind w:left="288"/>
      </w:pPr>
      <w:hyperlink r:id="rId109">
        <w:r>
          <w:rPr>
            <w:color w:val="1D5A3A"/>
            <w:u w:val="single"/>
          </w:rPr>
          <w:t>https://batsfoundationrepair.com/about-us/</w:t>
        </w:r>
      </w:hyperlink>
      <w:r>
        <w:rPr>
          <w:color w:val="5A5A5A"/>
          <w:sz w:val="15"/>
        </w:rPr>
        <w:t xml:space="preserve"> · current company / identity page · rating B · accessed 2026-07-26</w:t>
      </w:r>
    </w:p>
    <w:p>
      <w:pPr>
        <w:spacing w:after="40"/>
      </w:pPr>
      <w:r>
        <w:rPr>
          <w:b/>
          <w:sz w:val="16"/>
        </w:rPr>
        <w:t>S139 · Quality Foundation Repair Austin — Quality Foundation Repair</w:t>
      </w:r>
    </w:p>
    <w:p>
      <w:pPr>
        <w:spacing w:after="60"/>
        <w:ind w:left="288"/>
      </w:pPr>
      <w:hyperlink r:id="rId110">
        <w:r>
          <w:rPr>
            <w:color w:val="1D5A3A"/>
            <w:u w:val="single"/>
          </w:rPr>
          <w:t>https://qualityfoundationrepairaustin.com/</w:t>
        </w:r>
      </w:hyperlink>
      <w:r>
        <w:rPr>
          <w:color w:val="5A5A5A"/>
          <w:sz w:val="15"/>
        </w:rPr>
        <w:t xml:space="preserve"> · current company / identity page · rating B · accessed 2026-07-26</w:t>
      </w:r>
    </w:p>
    <w:p>
      <w:pPr>
        <w:spacing w:after="40"/>
      </w:pPr>
      <w:r>
        <w:rPr>
          <w:b/>
          <w:sz w:val="16"/>
        </w:rPr>
        <w:t>S140 · Quality Foundation Repair BBB Profile — Better Business Bureau</w:t>
      </w:r>
    </w:p>
    <w:p>
      <w:pPr>
        <w:spacing w:after="60"/>
        <w:ind w:left="288"/>
      </w:pPr>
      <w:hyperlink r:id="rId111">
        <w:r>
          <w:rPr>
            <w:color w:val="1D5A3A"/>
            <w:u w:val="single"/>
          </w:rPr>
          <w:t>https://www.bbb.org/us/tx/austin/profile/foundation-contractors/quality-foundation-repair-0825-90081815</w:t>
        </w:r>
      </w:hyperlink>
      <w:r>
        <w:rPr>
          <w:color w:val="5A5A5A"/>
          <w:sz w:val="15"/>
        </w:rPr>
        <w:t xml:space="preserve"> · current company / identity page · rating B · accessed 2026-07-26</w:t>
      </w:r>
    </w:p>
    <w:p>
      <w:pPr>
        <w:spacing w:after="40"/>
      </w:pPr>
      <w:r>
        <w:rPr>
          <w:b/>
          <w:sz w:val="16"/>
        </w:rPr>
        <w:t>S141 · Quality Foundation Repair Founder Profile — ArcSite</w:t>
      </w:r>
    </w:p>
    <w:p>
      <w:pPr>
        <w:spacing w:after="60"/>
        <w:ind w:left="288"/>
      </w:pPr>
      <w:hyperlink r:id="rId112">
        <w:r>
          <w:rPr>
            <w:color w:val="1D5A3A"/>
            <w:u w:val="single"/>
          </w:rPr>
          <w:t>https://www.arcsite.com/blog/quality-foundation-repair</w:t>
        </w:r>
      </w:hyperlink>
      <w:r>
        <w:rPr>
          <w:color w:val="5A5A5A"/>
          <w:sz w:val="15"/>
        </w:rPr>
        <w:t xml:space="preserve"> · current company / identity page · rating C · accessed 2026-07-26</w:t>
      </w:r>
    </w:p>
    <w:p>
      <w:pPr>
        <w:spacing w:after="40"/>
      </w:pPr>
      <w:r>
        <w:rPr>
          <w:b/>
          <w:sz w:val="16"/>
        </w:rPr>
        <w:t>S142 · Bruecher Foundation — Bruecher Foundation</w:t>
      </w:r>
    </w:p>
    <w:p>
      <w:pPr>
        <w:spacing w:after="60"/>
        <w:ind w:left="288"/>
      </w:pPr>
      <w:hyperlink r:id="rId113">
        <w:r>
          <w:rPr>
            <w:color w:val="1D5A3A"/>
            <w:u w:val="single"/>
          </w:rPr>
          <w:t>https://www.bruecherfoundation.com/</w:t>
        </w:r>
      </w:hyperlink>
      <w:r>
        <w:rPr>
          <w:color w:val="5A5A5A"/>
          <w:sz w:val="15"/>
        </w:rPr>
        <w:t xml:space="preserve"> · current company / identity page · rating B · accessed 2026-07-26</w:t>
      </w:r>
    </w:p>
    <w:p>
      <w:pPr>
        <w:spacing w:after="40"/>
      </w:pPr>
      <w:r>
        <w:rPr>
          <w:b/>
          <w:sz w:val="16"/>
        </w:rPr>
        <w:t>S143 · A-Tex Pest Management — A-Tex Pest Management</w:t>
      </w:r>
    </w:p>
    <w:p>
      <w:pPr>
        <w:spacing w:after="60"/>
        <w:ind w:left="288"/>
      </w:pPr>
      <w:hyperlink r:id="rId114">
        <w:r>
          <w:rPr>
            <w:color w:val="1D5A3A"/>
            <w:u w:val="single"/>
          </w:rPr>
          <w:t>https://atexpm.com/</w:t>
        </w:r>
      </w:hyperlink>
      <w:r>
        <w:rPr>
          <w:color w:val="5A5A5A"/>
          <w:sz w:val="15"/>
        </w:rPr>
        <w:t xml:space="preserve"> · current company / identity page · rating B · accessed 2026-07-26</w:t>
      </w:r>
    </w:p>
    <w:p>
      <w:pPr>
        <w:spacing w:after="40"/>
      </w:pPr>
      <w:r>
        <w:rPr>
          <w:b/>
          <w:sz w:val="16"/>
        </w:rPr>
        <w:t>S144 · A-Tex Leadership — A-Tex Pest Management</w:t>
      </w:r>
    </w:p>
    <w:p>
      <w:pPr>
        <w:spacing w:after="60"/>
        <w:ind w:left="288"/>
      </w:pPr>
      <w:hyperlink r:id="rId115">
        <w:r>
          <w:rPr>
            <w:color w:val="1D5A3A"/>
            <w:u w:val="single"/>
          </w:rPr>
          <w:t>https://www.linkedin.com/company/a-tex-pest-management/</w:t>
        </w:r>
      </w:hyperlink>
      <w:r>
        <w:rPr>
          <w:color w:val="5A5A5A"/>
          <w:sz w:val="15"/>
        </w:rPr>
        <w:t xml:space="preserve"> · current company / identity page · rating C · accessed 2026-07-26</w:t>
      </w:r>
    </w:p>
    <w:p>
      <w:pPr>
        <w:spacing w:after="40"/>
      </w:pPr>
      <w:r>
        <w:rPr>
          <w:b/>
          <w:sz w:val="16"/>
        </w:rPr>
        <w:t>S145 · HomeTeam Pest Defense Austin — HomeTeam Pest Defense</w:t>
      </w:r>
    </w:p>
    <w:p>
      <w:pPr>
        <w:spacing w:after="60"/>
        <w:ind w:left="288"/>
      </w:pPr>
      <w:hyperlink r:id="rId116">
        <w:r>
          <w:rPr>
            <w:color w:val="1D5A3A"/>
            <w:u w:val="single"/>
          </w:rPr>
          <w:t>https://pestdefense.com/austin/</w:t>
        </w:r>
      </w:hyperlink>
      <w:r>
        <w:rPr>
          <w:color w:val="5A5A5A"/>
          <w:sz w:val="15"/>
        </w:rPr>
        <w:t xml:space="preserve"> · current company / identity page · rating B · accessed 2026-07-26</w:t>
      </w:r>
    </w:p>
    <w:p>
      <w:pPr>
        <w:spacing w:after="40"/>
      </w:pPr>
      <w:r>
        <w:rPr>
          <w:b/>
          <w:sz w:val="16"/>
        </w:rPr>
        <w:t>S146 · Bulwark Exterminating Austin — Bulwark Exterminating</w:t>
      </w:r>
    </w:p>
    <w:p>
      <w:pPr>
        <w:spacing w:after="60"/>
        <w:ind w:left="288"/>
      </w:pPr>
      <w:hyperlink r:id="rId117">
        <w:r>
          <w:rPr>
            <w:color w:val="1D5A3A"/>
            <w:u w:val="single"/>
          </w:rPr>
          <w:t>https://bulwarkpestcontrol.com/locations/austin/</w:t>
        </w:r>
      </w:hyperlink>
      <w:r>
        <w:rPr>
          <w:color w:val="5A5A5A"/>
          <w:sz w:val="15"/>
        </w:rPr>
        <w:t xml:space="preserve"> · current company / identity page · rating B · accessed 2026-07-26</w:t>
      </w:r>
    </w:p>
    <w:p>
      <w:pPr>
        <w:spacing w:after="40"/>
      </w:pPr>
      <w:r>
        <w:rPr>
          <w:b/>
          <w:sz w:val="16"/>
        </w:rPr>
        <w:t>S147 · Berrett Home Services Austin Pest Control — Berrett Home Services</w:t>
      </w:r>
    </w:p>
    <w:p>
      <w:pPr>
        <w:spacing w:after="60"/>
        <w:ind w:left="288"/>
      </w:pPr>
      <w:hyperlink r:id="rId118">
        <w:r>
          <w:rPr>
            <w:color w:val="1D5A3A"/>
            <w:u w:val="single"/>
          </w:rPr>
          <w:t>https://berretthomeservices.com/austin-texas/pest-control/</w:t>
        </w:r>
      </w:hyperlink>
      <w:r>
        <w:rPr>
          <w:color w:val="5A5A5A"/>
          <w:sz w:val="15"/>
        </w:rPr>
        <w:t xml:space="preserve"> · current company / identity page · rating B · accessed 2026-07-26</w:t>
      </w:r>
    </w:p>
    <w:p>
      <w:pPr>
        <w:spacing w:after="40"/>
      </w:pPr>
      <w:r>
        <w:rPr>
          <w:b/>
          <w:sz w:val="16"/>
        </w:rPr>
        <w:t>S148 · Berrett Pest Control BBB Profile — Better Business Bureau</w:t>
      </w:r>
    </w:p>
    <w:p>
      <w:pPr>
        <w:spacing w:after="60"/>
        <w:ind w:left="288"/>
      </w:pPr>
      <w:hyperlink r:id="rId119">
        <w:r>
          <w:rPr>
            <w:color w:val="1D5A3A"/>
            <w:u w:val="single"/>
          </w:rPr>
          <w:t>https://www.bbb.org/us/tx/garland/profile/pest-control/berrett-pest-control-0875-90510549</w:t>
        </w:r>
      </w:hyperlink>
      <w:r>
        <w:rPr>
          <w:color w:val="5A5A5A"/>
          <w:sz w:val="15"/>
        </w:rPr>
        <w:t xml:space="preserve"> · current company / identity page · rating B · accessed 2026-07-26</w:t>
      </w:r>
    </w:p>
    <w:p>
      <w:pPr>
        <w:spacing w:after="40"/>
      </w:pPr>
      <w:r>
        <w:rPr>
          <w:b/>
          <w:sz w:val="16"/>
        </w:rPr>
        <w:t>S149 · Alta Pest Control Austin — Alta Pest Control</w:t>
      </w:r>
    </w:p>
    <w:p>
      <w:pPr>
        <w:spacing w:after="60"/>
        <w:ind w:left="288"/>
      </w:pPr>
      <w:hyperlink r:id="rId120">
        <w:r>
          <w:rPr>
            <w:color w:val="1D5A3A"/>
            <w:u w:val="single"/>
          </w:rPr>
          <w:t>https://www.altapestcontrol.com/locations/austin-tx</w:t>
        </w:r>
      </w:hyperlink>
      <w:r>
        <w:rPr>
          <w:color w:val="5A5A5A"/>
          <w:sz w:val="15"/>
        </w:rPr>
        <w:t xml:space="preserve"> · current company / identity page · rating B · accessed 2026-07-26</w:t>
      </w:r>
    </w:p>
    <w:p>
      <w:pPr>
        <w:spacing w:after="40"/>
      </w:pPr>
      <w:r>
        <w:rPr>
          <w:b/>
          <w:sz w:val="16"/>
        </w:rPr>
        <w:t>S150 · Romney Pest Control Austin — Romney Pest Control</w:t>
      </w:r>
    </w:p>
    <w:p>
      <w:pPr>
        <w:spacing w:after="60"/>
        <w:ind w:left="288"/>
      </w:pPr>
      <w:hyperlink r:id="rId121">
        <w:r>
          <w:rPr>
            <w:color w:val="1D5A3A"/>
            <w:u w:val="single"/>
          </w:rPr>
          <w:t>https://romneypestcontrol.com/austin/</w:t>
        </w:r>
      </w:hyperlink>
      <w:r>
        <w:rPr>
          <w:color w:val="5A5A5A"/>
          <w:sz w:val="15"/>
        </w:rPr>
        <w:t xml:space="preserve"> · current company / identity page · rating B · accessed 2026-07-26</w:t>
      </w:r>
    </w:p>
    <w:p>
      <w:pPr>
        <w:spacing w:after="40"/>
      </w:pPr>
      <w:r>
        <w:rPr>
          <w:b/>
          <w:sz w:val="16"/>
        </w:rPr>
        <w:t>S151 · Pest Wranglers — Pest Wranglers</w:t>
      </w:r>
    </w:p>
    <w:p>
      <w:pPr>
        <w:spacing w:after="60"/>
        <w:ind w:left="288"/>
      </w:pPr>
      <w:hyperlink r:id="rId122">
        <w:r>
          <w:rPr>
            <w:color w:val="1D5A3A"/>
            <w:u w:val="single"/>
          </w:rPr>
          <w:t>https://pestwranglers.com/</w:t>
        </w:r>
      </w:hyperlink>
      <w:r>
        <w:rPr>
          <w:color w:val="5A5A5A"/>
          <w:sz w:val="15"/>
        </w:rPr>
        <w:t xml:space="preserve"> · current company / identity page · rating B · accessed 2026-07-26</w:t>
      </w:r>
    </w:p>
    <w:p>
      <w:pPr>
        <w:spacing w:after="40"/>
      </w:pPr>
      <w:r>
        <w:rPr>
          <w:b/>
          <w:sz w:val="16"/>
        </w:rPr>
        <w:t>S152 · Stride Pest Control — Stride Pest Control</w:t>
      </w:r>
    </w:p>
    <w:p>
      <w:pPr>
        <w:spacing w:after="60"/>
        <w:ind w:left="288"/>
      </w:pPr>
      <w:hyperlink r:id="rId123">
        <w:r>
          <w:rPr>
            <w:color w:val="1D5A3A"/>
            <w:u w:val="single"/>
          </w:rPr>
          <w:t>https://stridepestcontrol.com/</w:t>
        </w:r>
      </w:hyperlink>
      <w:r>
        <w:rPr>
          <w:color w:val="5A5A5A"/>
          <w:sz w:val="15"/>
        </w:rPr>
        <w:t xml:space="preserve"> · current company / identity page · rating B · accessed 2026-07-26</w:t>
      </w:r>
    </w:p>
    <w:p>
      <w:pPr>
        <w:spacing w:after="40"/>
      </w:pPr>
      <w:r>
        <w:rPr>
          <w:b/>
          <w:sz w:val="16"/>
        </w:rPr>
        <w:t>S153 · Orkin Austin — Orkin</w:t>
      </w:r>
    </w:p>
    <w:p>
      <w:pPr>
        <w:spacing w:after="60"/>
        <w:ind w:left="288"/>
      </w:pPr>
      <w:hyperlink r:id="rId124">
        <w:r>
          <w:rPr>
            <w:color w:val="1D5A3A"/>
            <w:u w:val="single"/>
          </w:rPr>
          <w:t>https://www.orkin.com/locations/texas-tx/austin-pest-control</w:t>
        </w:r>
      </w:hyperlink>
      <w:r>
        <w:rPr>
          <w:color w:val="5A5A5A"/>
          <w:sz w:val="15"/>
        </w:rPr>
        <w:t xml:space="preserve"> · current company / identity page · rating B · accessed 2026-07-26</w:t>
      </w:r>
    </w:p>
    <w:p>
      <w:pPr>
        <w:spacing w:after="40"/>
      </w:pPr>
      <w:r>
        <w:rPr>
          <w:b/>
          <w:sz w:val="16"/>
        </w:rPr>
        <w:t>S154 · Terminix Austin — Terminix</w:t>
      </w:r>
    </w:p>
    <w:p>
      <w:pPr>
        <w:spacing w:after="60"/>
        <w:ind w:left="288"/>
      </w:pPr>
      <w:hyperlink r:id="rId125">
        <w:r>
          <w:rPr>
            <w:color w:val="1D5A3A"/>
            <w:u w:val="single"/>
          </w:rPr>
          <w:t>https://www.terminix.com/exterminators/tx/austin-pest-control/</w:t>
        </w:r>
      </w:hyperlink>
      <w:r>
        <w:rPr>
          <w:color w:val="5A5A5A"/>
          <w:sz w:val="15"/>
        </w:rPr>
        <w:t xml:space="preserve"> · current company / identity page · rating B · accessed 2026-07-26</w:t>
      </w:r>
    </w:p>
    <w:p>
      <w:pPr>
        <w:spacing w:after="40"/>
      </w:pPr>
      <w:r>
        <w:rPr>
          <w:b/>
          <w:sz w:val="16"/>
        </w:rPr>
        <w:t>S155 · Hawx Pest Control Austin — Hawx Pest Control</w:t>
      </w:r>
    </w:p>
    <w:p>
      <w:pPr>
        <w:spacing w:after="60"/>
        <w:ind w:left="288"/>
      </w:pPr>
      <w:hyperlink r:id="rId126">
        <w:r>
          <w:rPr>
            <w:color w:val="1D5A3A"/>
            <w:u w:val="single"/>
          </w:rPr>
          <w:t>https://hawxpestcontrol.com/austin-tx-pest-control/</w:t>
        </w:r>
      </w:hyperlink>
      <w:r>
        <w:rPr>
          <w:color w:val="5A5A5A"/>
          <w:sz w:val="15"/>
        </w:rPr>
        <w:t xml:space="preserve"> · current company / identity page · rating B · accessed 2026-07-26</w:t>
      </w:r>
    </w:p>
    <w:p>
      <w:pPr>
        <w:spacing w:after="40"/>
      </w:pPr>
      <w:r>
        <w:rPr>
          <w:b/>
          <w:sz w:val="16"/>
        </w:rPr>
        <w:t>S156 · Ranger Termite &amp; Pest Control — Ranger Termite &amp; Pest Control</w:t>
      </w:r>
    </w:p>
    <w:p>
      <w:pPr>
        <w:spacing w:after="60"/>
        <w:ind w:left="288"/>
      </w:pPr>
      <w:hyperlink r:id="rId127">
        <w:r>
          <w:rPr>
            <w:color w:val="1D5A3A"/>
            <w:u w:val="single"/>
          </w:rPr>
          <w:t>https://rangertermiteandpestcontrolinc.com/</w:t>
        </w:r>
      </w:hyperlink>
      <w:r>
        <w:rPr>
          <w:color w:val="5A5A5A"/>
          <w:sz w:val="15"/>
        </w:rPr>
        <w:t xml:space="preserve"> · current company / identity page · rating B · accessed 2026-07-26</w:t>
      </w:r>
    </w:p>
    <w:p>
      <w:pPr>
        <w:spacing w:after="40"/>
      </w:pPr>
      <w:r>
        <w:rPr>
          <w:b/>
          <w:sz w:val="16"/>
        </w:rPr>
        <w:t>S157 · Ranger BBB Profile — Better Business Bureau</w:t>
      </w:r>
    </w:p>
    <w:p>
      <w:pPr>
        <w:spacing w:after="60"/>
        <w:ind w:left="288"/>
      </w:pPr>
      <w:hyperlink r:id="rId128">
        <w:r>
          <w:rPr>
            <w:color w:val="1D5A3A"/>
            <w:u w:val="single"/>
          </w:rPr>
          <w:t>https://www.bbb.org/us/tx/austin/profile/pest-control/ranger-termite-pest-control-inc-0825-90002691</w:t>
        </w:r>
      </w:hyperlink>
      <w:r>
        <w:rPr>
          <w:color w:val="5A5A5A"/>
          <w:sz w:val="15"/>
        </w:rPr>
        <w:t xml:space="preserve"> · current company / identity page · rating B · accessed 2026-07-26</w:t>
      </w:r>
    </w:p>
    <w:p>
      <w:pPr>
        <w:spacing w:after="40"/>
      </w:pPr>
      <w:r>
        <w:rPr>
          <w:b/>
          <w:sz w:val="16"/>
        </w:rPr>
        <w:t>S158 · EcoShield Pest Solutions Austin — EcoShield Pest Solutions</w:t>
      </w:r>
    </w:p>
    <w:p>
      <w:pPr>
        <w:spacing w:after="60"/>
        <w:ind w:left="288"/>
      </w:pPr>
      <w:hyperlink r:id="rId129">
        <w:r>
          <w:rPr>
            <w:color w:val="1D5A3A"/>
            <w:u w:val="single"/>
          </w:rPr>
          <w:t>https://www.ecoshieldpest.com/locations/austin-tx</w:t>
        </w:r>
      </w:hyperlink>
      <w:r>
        <w:rPr>
          <w:color w:val="5A5A5A"/>
          <w:sz w:val="15"/>
        </w:rPr>
        <w:t xml:space="preserve"> · current company / identity page · rating B · accessed 2026-07-26</w:t>
      </w:r>
    </w:p>
    <w:p>
      <w:pPr>
        <w:spacing w:after="40"/>
      </w:pPr>
      <w:r>
        <w:rPr>
          <w:b/>
          <w:sz w:val="16"/>
        </w:rPr>
        <w:t>S159 · Massey Services Austin — Massey Services</w:t>
      </w:r>
    </w:p>
    <w:p>
      <w:pPr>
        <w:spacing w:after="60"/>
        <w:ind w:left="288"/>
      </w:pPr>
      <w:hyperlink r:id="rId130">
        <w:r>
          <w:rPr>
            <w:color w:val="1D5A3A"/>
            <w:u w:val="single"/>
          </w:rPr>
          <w:t>https://www.masseyservices.com/austin/</w:t>
        </w:r>
      </w:hyperlink>
      <w:r>
        <w:rPr>
          <w:color w:val="5A5A5A"/>
          <w:sz w:val="15"/>
        </w:rPr>
        <w:t xml:space="preserve"> · current company / identity page · rating B · accessed 2026-07-26</w:t>
      </w:r>
    </w:p>
    <w:p>
      <w:pPr>
        <w:spacing w:after="40"/>
      </w:pPr>
      <w:r>
        <w:rPr>
          <w:b/>
          <w:sz w:val="16"/>
        </w:rPr>
        <w:t>S160 · Massey Services - About — Massey Services</w:t>
      </w:r>
    </w:p>
    <w:p>
      <w:pPr>
        <w:spacing w:after="60"/>
        <w:ind w:left="288"/>
      </w:pPr>
      <w:hyperlink r:id="rId131">
        <w:r>
          <w:rPr>
            <w:color w:val="1D5A3A"/>
            <w:u w:val="single"/>
          </w:rPr>
          <w:t>https://www.masseyservices.com/about-us/</w:t>
        </w:r>
      </w:hyperlink>
      <w:r>
        <w:rPr>
          <w:color w:val="5A5A5A"/>
          <w:sz w:val="15"/>
        </w:rPr>
        <w:t xml:space="preserve"> · current company / identity page · rating B · accessed 2026-07-26</w:t>
      </w:r>
    </w:p>
    <w:p>
      <w:pPr>
        <w:spacing w:after="40"/>
      </w:pPr>
      <w:r>
        <w:rPr>
          <w:b/>
          <w:sz w:val="16"/>
        </w:rPr>
        <w:t>S161 · Natran Green Pest Control Austin — Natran Green Pest Control</w:t>
      </w:r>
    </w:p>
    <w:p>
      <w:pPr>
        <w:spacing w:after="60"/>
        <w:ind w:left="288"/>
      </w:pPr>
      <w:hyperlink r:id="rId132">
        <w:r>
          <w:rPr>
            <w:color w:val="1D5A3A"/>
            <w:u w:val="single"/>
          </w:rPr>
          <w:t>https://natran.com/austin-pest-control/</w:t>
        </w:r>
      </w:hyperlink>
      <w:r>
        <w:rPr>
          <w:color w:val="5A5A5A"/>
          <w:sz w:val="15"/>
        </w:rPr>
        <w:t xml:space="preserve"> · current company / identity page · rating B · accessed 2026-07-26</w:t>
      </w:r>
    </w:p>
    <w:p>
      <w:pPr>
        <w:spacing w:after="40"/>
      </w:pPr>
      <w:r>
        <w:rPr>
          <w:b/>
          <w:sz w:val="16"/>
        </w:rPr>
        <w:t>S162 · X Out Pest Services — X Out Pest Services</w:t>
      </w:r>
    </w:p>
    <w:p>
      <w:pPr>
        <w:spacing w:after="60"/>
        <w:ind w:left="288"/>
      </w:pPr>
      <w:hyperlink r:id="rId133">
        <w:r>
          <w:rPr>
            <w:color w:val="1D5A3A"/>
            <w:u w:val="single"/>
          </w:rPr>
          <w:t>https://xoutpest.com/</w:t>
        </w:r>
      </w:hyperlink>
      <w:r>
        <w:rPr>
          <w:color w:val="5A5A5A"/>
          <w:sz w:val="15"/>
        </w:rPr>
        <w:t xml:space="preserve"> · current company / identity page · rating B · accessed 2026-07-26</w:t>
      </w:r>
    </w:p>
    <w:p>
      <w:pPr>
        <w:spacing w:after="40"/>
      </w:pPr>
      <w:r>
        <w:rPr>
          <w:b/>
          <w:sz w:val="16"/>
        </w:rPr>
        <w:t>S163 · X Out Pest Services BBB Profile — Better Business Bureau</w:t>
      </w:r>
    </w:p>
    <w:p>
      <w:pPr>
        <w:spacing w:after="60"/>
        <w:ind w:left="288"/>
      </w:pPr>
      <w:hyperlink r:id="rId134">
        <w:r>
          <w:rPr>
            <w:color w:val="1D5A3A"/>
            <w:u w:val="single"/>
          </w:rPr>
          <w:t>https://www.bbb.org/us/tx/austin/profile/pest-control/x-out-pest-services-llc-0825-1000183342</w:t>
        </w:r>
      </w:hyperlink>
      <w:r>
        <w:rPr>
          <w:color w:val="5A5A5A"/>
          <w:sz w:val="15"/>
        </w:rPr>
        <w:t xml:space="preserve"> · current company / identity page · rating B · accessed 2026-07-26</w:t>
      </w:r>
    </w:p>
    <w:p>
      <w:pPr>
        <w:spacing w:after="40"/>
      </w:pPr>
      <w:r>
        <w:rPr>
          <w:b/>
          <w:sz w:val="16"/>
        </w:rPr>
        <w:t>S164 · ClearDefense Pest Control Austin — ClearDefense Pest Control</w:t>
      </w:r>
    </w:p>
    <w:p>
      <w:pPr>
        <w:spacing w:after="60"/>
        <w:ind w:left="288"/>
      </w:pPr>
      <w:hyperlink r:id="rId135">
        <w:r>
          <w:rPr>
            <w:color w:val="1D5A3A"/>
            <w:u w:val="single"/>
          </w:rPr>
          <w:t>https://cleardefensepest.com/pest-control-austin-tx/</w:t>
        </w:r>
      </w:hyperlink>
      <w:r>
        <w:rPr>
          <w:color w:val="5A5A5A"/>
          <w:sz w:val="15"/>
        </w:rPr>
        <w:t xml:space="preserve"> · current company / identity page · rating B · accessed 2026-07-26</w:t>
      </w:r>
    </w:p>
    <w:p>
      <w:pPr>
        <w:spacing w:after="40"/>
      </w:pPr>
      <w:r>
        <w:rPr>
          <w:b/>
          <w:sz w:val="16"/>
        </w:rPr>
        <w:t>S165 · Roberts Termite &amp; Pest Control — Roberts Termite &amp; Pest Control</w:t>
      </w:r>
    </w:p>
    <w:p>
      <w:pPr>
        <w:spacing w:after="60"/>
        <w:ind w:left="288"/>
      </w:pPr>
      <w:hyperlink r:id="rId136">
        <w:r>
          <w:rPr>
            <w:color w:val="1D5A3A"/>
            <w:u w:val="single"/>
          </w:rPr>
          <w:t>https://www.robertspestcontrol.com/</w:t>
        </w:r>
      </w:hyperlink>
      <w:r>
        <w:rPr>
          <w:color w:val="5A5A5A"/>
          <w:sz w:val="15"/>
        </w:rPr>
        <w:t xml:space="preserve"> · current company / identity page · rating B · accessed 2026-07-26</w:t>
      </w:r>
    </w:p>
    <w:p>
      <w:pPr>
        <w:spacing w:after="40"/>
      </w:pPr>
      <w:r>
        <w:rPr>
          <w:b/>
          <w:sz w:val="16"/>
        </w:rPr>
        <w:t>S166 · Absolute Pest Management — Absolute Pest Management</w:t>
      </w:r>
    </w:p>
    <w:p>
      <w:pPr>
        <w:spacing w:after="60"/>
        <w:ind w:left="288"/>
      </w:pPr>
      <w:hyperlink r:id="rId137">
        <w:r>
          <w:rPr>
            <w:color w:val="1D5A3A"/>
            <w:u w:val="single"/>
          </w:rPr>
          <w:t>https://www.absolutepestmgmt.com/</w:t>
        </w:r>
      </w:hyperlink>
      <w:r>
        <w:rPr>
          <w:color w:val="5A5A5A"/>
          <w:sz w:val="15"/>
        </w:rPr>
        <w:t xml:space="preserve"> · current company / identity page · rating B · accessed 2026-07-26</w:t>
      </w:r>
    </w:p>
    <w:p>
      <w:pPr>
        <w:spacing w:after="40"/>
      </w:pPr>
      <w:r>
        <w:rPr>
          <w:b/>
          <w:sz w:val="16"/>
        </w:rPr>
        <w:t>S061 · Apex Service Partners and Alpine Investors Announce Strategic Minority Investment from Apollo — Apollo</w:t>
      </w:r>
    </w:p>
    <w:p>
      <w:pPr>
        <w:spacing w:after="60"/>
        <w:ind w:left="288"/>
      </w:pPr>
      <w:hyperlink r:id="rId138">
        <w:r>
          <w:rPr>
            <w:color w:val="1D5A3A"/>
            <w:u w:val="single"/>
          </w:rPr>
          <w:t>https://www.apollo.com/insights-news/pressreleases/2026/05/apex-service-partners-and-alpine-investors-announce-strategic-mi</w:t>
        </w:r>
      </w:hyperlink>
      <w:r>
        <w:rPr>
          <w:color w:val="5A5A5A"/>
          <w:sz w:val="15"/>
        </w:rPr>
        <w:t xml:space="preserve"> · pending transaction announcement · rating A · accessed 2026-07-26</w:t>
      </w:r>
    </w:p>
    <w:p>
      <w:r>
        <w:br w:type="page"/>
      </w:r>
    </w:p>
    <w:p>
      <w:pPr>
        <w:pStyle w:val="Heading1"/>
      </w:pPr>
      <w:r>
        <w:t>Companion Files</w:t>
      </w:r>
    </w:p>
    <w:p>
      <w:pPr>
        <w:pStyle w:val="ListBullet"/>
      </w:pPr>
      <w:r>
        <w:rPr>
          <w:b/>
        </w:rPr>
        <w:t>master_brands.csv</w:t>
      </w:r>
      <w:r>
        <w:t xml:space="preserve"> — Consumer-brand roster and classification</w:t>
      </w:r>
    </w:p>
    <w:p>
      <w:pPr>
        <w:pStyle w:val="ListBullet"/>
      </w:pPr>
      <w:r>
        <w:rPr>
          <w:b/>
        </w:rPr>
        <w:t>master_entities.csv</w:t>
      </w:r>
      <w:r>
        <w:t xml:space="preserve"> — Brands, legal entities, platforms, owners and sponsors</w:t>
      </w:r>
    </w:p>
    <w:p>
      <w:pPr>
        <w:pStyle w:val="ListBullet"/>
      </w:pPr>
      <w:r>
        <w:rPr>
          <w:b/>
        </w:rPr>
        <w:t>master_relationships.csv</w:t>
      </w:r>
      <w:r>
        <w:t xml:space="preserve"> — Sourced graph edges</w:t>
      </w:r>
    </w:p>
    <w:p>
      <w:pPr>
        <w:pStyle w:val="ListBullet"/>
      </w:pPr>
      <w:r>
        <w:rPr>
          <w:b/>
        </w:rPr>
        <w:t>master_transactions.csv</w:t>
      </w:r>
      <w:r>
        <w:t xml:space="preserve"> — Transaction chronology</w:t>
      </w:r>
    </w:p>
    <w:p>
      <w:pPr>
        <w:pStyle w:val="ListBullet"/>
      </w:pPr>
      <w:r>
        <w:rPr>
          <w:b/>
        </w:rPr>
        <w:t>master_evidence.csv</w:t>
      </w:r>
      <w:r>
        <w:t xml:space="preserve"> — Source ledger</w:t>
      </w:r>
    </w:p>
    <w:p>
      <w:pPr>
        <w:pStyle w:val="ListBullet"/>
      </w:pPr>
      <w:r>
        <w:rPr>
          <w:b/>
        </w:rPr>
        <w:t>master_footprint.csv</w:t>
      </w:r>
      <w:r>
        <w:t xml:space="preserve"> — Austin presence records</w:t>
      </w:r>
    </w:p>
    <w:p>
      <w:pPr>
        <w:pStyle w:val="ListBullet"/>
      </w:pPr>
      <w:r>
        <w:rPr>
          <w:b/>
        </w:rPr>
        <w:t>master_conflicts.csv</w:t>
      </w:r>
      <w:r>
        <w:t xml:space="preserve"> — Contradictions and resolutions</w:t>
      </w:r>
    </w:p>
    <w:p>
      <w:pPr>
        <w:pStyle w:val="ListBullet"/>
      </w:pPr>
      <w:r>
        <w:rPr>
          <w:b/>
        </w:rPr>
        <w:t>master_unresolved.csv</w:t>
      </w:r>
      <w:r>
        <w:t xml:space="preserve"> — Open research questions</w:t>
      </w:r>
    </w:p>
    <w:p>
      <w:pPr>
        <w:pStyle w:val="ListBullet"/>
      </w:pPr>
      <w:r>
        <w:rPr>
          <w:b/>
        </w:rPr>
        <w:t>master_dataset.json</w:t>
      </w:r>
      <w:r>
        <w:t xml:space="preserve"> — Combined data download</w:t>
      </w:r>
    </w:p>
    <w:p>
      <w:pPr>
        <w:pStyle w:val="ListBullet"/>
      </w:pPr>
      <w:r>
        <w:rPr>
          <w:b/>
        </w:rPr>
        <w:t>graph.json</w:t>
      </w:r>
      <w:r>
        <w:t xml:space="preserve"> — Full ownership graph</w:t>
      </w:r>
    </w:p>
    <w:p>
      <w:pPr>
        <w:pStyle w:val="ListBullet"/>
      </w:pPr>
      <w:r>
        <w:rPr>
          <w:b/>
        </w:rPr>
        <w:t>ownership_graph.html</w:t>
      </w:r>
      <w:r>
        <w:t xml:space="preserve"> — Interactive layered graph</w:t>
      </w:r>
    </w:p>
    <w:p>
      <w:pPr>
        <w:pStyle w:val="ListBullet"/>
      </w:pPr>
      <w:r>
        <w:rPr>
          <w:b/>
        </w:rPr>
        <w:t>ownership_table.html</w:t>
      </w:r>
      <w:r>
        <w:t xml:space="preserve"> — Filterable table</w:t>
      </w:r>
    </w:p>
    <w:p>
      <w:pPr>
        <w:pStyle w:val="ListBullet"/>
      </w:pPr>
      <w:r>
        <w:rPr>
          <w:b/>
        </w:rPr>
        <w:t>acquisition_timeline.html</w:t>
      </w:r>
      <w:r>
        <w:t xml:space="preserve"> — Interactive timeline</w:t>
      </w:r>
    </w:p>
    <w:p>
      <w:pPr>
        <w:pStyle w:val="ListBullet"/>
      </w:pPr>
      <w:r>
        <w:rPr>
          <w:b/>
        </w:rPr>
        <w:t>mobile_ownership_cards.html</w:t>
      </w:r>
      <w:r>
        <w:t xml:space="preserve"> — Mobile cards</w:t>
      </w:r>
    </w:p>
    <w:p>
      <w:pPr>
        <w:pStyle w:val="ListBullet"/>
      </w:pPr>
      <w:r>
        <w:rPr>
          <w:b/>
        </w:rPr>
        <w:t>seo_package.md</w:t>
      </w:r>
      <w:r>
        <w:t xml:space="preserve"> — SEO and internal-link plan</w:t>
      </w:r>
    </w:p>
    <w:p>
      <w:pPr>
        <w:pStyle w:val="ListBullet"/>
      </w:pPr>
      <w:r>
        <w:rPr>
          <w:b/>
        </w:rPr>
        <w:t>link_earning_package.md</w:t>
      </w:r>
      <w:r>
        <w:t xml:space="preserve"> — Pitch targets and angles</w:t>
      </w:r>
    </w:p>
    <w:sectPr w:rsidR="00FC693F" w:rsidRPr="0006063C" w:rsidSect="00034616">
      <w:pgSz w:w="12240" w:h="15840"/>
      <w:pgMar w:top="1008" w:right="1037" w:bottom="936"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sz w:val="16"/>
      </w:rPr>
      <w:t xml:space="preserve">Page </w:t>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Liberation Sans" w:hAnsi="Liberation Sans"/>
        <w:color w:val="646464"/>
        <w:sz w:val="16"/>
      </w:rPr>
      <w:t>Austin Home-Service Ownership Database · July 26, 2026</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Liberation Sans" w:hAnsi="Liberation San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40"/>
      <w:outlineLvl w:val="0"/>
    </w:pPr>
    <w:rPr>
      <w:rFonts w:asciiTheme="majorHAnsi" w:eastAsiaTheme="majorEastAsia" w:hAnsiTheme="majorHAnsi" w:cstheme="majorBidi" w:ascii="Liberation Sans" w:hAnsi="Liberation Sans"/>
      <w:b/>
      <w:bCs/>
      <w:color w:val="173022"/>
      <w:sz w:val="4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Liberation Sans" w:hAnsi="Liberation Sans"/>
      <w:b/>
      <w:bCs/>
      <w:color w:val="314F39"/>
      <w:sz w:val="30"/>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Liberation Sans" w:hAnsi="Liberation Sans"/>
      <w:b/>
      <w:bCs/>
      <w:color w:val="4D6553"/>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Liberation Sans" w:hAnsi="Liberation Sans"/>
      <w:b/>
      <w:color w:val="173022"/>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Liberation Sans" w:hAnsi="Liberation Sans"/>
      <w:b w:val="0"/>
      <w:i/>
      <w:iCs/>
      <w:color w:val="5A675E"/>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Liberation Sans" w:hAnsi="Liberation Sans"/>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Liberation Sans" w:hAnsi="Liberation Sans"/>
      <w:sz w:val="20"/>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southernhomeservices.com/blog/2020/july/southern-home-services-acquires-austin-based-pre/" TargetMode="External"/><Relationship Id="rId12" Type="http://schemas.openxmlformats.org/officeDocument/2006/relationships/hyperlink" Target="https://www.southernhomeservices.com/blog/2020/july/southern-hvactm-expands-into-texas-with-fox-serv/" TargetMode="External"/><Relationship Id="rId13" Type="http://schemas.openxmlformats.org/officeDocument/2006/relationships/hyperlink" Target="https://www.southernhomeservices.com/blog/2022/april/" TargetMode="External"/><Relationship Id="rId14" Type="http://schemas.openxmlformats.org/officeDocument/2006/relationships/hyperlink" Target="https://www.southernhomeservices.com/daniels/" TargetMode="External"/><Relationship Id="rId15" Type="http://schemas.openxmlformats.org/officeDocument/2006/relationships/hyperlink" Target="https://www.southernhomeservices.com/site-map/" TargetMode="External"/><Relationship Id="rId16" Type="http://schemas.openxmlformats.org/officeDocument/2006/relationships/hyperlink" Target="https://www.gryphon-inv.com/companies/north-american-essential-home-services-naehs/" TargetMode="External"/><Relationship Id="rId17" Type="http://schemas.openxmlformats.org/officeDocument/2006/relationships/hyperlink" Target="https://www.southernhomeservices.com/blog/2021/october/gryphon-investors-completes-majority-investment-/" TargetMode="External"/><Relationship Id="rId18" Type="http://schemas.openxmlformats.org/officeDocument/2006/relationships/hyperlink" Target="https://radiantplumbing.com/maintenance-plan/" TargetMode="External"/><Relationship Id="rId19" Type="http://schemas.openxmlformats.org/officeDocument/2006/relationships/hyperlink" Target="https://www.t3servicesgroup.com/" TargetMode="External"/><Relationship Id="rId20" Type="http://schemas.openxmlformats.org/officeDocument/2006/relationships/hyperlink" Target="https://www.riversidecompany.com/investment-portfolio/t3-services-group" TargetMode="External"/><Relationship Id="rId21" Type="http://schemas.openxmlformats.org/officeDocument/2006/relationships/hyperlink" Target="https://www.prnewswire.com/news-releases/the-master-trades-group-acquires-stans-home-services-302098640.html" TargetMode="External"/><Relationship Id="rId22" Type="http://schemas.openxmlformats.org/officeDocument/2006/relationships/hyperlink" Target="https://treatyoak.com/" TargetMode="External"/><Relationship Id="rId23" Type="http://schemas.openxmlformats.org/officeDocument/2006/relationships/hyperlink" Target="https://www.lcatterton.com/investments.html" TargetMode="External"/><Relationship Id="rId24" Type="http://schemas.openxmlformats.org/officeDocument/2006/relationships/hyperlink" Target="https://www.lcatterton.com/Press.html" TargetMode="External"/><Relationship Id="rId25" Type="http://schemas.openxmlformats.org/officeDocument/2006/relationships/hyperlink" Target="https://www.abacusplumbing.com/privacy-policy/" TargetMode="External"/><Relationship Id="rId26" Type="http://schemas.openxmlformats.org/officeDocument/2006/relationships/hyperlink" Target="https://www.wrenchgroup.com/articles/tsg-consumer-partners-and-oak-hill-partner-with-leonard-green-and-management-to-enhance-the-wrench-groups-next-phase-of-growth" TargetMode="External"/><Relationship Id="rId27" Type="http://schemas.openxmlformats.org/officeDocument/2006/relationships/hyperlink" Target="https://www.leonardgreen.com/" TargetMode="External"/><Relationship Id="rId28" Type="http://schemas.openxmlformats.org/officeDocument/2006/relationships/hyperlink" Target="https://www.goettl.com/austin/" TargetMode="External"/><Relationship Id="rId29" Type="http://schemas.openxmlformats.org/officeDocument/2006/relationships/hyperlink" Target="https://www.cortecgroup.com/" TargetMode="External"/><Relationship Id="rId30" Type="http://schemas.openxmlformats.org/officeDocument/2006/relationships/hyperlink" Target="https://bip.brookfield.com/press-releases/bip/brookfield-infrastructure-completes-c43-billion-acquisition-enercare-inc" TargetMode="External"/><Relationship Id="rId31" Type="http://schemas.openxmlformats.org/officeDocument/2006/relationships/hyperlink" Target="https://www.serviceexperts.com/austin-tx/" TargetMode="External"/><Relationship Id="rId32" Type="http://schemas.openxmlformats.org/officeDocument/2006/relationships/hyperlink" Target="https://bip.brookfield.com/sites/brookfield-bip-v2/files/Brookfield-BIP-IR-V2/BIPC/annual-reports/bip-2025-20-f.pdf" TargetMode="External"/><Relationship Id="rId33" Type="http://schemas.openxmlformats.org/officeDocument/2006/relationships/hyperlink" Target="https://championsgroupholdings.com/2022/11/22/growth-continues-with-service-wizard-of-austin/" TargetMode="External"/><Relationship Id="rId34" Type="http://schemas.openxmlformats.org/officeDocument/2006/relationships/hyperlink" Target="https://www.blackstone.com/news/press/blackstone-announces-agreement-to-acquire-champions-group/" TargetMode="External"/><Relationship Id="rId35" Type="http://schemas.openxmlformats.org/officeDocument/2006/relationships/hyperlink" Target="https://servicewizardac.com/" TargetMode="External"/><Relationship Id="rId36" Type="http://schemas.openxmlformats.org/officeDocument/2006/relationships/hyperlink" Target="https://www.ars.com/austin" TargetMode="External"/><Relationship Id="rId37" Type="http://schemas.openxmlformats.org/officeDocument/2006/relationships/hyperlink" Target="https://www.gipartners.com/" TargetMode="External"/><Relationship Id="rId38" Type="http://schemas.openxmlformats.org/officeDocument/2006/relationships/hyperlink" Target="https://www.gipartners.com/portfolio/" TargetMode="External"/><Relationship Id="rId39" Type="http://schemas.openxmlformats.org/officeDocument/2006/relationships/hyperlink" Target="https://www.mrrooter.com/austin/" TargetMode="External"/><Relationship Id="rId40" Type="http://schemas.openxmlformats.org/officeDocument/2006/relationships/hyperlink" Target="https://www.kkr.com/newsroom/news/news-details/2021/kkr-completes-acquisition-neighborly" TargetMode="External"/><Relationship Id="rId41" Type="http://schemas.openxmlformats.org/officeDocument/2006/relationships/hyperlink" Target="https://www.apax.com/partnerships/authority-brands/" TargetMode="External"/><Relationship Id="rId42" Type="http://schemas.openxmlformats.org/officeDocument/2006/relationships/hyperlink" Target="https://www.bci.ca/wp-content/uploads/2018/01/2022-2023-corporate-annual-report_financial-statements-2.pdf" TargetMode="External"/><Relationship Id="rId43" Type="http://schemas.openxmlformats.org/officeDocument/2006/relationships/hyperlink" Target="https://www.benjaminfranklinplumbing.com/austin/" TargetMode="External"/><Relationship Id="rId44" Type="http://schemas.openxmlformats.org/officeDocument/2006/relationships/hyperlink" Target="https://www.aireserv.com/cedar-park/" TargetMode="External"/><Relationship Id="rId45" Type="http://schemas.openxmlformats.org/officeDocument/2006/relationships/hyperlink" Target="https://www.aireserv.com/round-rock/" TargetMode="External"/><Relationship Id="rId46" Type="http://schemas.openxmlformats.org/officeDocument/2006/relationships/hyperlink" Target="https://www.aireserv.com/about/" TargetMode="External"/><Relationship Id="rId47" Type="http://schemas.openxmlformats.org/officeDocument/2006/relationships/hyperlink" Target="https://sasservicepartners.com/news/austin-air-conditioning" TargetMode="External"/><Relationship Id="rId48" Type="http://schemas.openxmlformats.org/officeDocument/2006/relationships/hyperlink" Target="https://sasservicepartners.com/news/rogers-plumbing" TargetMode="External"/><Relationship Id="rId49" Type="http://schemas.openxmlformats.org/officeDocument/2006/relationships/hyperlink" Target="https://sasservicepartners.com/news/cool-atmosphere" TargetMode="External"/><Relationship Id="rId50" Type="http://schemas.openxmlformats.org/officeDocument/2006/relationships/hyperlink" Target="https://sasservicepartners.com/news" TargetMode="External"/><Relationship Id="rId51" Type="http://schemas.openxmlformats.org/officeDocument/2006/relationships/hyperlink" Target="https://austinairconditioning.com/" TargetMode="External"/><Relationship Id="rId52" Type="http://schemas.openxmlformats.org/officeDocument/2006/relationships/hyperlink" Target="https://callrogersplumbing.com/" TargetMode="External"/><Relationship Id="rId53" Type="http://schemas.openxmlformats.org/officeDocument/2006/relationships/hyperlink" Target="https://coolatmosphereheatingandair.com/" TargetMode="External"/><Relationship Id="rId54" Type="http://schemas.openxmlformats.org/officeDocument/2006/relationships/hyperlink" Target="https://sasservicepartners.com/meet-the-team-old" TargetMode="External"/><Relationship Id="rId55" Type="http://schemas.openxmlformats.org/officeDocument/2006/relationships/hyperlink" Target="https://www.dunespointcapital.com/news/roofing-services-solutions-acquires-ja-mar-roofing-sheet-metal/" TargetMode="External"/><Relationship Id="rId56" Type="http://schemas.openxmlformats.org/officeDocument/2006/relationships/hyperlink" Target="https://www.dunespointcapital.com/portfolio/roofing-services-solutions/" TargetMode="External"/><Relationship Id="rId57" Type="http://schemas.openxmlformats.org/officeDocument/2006/relationships/hyperlink" Target="https://jamarroofing.com/" TargetMode="External"/><Relationship Id="rId58" Type="http://schemas.openxmlformats.org/officeDocument/2006/relationships/hyperlink" Target="https://www.groundworks.com/service-areas/foundation-repair-austin-tx/" TargetMode="External"/><Relationship Id="rId59" Type="http://schemas.openxmlformats.org/officeDocument/2006/relationships/hyperlink" Target="https://www.groundworks.com/resources/kkr-makes-significant-investment-in-groundworks/" TargetMode="External"/><Relationship Id="rId60" Type="http://schemas.openxmlformats.org/officeDocument/2006/relationships/hyperlink" Target="https://www.cortecgroup.com/portfolio/groundworks/" TargetMode="External"/><Relationship Id="rId61" Type="http://schemas.openxmlformats.org/officeDocument/2006/relationships/hyperlink" Target="https://www.groundworks.com/resources/groundworks-acquires-foundation-support-specialists/" TargetMode="External"/><Relationship Id="rId62" Type="http://schemas.openxmlformats.org/officeDocument/2006/relationships/hyperlink" Target="https://www.citationcapital.com/news/citation-capital-invests-in-aptive-environmental" TargetMode="External"/><Relationship Id="rId63" Type="http://schemas.openxmlformats.org/officeDocument/2006/relationships/hyperlink" Target="https://aptivepestcontrol.com/locations/texas-tx/austin-pest-control/local-branch/" TargetMode="External"/><Relationship Id="rId64" Type="http://schemas.openxmlformats.org/officeDocument/2006/relationships/hyperlink" Target="https://www.trivest.com/news/trivest-partners-announces-investment-in-alta-pest-control/" TargetMode="External"/><Relationship Id="rId65" Type="http://schemas.openxmlformats.org/officeDocument/2006/relationships/hyperlink" Target="https://www.rollins.com/news-events/press-releases/detail/28/rollins-inc-completes-acquisition-of-hometeam-pest-defense" TargetMode="External"/><Relationship Id="rId66" Type="http://schemas.openxmlformats.org/officeDocument/2006/relationships/hyperlink" Target="https://www.rollins.com/about-us/brands/default.aspx" TargetMode="External"/><Relationship Id="rId67" Type="http://schemas.openxmlformats.org/officeDocument/2006/relationships/hyperlink" Target="https://www.rentokil-initial.com/media/news-releases/news-2022/terminix_completion.aspx" TargetMode="External"/><Relationship Id="rId68" Type="http://schemas.openxmlformats.org/officeDocument/2006/relationships/hyperlink" Target="https://www.pcmgrowth.com/" TargetMode="External"/><Relationship Id="rId69" Type="http://schemas.openxmlformats.org/officeDocument/2006/relationships/hyperlink" Target="https://www.masseyservices.com/massey-services-acquires-ecoshield-pest-controls-austin-division/" TargetMode="External"/><Relationship Id="rId70" Type="http://schemas.openxmlformats.org/officeDocument/2006/relationships/hyperlink" Target="https://texasagriculture.gov/Regulatory-Programs/Pesticides/Structural-Pest-Control-Service" TargetMode="External"/><Relationship Id="rId71" Type="http://schemas.openxmlformats.org/officeDocument/2006/relationships/hyperlink" Target="https://www.abchomeandcommercial.com/austin/about" TargetMode="External"/><Relationship Id="rId72" Type="http://schemas.openxmlformats.org/officeDocument/2006/relationships/hyperlink" Target="https://www.foxservice.com/" TargetMode="External"/><Relationship Id="rId73" Type="http://schemas.openxmlformats.org/officeDocument/2006/relationships/hyperlink" Target="https://www.precisionheatac.com/" TargetMode="External"/><Relationship Id="rId74" Type="http://schemas.openxmlformats.org/officeDocument/2006/relationships/hyperlink" Target="https://radiantplumbing.com/" TargetMode="External"/><Relationship Id="rId75" Type="http://schemas.openxmlformats.org/officeDocument/2006/relationships/hyperlink" Target="https://stansac.com/" TargetMode="External"/><Relationship Id="rId76" Type="http://schemas.openxmlformats.org/officeDocument/2006/relationships/hyperlink" Target="https://coolmenow.com/" TargetMode="External"/><Relationship Id="rId77" Type="http://schemas.openxmlformats.org/officeDocument/2006/relationships/hyperlink" Target="https://www.bbb.org/us/tx/austin/profile/air-conditioning-contractor/mccullough-heating-air-conditioning-inc-0825-37920" TargetMode="External"/><Relationship Id="rId78" Type="http://schemas.openxmlformats.org/officeDocument/2006/relationships/hyperlink" Target="https://efficienttexas.com/about-us/" TargetMode="External"/><Relationship Id="rId79" Type="http://schemas.openxmlformats.org/officeDocument/2006/relationships/hyperlink" Target="https://www.reliantplumbing.com/about-us/" TargetMode="External"/><Relationship Id="rId80" Type="http://schemas.openxmlformats.org/officeDocument/2006/relationships/hyperlink" Target="https://www.christiansonco.com/" TargetMode="External"/><Relationship Id="rId81" Type="http://schemas.openxmlformats.org/officeDocument/2006/relationships/hyperlink" Target="https://www.excaliburplumbing.com/" TargetMode="External"/><Relationship Id="rId82" Type="http://schemas.openxmlformats.org/officeDocument/2006/relationships/hyperlink" Target="https://www.bbb.org/us/tx/leander/profile/plumber/excalibur-plumbing-llc-0825-90055054" TargetMode="External"/><Relationship Id="rId83" Type="http://schemas.openxmlformats.org/officeDocument/2006/relationships/hyperlink" Target="https://callwhitestone.com/" TargetMode="External"/><Relationship Id="rId84" Type="http://schemas.openxmlformats.org/officeDocument/2006/relationships/hyperlink" Target="https://www.bbb.org/us/tx/cedar-park/profile/plumber/whitestone-plumbing-0825-1000193219" TargetMode="External"/><Relationship Id="rId85" Type="http://schemas.openxmlformats.org/officeDocument/2006/relationships/hyperlink" Target="https://crowsplumbing.com/" TargetMode="External"/><Relationship Id="rId86" Type="http://schemas.openxmlformats.org/officeDocument/2006/relationships/hyperlink" Target="https://www.bbb.org/us/tx/round-rock/profile/plumber/crows-plumbing-service-0825-90034943" TargetMode="External"/><Relationship Id="rId87" Type="http://schemas.openxmlformats.org/officeDocument/2006/relationships/hyperlink" Target="https://www.getyourairfix.com/" TargetMode="External"/><Relationship Id="rId88" Type="http://schemas.openxmlformats.org/officeDocument/2006/relationships/hyperlink" Target="https://www.bbb.org/us/tx/austin/profile/air-conditioning-contractor/austin-major-air-heat-0825-43724" TargetMode="External"/><Relationship Id="rId89" Type="http://schemas.openxmlformats.org/officeDocument/2006/relationships/hyperlink" Target="https://www.kiddroof.com/austin-roofing/" TargetMode="External"/><Relationship Id="rId90" Type="http://schemas.openxmlformats.org/officeDocument/2006/relationships/hyperlink" Target="https://www.bbb.org/us/tx/austin/profile/roofing-contractors/kidd-roofing-0825-43065" TargetMode="External"/><Relationship Id="rId91" Type="http://schemas.openxmlformats.org/officeDocument/2006/relationships/hyperlink" Target="https://hallroofingtx.com/" TargetMode="External"/><Relationship Id="rId92" Type="http://schemas.openxmlformats.org/officeDocument/2006/relationships/hyperlink" Target="https://roofcrafters.com/austin/" TargetMode="External"/><Relationship Id="rId93" Type="http://schemas.openxmlformats.org/officeDocument/2006/relationships/hyperlink" Target="https://www.gaf.com/en-us/roofing-contractors/residential/usa/tx/leander/roofcrafters-inc-1101351" TargetMode="External"/><Relationship Id="rId94" Type="http://schemas.openxmlformats.org/officeDocument/2006/relationships/hyperlink" Target="https://www.longhornroofing.com/" TargetMode="External"/><Relationship Id="rId95" Type="http://schemas.openxmlformats.org/officeDocument/2006/relationships/hyperlink" Target="https://andersonroofingtexas.com/" TargetMode="External"/><Relationship Id="rId96" Type="http://schemas.openxmlformats.org/officeDocument/2006/relationships/hyperlink" Target="https://scecroofs.com/" TargetMode="External"/><Relationship Id="rId97" Type="http://schemas.openxmlformats.org/officeDocument/2006/relationships/hyperlink" Target="https://wilsonroofing.com/" TargetMode="External"/><Relationship Id="rId98" Type="http://schemas.openxmlformats.org/officeDocument/2006/relationships/hyperlink" Target="https://www.austinroofingandconstruction.com/" TargetMode="External"/><Relationship Id="rId99" Type="http://schemas.openxmlformats.org/officeDocument/2006/relationships/hyperlink" Target="https://www.olshanfoundation.com/regions/texas/austin/" TargetMode="External"/><Relationship Id="rId100" Type="http://schemas.openxmlformats.org/officeDocument/2006/relationships/hyperlink" Target="https://www.ramjack.com/austin/" TargetMode="External"/><Relationship Id="rId101" Type="http://schemas.openxmlformats.org/officeDocument/2006/relationships/hyperlink" Target="https://centexfoundationrepair.com/" TargetMode="External"/><Relationship Id="rId102" Type="http://schemas.openxmlformats.org/officeDocument/2006/relationships/hyperlink" Target="https://douglasfoundationrepair.com/" TargetMode="External"/><Relationship Id="rId103" Type="http://schemas.openxmlformats.org/officeDocument/2006/relationships/hyperlink" Target="https://foundationrepairs.com/texas/austin-foundation-repair/" TargetMode="External"/><Relationship Id="rId104" Type="http://schemas.openxmlformats.org/officeDocument/2006/relationships/hyperlink" Target="https://www.bbb.org/us/tx/dallas/profile/foundation-contractors/advanced-foundation-repair-lp-0875-19000054" TargetMode="External"/><Relationship Id="rId105" Type="http://schemas.openxmlformats.org/officeDocument/2006/relationships/hyperlink" Target="https://www.bairdfoundationrepair.com/about-us/" TargetMode="External"/><Relationship Id="rId106" Type="http://schemas.openxmlformats.org/officeDocument/2006/relationships/hyperlink" Target="https://glhunt.com/" TargetMode="External"/><Relationship Id="rId107" Type="http://schemas.openxmlformats.org/officeDocument/2006/relationships/hyperlink" Target="https://allinonefoundationrepair.com/" TargetMode="External"/><Relationship Id="rId108" Type="http://schemas.openxmlformats.org/officeDocument/2006/relationships/hyperlink" Target="https://www.bbb.org/us/tx/austin/profile/foundation-contractors/all-in-one-foundation-repair-0825-90019893" TargetMode="External"/><Relationship Id="rId109" Type="http://schemas.openxmlformats.org/officeDocument/2006/relationships/hyperlink" Target="https://batsfoundationrepair.com/about-us/" TargetMode="External"/><Relationship Id="rId110" Type="http://schemas.openxmlformats.org/officeDocument/2006/relationships/hyperlink" Target="https://qualityfoundationrepairaustin.com/" TargetMode="External"/><Relationship Id="rId111" Type="http://schemas.openxmlformats.org/officeDocument/2006/relationships/hyperlink" Target="https://www.bbb.org/us/tx/austin/profile/foundation-contractors/quality-foundation-repair-0825-90081815" TargetMode="External"/><Relationship Id="rId112" Type="http://schemas.openxmlformats.org/officeDocument/2006/relationships/hyperlink" Target="https://www.arcsite.com/blog/quality-foundation-repair" TargetMode="External"/><Relationship Id="rId113" Type="http://schemas.openxmlformats.org/officeDocument/2006/relationships/hyperlink" Target="https://www.bruecherfoundation.com/" TargetMode="External"/><Relationship Id="rId114" Type="http://schemas.openxmlformats.org/officeDocument/2006/relationships/hyperlink" Target="https://atexpm.com/" TargetMode="External"/><Relationship Id="rId115" Type="http://schemas.openxmlformats.org/officeDocument/2006/relationships/hyperlink" Target="https://www.linkedin.com/company/a-tex-pest-management/" TargetMode="External"/><Relationship Id="rId116" Type="http://schemas.openxmlformats.org/officeDocument/2006/relationships/hyperlink" Target="https://pestdefense.com/austin/" TargetMode="External"/><Relationship Id="rId117" Type="http://schemas.openxmlformats.org/officeDocument/2006/relationships/hyperlink" Target="https://bulwarkpestcontrol.com/locations/austin/" TargetMode="External"/><Relationship Id="rId118" Type="http://schemas.openxmlformats.org/officeDocument/2006/relationships/hyperlink" Target="https://berretthomeservices.com/austin-texas/pest-control/" TargetMode="External"/><Relationship Id="rId119" Type="http://schemas.openxmlformats.org/officeDocument/2006/relationships/hyperlink" Target="https://www.bbb.org/us/tx/garland/profile/pest-control/berrett-pest-control-0875-90510549" TargetMode="External"/><Relationship Id="rId120" Type="http://schemas.openxmlformats.org/officeDocument/2006/relationships/hyperlink" Target="https://www.altapestcontrol.com/locations/austin-tx" TargetMode="External"/><Relationship Id="rId121" Type="http://schemas.openxmlformats.org/officeDocument/2006/relationships/hyperlink" Target="https://romneypestcontrol.com/austin/" TargetMode="External"/><Relationship Id="rId122" Type="http://schemas.openxmlformats.org/officeDocument/2006/relationships/hyperlink" Target="https://pestwranglers.com/" TargetMode="External"/><Relationship Id="rId123" Type="http://schemas.openxmlformats.org/officeDocument/2006/relationships/hyperlink" Target="https://stridepestcontrol.com/" TargetMode="External"/><Relationship Id="rId124" Type="http://schemas.openxmlformats.org/officeDocument/2006/relationships/hyperlink" Target="https://www.orkin.com/locations/texas-tx/austin-pest-control" TargetMode="External"/><Relationship Id="rId125" Type="http://schemas.openxmlformats.org/officeDocument/2006/relationships/hyperlink" Target="https://www.terminix.com/exterminators/tx/austin-pest-control/" TargetMode="External"/><Relationship Id="rId126" Type="http://schemas.openxmlformats.org/officeDocument/2006/relationships/hyperlink" Target="https://hawxpestcontrol.com/austin-tx-pest-control/" TargetMode="External"/><Relationship Id="rId127" Type="http://schemas.openxmlformats.org/officeDocument/2006/relationships/hyperlink" Target="https://rangertermiteandpestcontrolinc.com/" TargetMode="External"/><Relationship Id="rId128" Type="http://schemas.openxmlformats.org/officeDocument/2006/relationships/hyperlink" Target="https://www.bbb.org/us/tx/austin/profile/pest-control/ranger-termite-pest-control-inc-0825-90002691" TargetMode="External"/><Relationship Id="rId129" Type="http://schemas.openxmlformats.org/officeDocument/2006/relationships/hyperlink" Target="https://www.ecoshieldpest.com/locations/austin-tx" TargetMode="External"/><Relationship Id="rId130" Type="http://schemas.openxmlformats.org/officeDocument/2006/relationships/hyperlink" Target="https://www.masseyservices.com/austin/" TargetMode="External"/><Relationship Id="rId131" Type="http://schemas.openxmlformats.org/officeDocument/2006/relationships/hyperlink" Target="https://www.masseyservices.com/about-us/" TargetMode="External"/><Relationship Id="rId132" Type="http://schemas.openxmlformats.org/officeDocument/2006/relationships/hyperlink" Target="https://natran.com/austin-pest-control/" TargetMode="External"/><Relationship Id="rId133" Type="http://schemas.openxmlformats.org/officeDocument/2006/relationships/hyperlink" Target="https://xoutpest.com/" TargetMode="External"/><Relationship Id="rId134" Type="http://schemas.openxmlformats.org/officeDocument/2006/relationships/hyperlink" Target="https://www.bbb.org/us/tx/austin/profile/pest-control/x-out-pest-services-llc-0825-1000183342" TargetMode="External"/><Relationship Id="rId135" Type="http://schemas.openxmlformats.org/officeDocument/2006/relationships/hyperlink" Target="https://cleardefensepest.com/pest-control-austin-tx/" TargetMode="External"/><Relationship Id="rId136" Type="http://schemas.openxmlformats.org/officeDocument/2006/relationships/hyperlink" Target="https://www.robertspestcontrol.com/" TargetMode="External"/><Relationship Id="rId137" Type="http://schemas.openxmlformats.org/officeDocument/2006/relationships/hyperlink" Target="https://www.absolutepestmgmt.com/" TargetMode="External"/><Relationship Id="rId138" Type="http://schemas.openxmlformats.org/officeDocument/2006/relationships/hyperlink" Target="https://www.apollo.com/insights-news/pressreleases/2026/05/apex-service-partners-and-alpine-investors-announce-strategic-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Who Owns Austin’s Home-Service Companies?</dc:title>
  <dc:subject>Verified ownership map of Austin home-service brands</dc:subject>
  <dc:creator>Sulayman Bowles</dc:creator>
  <cp:keywords>Austin, home services, private equity, ownership, HVAC, plumbing, roofing, foundation repair, pest control</cp:keywords>
  <dc:description>generated by python-docx</dc:description>
  <cp:lastModifiedBy/>
  <cp:revision>1</cp:revision>
  <dcterms:created xsi:type="dcterms:W3CDTF">2013-12-23T23:15:00Z</dcterms:created>
  <dcterms:modified xsi:type="dcterms:W3CDTF">2013-12-23T23:15:00Z</dcterms:modified>
  <cp:category/>
</cp:coreProperties>
</file>